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177" w:rsidRDefault="00384177" w:rsidP="00264EBD">
      <w:pPr>
        <w:adjustRightInd w:val="0"/>
        <w:snapToGrid w:val="0"/>
        <w:spacing w:line="580" w:lineRule="exact"/>
        <w:rPr>
          <w:rFonts w:eastAsia="华文中宋" w:hint="eastAsia"/>
          <w:b/>
          <w:sz w:val="44"/>
          <w:szCs w:val="44"/>
        </w:rPr>
      </w:pPr>
    </w:p>
    <w:p w:rsidR="00264EBD" w:rsidRPr="00384177" w:rsidRDefault="00264EBD" w:rsidP="00264EBD">
      <w:pPr>
        <w:adjustRightInd w:val="0"/>
        <w:snapToGrid w:val="0"/>
        <w:spacing w:line="580" w:lineRule="exact"/>
        <w:rPr>
          <w:rFonts w:eastAsia="华文中宋"/>
          <w:b/>
          <w:sz w:val="44"/>
          <w:szCs w:val="44"/>
        </w:rPr>
      </w:pPr>
    </w:p>
    <w:p w:rsidR="00384177" w:rsidRPr="00264EBD" w:rsidRDefault="00384177" w:rsidP="00264EBD">
      <w:pPr>
        <w:pStyle w:val="a5"/>
        <w:shd w:val="clear" w:color="auto" w:fill="FFFFFF"/>
        <w:adjustRightInd w:val="0"/>
        <w:snapToGrid w:val="0"/>
        <w:spacing w:before="0" w:beforeAutospacing="0" w:after="0" w:afterAutospacing="0" w:line="580" w:lineRule="exact"/>
        <w:jc w:val="center"/>
        <w:rPr>
          <w:color w:val="000000"/>
          <w:sz w:val="44"/>
          <w:szCs w:val="44"/>
        </w:rPr>
      </w:pPr>
      <w:r w:rsidRPr="00264EBD">
        <w:rPr>
          <w:color w:val="000000"/>
          <w:sz w:val="44"/>
          <w:szCs w:val="44"/>
        </w:rPr>
        <w:t>阿坝藏族羌族自治州</w:t>
      </w:r>
    </w:p>
    <w:p w:rsidR="00384177" w:rsidRPr="00264EBD" w:rsidRDefault="00384177" w:rsidP="00264EBD">
      <w:pPr>
        <w:pStyle w:val="a5"/>
        <w:shd w:val="clear" w:color="auto" w:fill="FFFFFF"/>
        <w:adjustRightInd w:val="0"/>
        <w:snapToGrid w:val="0"/>
        <w:spacing w:before="0" w:beforeAutospacing="0" w:after="0" w:afterAutospacing="0" w:line="580" w:lineRule="exact"/>
        <w:jc w:val="center"/>
        <w:rPr>
          <w:color w:val="000000"/>
          <w:sz w:val="44"/>
          <w:szCs w:val="44"/>
        </w:rPr>
      </w:pPr>
      <w:r w:rsidRPr="00264EBD">
        <w:rPr>
          <w:color w:val="000000"/>
          <w:sz w:val="44"/>
          <w:szCs w:val="44"/>
        </w:rPr>
        <w:t>实施《四川省城乡环境综合治理条例》的</w:t>
      </w:r>
    </w:p>
    <w:p w:rsidR="00384177" w:rsidRPr="00264EBD" w:rsidRDefault="00384177" w:rsidP="00264EBD">
      <w:pPr>
        <w:pStyle w:val="a5"/>
        <w:shd w:val="clear" w:color="auto" w:fill="FFFFFF"/>
        <w:adjustRightInd w:val="0"/>
        <w:snapToGrid w:val="0"/>
        <w:spacing w:before="0" w:beforeAutospacing="0" w:after="0" w:afterAutospacing="0" w:line="580" w:lineRule="exact"/>
        <w:jc w:val="center"/>
        <w:rPr>
          <w:color w:val="000000"/>
          <w:sz w:val="44"/>
          <w:szCs w:val="44"/>
        </w:rPr>
      </w:pPr>
      <w:r w:rsidRPr="00264EBD">
        <w:rPr>
          <w:color w:val="000000"/>
          <w:sz w:val="44"/>
          <w:szCs w:val="44"/>
        </w:rPr>
        <w:t>补充规定</w:t>
      </w:r>
    </w:p>
    <w:p w:rsidR="00264EBD" w:rsidRDefault="00264EBD" w:rsidP="00264EBD">
      <w:pPr>
        <w:pStyle w:val="a5"/>
        <w:shd w:val="clear" w:color="auto" w:fill="FFFFFF"/>
        <w:adjustRightInd w:val="0"/>
        <w:snapToGrid w:val="0"/>
        <w:spacing w:before="0" w:beforeAutospacing="0" w:after="0" w:afterAutospacing="0" w:line="580" w:lineRule="exact"/>
        <w:jc w:val="both"/>
        <w:rPr>
          <w:rFonts w:ascii="楷体_GB2312" w:eastAsia="楷体_GB2312" w:hint="eastAsia"/>
          <w:color w:val="000000"/>
          <w:sz w:val="32"/>
          <w:szCs w:val="32"/>
        </w:rPr>
      </w:pPr>
    </w:p>
    <w:p w:rsidR="00384177" w:rsidRPr="00264EBD" w:rsidRDefault="00264EBD" w:rsidP="00264EBD">
      <w:pPr>
        <w:pStyle w:val="a5"/>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color w:val="000000"/>
          <w:sz w:val="32"/>
          <w:szCs w:val="32"/>
        </w:rPr>
      </w:pPr>
      <w:r>
        <w:rPr>
          <w:rFonts w:ascii="楷体_GB2312" w:eastAsia="楷体_GB2312" w:hint="eastAsia"/>
          <w:color w:val="000000"/>
          <w:sz w:val="32"/>
          <w:szCs w:val="32"/>
        </w:rPr>
        <w:t>（</w:t>
      </w:r>
      <w:r w:rsidR="00384177" w:rsidRPr="00264EBD">
        <w:rPr>
          <w:rFonts w:ascii="楷体_GB2312" w:eastAsia="楷体_GB2312"/>
          <w:color w:val="000000"/>
          <w:sz w:val="32"/>
          <w:szCs w:val="32"/>
        </w:rPr>
        <w:t>2017年12月29日阿坝藏族羌族自治州第十二届人民代表大会第二次会议通过</w:t>
      </w:r>
      <w:r>
        <w:rPr>
          <w:rFonts w:ascii="楷体_GB2312" w:eastAsia="楷体_GB2312" w:hint="eastAsia"/>
          <w:color w:val="000000"/>
          <w:sz w:val="32"/>
          <w:szCs w:val="32"/>
        </w:rPr>
        <w:t xml:space="preserve">  </w:t>
      </w:r>
      <w:r w:rsidR="00384177" w:rsidRPr="00264EBD">
        <w:rPr>
          <w:rFonts w:ascii="楷体_GB2312" w:eastAsia="楷体_GB2312"/>
          <w:color w:val="000000"/>
          <w:sz w:val="32"/>
          <w:szCs w:val="32"/>
        </w:rPr>
        <w:t>2018年7月</w:t>
      </w:r>
      <w:r w:rsidR="00384177" w:rsidRPr="00264EBD">
        <w:rPr>
          <w:rFonts w:ascii="楷体_GB2312" w:eastAsia="楷体_GB2312" w:hint="eastAsia"/>
          <w:color w:val="000000"/>
          <w:sz w:val="32"/>
          <w:szCs w:val="32"/>
        </w:rPr>
        <w:t>26</w:t>
      </w:r>
      <w:r w:rsidR="00384177" w:rsidRPr="00264EBD">
        <w:rPr>
          <w:rFonts w:ascii="楷体_GB2312" w:eastAsia="楷体_GB2312"/>
          <w:color w:val="000000"/>
          <w:sz w:val="32"/>
          <w:szCs w:val="32"/>
        </w:rPr>
        <w:t>日四川省第十三届人民代表大会常务委员会第五次会议</w:t>
      </w:r>
      <w:r w:rsidR="00384177" w:rsidRPr="00264EBD">
        <w:rPr>
          <w:rFonts w:ascii="楷体_GB2312" w:eastAsia="楷体_GB2312" w:hint="eastAsia"/>
          <w:color w:val="000000"/>
          <w:sz w:val="32"/>
          <w:szCs w:val="32"/>
        </w:rPr>
        <w:t>批准</w:t>
      </w:r>
      <w:r>
        <w:rPr>
          <w:rFonts w:ascii="楷体_GB2312" w:eastAsia="楷体_GB2312" w:hint="eastAsia"/>
          <w:color w:val="000000"/>
          <w:sz w:val="32"/>
          <w:szCs w:val="32"/>
        </w:rPr>
        <w:t>）</w:t>
      </w:r>
    </w:p>
    <w:p w:rsidR="00384177" w:rsidRPr="00384177" w:rsidRDefault="00384177" w:rsidP="00264EBD">
      <w:pPr>
        <w:adjustRightInd w:val="0"/>
        <w:snapToGrid w:val="0"/>
        <w:spacing w:line="580" w:lineRule="exact"/>
        <w:ind w:firstLine="640"/>
        <w:jc w:val="center"/>
        <w:rPr>
          <w:rFonts w:eastAsia="仿宋_GB2312"/>
          <w:b/>
          <w:sz w:val="32"/>
          <w:szCs w:val="32"/>
        </w:rPr>
      </w:pP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第一条</w:t>
      </w:r>
      <w:r w:rsidRPr="00264EBD">
        <w:rPr>
          <w:rFonts w:ascii="仿宋_GB2312" w:eastAsia="仿宋_GB2312" w:hAnsi="Times New Roman" w:cs="Times New Roman" w:hint="eastAsia"/>
          <w:color w:val="000000"/>
          <w:kern w:val="0"/>
          <w:sz w:val="32"/>
          <w:szCs w:val="32"/>
        </w:rPr>
        <w:t xml:space="preserve">  为了进一步加强城乡环境综合治理工作，构建宜</w:t>
      </w:r>
      <w:proofErr w:type="gramStart"/>
      <w:r w:rsidRPr="00264EBD">
        <w:rPr>
          <w:rFonts w:ascii="仿宋_GB2312" w:eastAsia="仿宋_GB2312" w:hAnsi="Times New Roman" w:cs="Times New Roman" w:hint="eastAsia"/>
          <w:color w:val="000000"/>
          <w:kern w:val="0"/>
          <w:sz w:val="32"/>
          <w:szCs w:val="32"/>
        </w:rPr>
        <w:t>居宜业宜</w:t>
      </w:r>
      <w:proofErr w:type="gramEnd"/>
      <w:r w:rsidRPr="00264EBD">
        <w:rPr>
          <w:rFonts w:ascii="仿宋_GB2312" w:eastAsia="仿宋_GB2312" w:hAnsi="Times New Roman" w:cs="Times New Roman" w:hint="eastAsia"/>
          <w:color w:val="000000"/>
          <w:kern w:val="0"/>
          <w:sz w:val="32"/>
          <w:szCs w:val="32"/>
        </w:rPr>
        <w:t>游的城乡人居环境，促进和谐阿坝建设，根据《中华人民共和国民族区域自治法》《四川省城乡环境综合治理条例》《阿坝藏族羌族自治州自治条例》等相关法律法规规定，结合阿坝藏族羌族自治州（以下简称自治州）实际，制定本补充规定。</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第二条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自治州辖区内城乡环境综合治理和监督管理，适用本补充规定。</w:t>
      </w:r>
    </w:p>
    <w:p w:rsidR="00384177" w:rsidRPr="00264EBD" w:rsidRDefault="00384177" w:rsidP="00264EBD">
      <w:pPr>
        <w:widowControl/>
        <w:adjustRightInd w:val="0"/>
        <w:snapToGrid w:val="0"/>
        <w:spacing w:line="580" w:lineRule="exact"/>
        <w:ind w:firstLineChars="150" w:firstLine="480"/>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 第三条 </w:t>
      </w:r>
      <w:r w:rsidRPr="00264EBD">
        <w:rPr>
          <w:rFonts w:ascii="仿宋_GB2312" w:eastAsia="仿宋_GB2312" w:hAnsi="Times New Roman" w:cs="Times New Roman" w:hint="eastAsia"/>
          <w:color w:val="000000"/>
          <w:kern w:val="0"/>
          <w:sz w:val="32"/>
          <w:szCs w:val="32"/>
        </w:rPr>
        <w:t xml:space="preserve"> 自治州、县（市）人民政府按照政府主导、部门联动、全民参与、公众监督、综合治理的原则，对城乡容貌秩序、环境卫生、设施建设、公共服务、生态绿化等进行规范和管理。</w:t>
      </w:r>
    </w:p>
    <w:p w:rsidR="00384177" w:rsidRPr="00264EBD" w:rsidRDefault="00384177" w:rsidP="00264EBD">
      <w:pPr>
        <w:widowControl/>
        <w:tabs>
          <w:tab w:val="left" w:pos="360"/>
        </w:tabs>
        <w:adjustRightInd w:val="0"/>
        <w:snapToGrid w:val="0"/>
        <w:spacing w:line="580" w:lineRule="exact"/>
        <w:ind w:firstLineChars="200" w:firstLine="640"/>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lastRenderedPageBreak/>
        <w:t xml:space="preserve">第四条  </w:t>
      </w:r>
      <w:r w:rsidRPr="00264EBD">
        <w:rPr>
          <w:rFonts w:ascii="仿宋_GB2312" w:eastAsia="仿宋_GB2312" w:hAnsi="Times New Roman" w:cs="Times New Roman" w:hint="eastAsia"/>
          <w:color w:val="000000"/>
          <w:kern w:val="0"/>
          <w:sz w:val="32"/>
          <w:szCs w:val="32"/>
        </w:rPr>
        <w:t>自治州、县（市）人民政府负责统筹、组织、协调城乡环境综合治理监督管理工作。</w:t>
      </w:r>
    </w:p>
    <w:p w:rsidR="00384177" w:rsidRPr="00264EBD" w:rsidRDefault="00384177" w:rsidP="00264EBD">
      <w:pPr>
        <w:widowControl/>
        <w:tabs>
          <w:tab w:val="left" w:pos="360"/>
        </w:tabs>
        <w:adjustRightInd w:val="0"/>
        <w:snapToGrid w:val="0"/>
        <w:spacing w:line="580" w:lineRule="exact"/>
        <w:ind w:firstLineChars="200"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乡（镇）人民政府负责辖区内城乡环境综合治理的具体工作，指导和督促辖区内村（居）民委员会、社区开展城乡环境综合治理工作。</w:t>
      </w:r>
    </w:p>
    <w:p w:rsidR="00384177" w:rsidRPr="00264EBD" w:rsidRDefault="00384177" w:rsidP="00264EBD">
      <w:pPr>
        <w:widowControl/>
        <w:tabs>
          <w:tab w:val="left" w:pos="360"/>
        </w:tabs>
        <w:adjustRightInd w:val="0"/>
        <w:snapToGrid w:val="0"/>
        <w:spacing w:line="580" w:lineRule="exact"/>
        <w:ind w:firstLineChars="200"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村（居）民委员会负责组织动员辖区内单位、村（居）民参与城乡环境综合治理，落实环境治理的具体工作。建立日常卫生保洁制度，确定专职保洁人员。</w:t>
      </w:r>
    </w:p>
    <w:p w:rsidR="00384177" w:rsidRPr="00264EBD" w:rsidRDefault="00384177" w:rsidP="00264EBD">
      <w:pPr>
        <w:widowControl/>
        <w:tabs>
          <w:tab w:val="left" w:pos="360"/>
        </w:tabs>
        <w:adjustRightInd w:val="0"/>
        <w:snapToGrid w:val="0"/>
        <w:spacing w:line="580" w:lineRule="exact"/>
        <w:ind w:firstLineChars="224" w:firstLine="717"/>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第五条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 xml:space="preserve"> 自治州、县（市）人民政府住房和城乡建设行政主管部门是城乡环境综合治理的主管部门，负责制定城乡环境综合治理工作方案，指导和监督管理城乡环境综合治理工作。</w:t>
      </w:r>
    </w:p>
    <w:p w:rsidR="00384177" w:rsidRPr="00264EBD" w:rsidRDefault="00384177" w:rsidP="00264EBD">
      <w:pPr>
        <w:widowControl/>
        <w:tabs>
          <w:tab w:val="left" w:pos="360"/>
        </w:tabs>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第六条 </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自治州、县（市）人民政府应当将城乡环境综合治理所需经费列入本级财政预算。</w:t>
      </w:r>
    </w:p>
    <w:p w:rsidR="00384177" w:rsidRPr="00264EBD" w:rsidRDefault="00384177" w:rsidP="00264EBD">
      <w:pPr>
        <w:widowControl/>
        <w:tabs>
          <w:tab w:val="left" w:pos="360"/>
        </w:tabs>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城乡环境基础设施建设、维护、管理以政府投入为主，支持和鼓励社会力量参与建设和经营。</w:t>
      </w:r>
    </w:p>
    <w:p w:rsidR="00384177" w:rsidRPr="00264EBD" w:rsidRDefault="00384177" w:rsidP="00264EBD">
      <w:pPr>
        <w:widowControl/>
        <w:tabs>
          <w:tab w:val="left" w:pos="360"/>
        </w:tabs>
        <w:adjustRightInd w:val="0"/>
        <w:snapToGrid w:val="0"/>
        <w:spacing w:line="580" w:lineRule="exact"/>
        <w:ind w:firstLineChars="200" w:firstLine="640"/>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第七条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 xml:space="preserve"> 自治州、县（市）人民政府应当制定本辖区内城乡环境综合治理总体规划和相关标准，组织相关部门制定并实施市政建设、市容市貌、村容村貌、道路交通、风景名胜区等专项规划，指导下级人民政府制定并实施城乡环境综合治理规划。</w:t>
      </w:r>
    </w:p>
    <w:p w:rsidR="00384177" w:rsidRPr="00264EBD" w:rsidRDefault="00384177" w:rsidP="00264EBD">
      <w:pPr>
        <w:widowControl/>
        <w:tabs>
          <w:tab w:val="left" w:pos="360"/>
        </w:tabs>
        <w:adjustRightInd w:val="0"/>
        <w:snapToGrid w:val="0"/>
        <w:spacing w:line="580" w:lineRule="exact"/>
        <w:ind w:firstLineChars="200"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乡（镇）人民政府应当根据实际制定并实施辖区内城乡环境综合治理规划，完善城乡环境综合治理基础设施。</w:t>
      </w:r>
    </w:p>
    <w:p w:rsidR="00384177" w:rsidRPr="00264EBD" w:rsidRDefault="00384177" w:rsidP="00264EBD">
      <w:pPr>
        <w:widowControl/>
        <w:tabs>
          <w:tab w:val="left" w:pos="360"/>
        </w:tabs>
        <w:adjustRightInd w:val="0"/>
        <w:snapToGrid w:val="0"/>
        <w:spacing w:line="580" w:lineRule="exact"/>
        <w:ind w:firstLineChars="200"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lastRenderedPageBreak/>
        <w:t>村（居）民委员会应当将维护辖区内容貌秩序、环境卫生、设施建设等内容纳入村规民约，对垃圾分类投放、分类收运和分类处理以及污水排放和处置等</w:t>
      </w:r>
      <w:proofErr w:type="gramStart"/>
      <w:r w:rsidRPr="00264EBD">
        <w:rPr>
          <w:rFonts w:ascii="仿宋_GB2312" w:eastAsia="仿宋_GB2312" w:hAnsi="Times New Roman" w:cs="Times New Roman" w:hint="eastAsia"/>
          <w:color w:val="000000"/>
          <w:kern w:val="0"/>
          <w:sz w:val="32"/>
          <w:szCs w:val="32"/>
        </w:rPr>
        <w:t>作出</w:t>
      </w:r>
      <w:proofErr w:type="gramEnd"/>
      <w:r w:rsidRPr="00264EBD">
        <w:rPr>
          <w:rFonts w:ascii="仿宋_GB2312" w:eastAsia="仿宋_GB2312" w:hAnsi="Times New Roman" w:cs="Times New Roman" w:hint="eastAsia"/>
          <w:color w:val="000000"/>
          <w:kern w:val="0"/>
          <w:sz w:val="32"/>
          <w:szCs w:val="32"/>
        </w:rPr>
        <w:t>约定。</w:t>
      </w:r>
    </w:p>
    <w:p w:rsidR="00384177" w:rsidRPr="00264EBD" w:rsidRDefault="00384177" w:rsidP="00264EBD">
      <w:pPr>
        <w:widowControl/>
        <w:tabs>
          <w:tab w:val="left" w:pos="360"/>
        </w:tabs>
        <w:adjustRightInd w:val="0"/>
        <w:snapToGrid w:val="0"/>
        <w:spacing w:line="580" w:lineRule="exact"/>
        <w:ind w:firstLine="642"/>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第八条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 xml:space="preserve"> 自治州、县（市）人民政府应当研究制定农村生活垃圾、污水处理资源化利用的扶持政策和措施，推广、应用城乡环境综合治理的先进技术，提高城乡环境综合治理水平。</w:t>
      </w:r>
    </w:p>
    <w:p w:rsidR="00384177" w:rsidRPr="00264EBD" w:rsidRDefault="00384177" w:rsidP="00264EBD">
      <w:pPr>
        <w:widowControl/>
        <w:numPr>
          <w:ilvl w:val="0"/>
          <w:numId w:val="1"/>
        </w:numPr>
        <w:adjustRightInd w:val="0"/>
        <w:snapToGrid w:val="0"/>
        <w:spacing w:line="580" w:lineRule="exact"/>
        <w:ind w:left="0" w:firstLine="709"/>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自治州辖区内环卫工人的劳动报酬不得低于自治州发布的最低工资标准。</w:t>
      </w:r>
    </w:p>
    <w:p w:rsidR="00384177" w:rsidRPr="00264EBD" w:rsidRDefault="00384177" w:rsidP="00264EBD">
      <w:pPr>
        <w:widowControl/>
        <w:adjustRightInd w:val="0"/>
        <w:snapToGrid w:val="0"/>
        <w:spacing w:line="580" w:lineRule="exact"/>
        <w:ind w:firstLineChars="196" w:firstLine="627"/>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住房和城乡建设行政主管部门、环卫工人的使用或者管理单位应当按照国家和行业作业标准，改善环卫工人的工作条件，提供必要的劳动防护用品和工作间。</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第十条</w:t>
      </w:r>
      <w:r w:rsidRPr="00264EBD">
        <w:rPr>
          <w:rFonts w:ascii="仿宋_GB2312" w:eastAsia="仿宋_GB2312" w:hAnsi="Times New Roman" w:cs="Times New Roman" w:hint="eastAsia"/>
          <w:color w:val="000000"/>
          <w:kern w:val="0"/>
          <w:sz w:val="32"/>
          <w:szCs w:val="32"/>
        </w:rPr>
        <w:t xml:space="preserve">  自治州、县（市）人力资源和社会保障行政主管部门应当依法加强对环境卫生行业劳动用工、劳动合同签订、社会保险参保及缴费情况的监督检查。</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第十一条  </w:t>
      </w:r>
      <w:r w:rsidRPr="00264EBD">
        <w:rPr>
          <w:rFonts w:ascii="仿宋_GB2312" w:eastAsia="仿宋_GB2312" w:hAnsi="Times New Roman" w:cs="Times New Roman" w:hint="eastAsia"/>
          <w:color w:val="000000"/>
          <w:kern w:val="0"/>
          <w:sz w:val="32"/>
          <w:szCs w:val="32"/>
        </w:rPr>
        <w:t>城乡环境综合治理责任区的划分与管理：</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（一）县城（城镇）建成区公共区域，由所在县（市）人民政府负责，其他公共区域，由所在乡（镇）人民政府负责；</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（二）辖区内民族宗教文字图案雕刻、经幡悬挂等行为以及宗教活动场所容貌秩序、环境卫生的规范、监督和管理，由县（市）人民政府民族宗教行政主管部门、乡（镇）人民政府负责；</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lastRenderedPageBreak/>
        <w:t>（三）无物业管理服务的居住区（楼），由产权人或者使用人负责；</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（四）民居接待点、旅游接待点和从事车辆修理、清洗、装饰以及再生资源回收等场所，由产权人或者经营管理单位负责；</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（五）爆破、挖砂、采石、取土、采矿、</w:t>
      </w:r>
      <w:proofErr w:type="gramStart"/>
      <w:r w:rsidRPr="00264EBD">
        <w:rPr>
          <w:rFonts w:ascii="仿宋_GB2312" w:eastAsia="仿宋_GB2312" w:hAnsi="Times New Roman" w:cs="Times New Roman" w:hint="eastAsia"/>
          <w:color w:val="000000"/>
          <w:kern w:val="0"/>
          <w:sz w:val="32"/>
          <w:szCs w:val="32"/>
        </w:rPr>
        <w:t>垦植</w:t>
      </w:r>
      <w:proofErr w:type="gramEnd"/>
      <w:r w:rsidRPr="00264EBD">
        <w:rPr>
          <w:rFonts w:ascii="仿宋_GB2312" w:eastAsia="仿宋_GB2312" w:hAnsi="Times New Roman" w:cs="Times New Roman" w:hint="eastAsia"/>
          <w:color w:val="000000"/>
          <w:kern w:val="0"/>
          <w:sz w:val="32"/>
          <w:szCs w:val="32"/>
        </w:rPr>
        <w:t>、打井、修建、填埋、堆物等行为区域，由行为人或者经营管理单位负责。</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责任区范围和权属划分不清或者有争议的，由有管辖权的县（市）人民政府确定。</w:t>
      </w:r>
    </w:p>
    <w:p w:rsidR="00384177" w:rsidRPr="00264EBD" w:rsidRDefault="00384177" w:rsidP="00264EBD">
      <w:pPr>
        <w:widowControl/>
        <w:shd w:val="clear" w:color="auto" w:fill="FFFFFF"/>
        <w:adjustRightInd w:val="0"/>
        <w:snapToGrid w:val="0"/>
        <w:spacing w:line="580" w:lineRule="exact"/>
        <w:ind w:firstLineChars="200" w:firstLine="640"/>
        <w:jc w:val="left"/>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第十二条 </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城乡风貌建设应当尊重历史、传承民族文化、彰显地域特色。</w:t>
      </w:r>
    </w:p>
    <w:p w:rsidR="00384177" w:rsidRPr="00264EBD" w:rsidRDefault="00384177" w:rsidP="00264EBD">
      <w:pPr>
        <w:widowControl/>
        <w:shd w:val="clear" w:color="auto" w:fill="FFFFFF"/>
        <w:adjustRightInd w:val="0"/>
        <w:snapToGrid w:val="0"/>
        <w:spacing w:line="580" w:lineRule="exact"/>
        <w:ind w:firstLineChars="200" w:firstLine="640"/>
        <w:jc w:val="left"/>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城乡临街建（构）筑物立面应当保持整洁、完好，造型、色调和风格应当与周围环境景观相协调。</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屋顶、阳台、平台、外走廊及窗外不得违章搭建、堆放、吊挂影响市容市貌的物品；各类附属设施应当规范设置。</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第十三条 </w:t>
      </w:r>
      <w:r w:rsidRPr="00264EBD">
        <w:rPr>
          <w:rFonts w:ascii="仿宋_GB2312" w:eastAsia="仿宋_GB2312" w:hAnsi="Times New Roman" w:cs="Times New Roman" w:hint="eastAsia"/>
          <w:color w:val="000000"/>
          <w:kern w:val="0"/>
          <w:sz w:val="32"/>
          <w:szCs w:val="32"/>
        </w:rPr>
        <w:t xml:space="preserve"> 城市、镇规划区和风景名胜区、高速公路、国省干线公路可入地线</w:t>
      </w:r>
      <w:proofErr w:type="gramStart"/>
      <w:r w:rsidRPr="00264EBD">
        <w:rPr>
          <w:rFonts w:ascii="仿宋_GB2312" w:eastAsia="仿宋_GB2312" w:hAnsi="Times New Roman" w:cs="Times New Roman" w:hint="eastAsia"/>
          <w:color w:val="000000"/>
          <w:kern w:val="0"/>
          <w:sz w:val="32"/>
          <w:szCs w:val="32"/>
        </w:rPr>
        <w:t>缆</w:t>
      </w:r>
      <w:proofErr w:type="gramEnd"/>
      <w:r w:rsidRPr="00264EBD">
        <w:rPr>
          <w:rFonts w:ascii="仿宋_GB2312" w:eastAsia="仿宋_GB2312" w:hAnsi="Times New Roman" w:cs="Times New Roman" w:hint="eastAsia"/>
          <w:color w:val="000000"/>
          <w:kern w:val="0"/>
          <w:sz w:val="32"/>
          <w:szCs w:val="32"/>
        </w:rPr>
        <w:t>应当纳入基础设施建设项目开发和改造计划，入地敷设应当符合相关技术标准和规范要求，与基础设施建设、改造同步实施。</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第十四条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新建、改建、扩建地下管线建设工程，需要占用、挖掘道路、桥涵以及其他市政公用区域的，应当</w:t>
      </w:r>
      <w:proofErr w:type="gramStart"/>
      <w:r w:rsidRPr="00264EBD">
        <w:rPr>
          <w:rFonts w:ascii="仿宋_GB2312" w:eastAsia="仿宋_GB2312" w:hAnsi="Times New Roman" w:cs="Times New Roman" w:hint="eastAsia"/>
          <w:color w:val="000000"/>
          <w:kern w:val="0"/>
          <w:sz w:val="32"/>
          <w:szCs w:val="32"/>
        </w:rPr>
        <w:t>经基础</w:t>
      </w:r>
      <w:proofErr w:type="gramEnd"/>
      <w:r w:rsidRPr="00264EBD">
        <w:rPr>
          <w:rFonts w:ascii="仿宋_GB2312" w:eastAsia="仿宋_GB2312" w:hAnsi="Times New Roman" w:cs="Times New Roman" w:hint="eastAsia"/>
          <w:color w:val="000000"/>
          <w:kern w:val="0"/>
          <w:sz w:val="32"/>
          <w:szCs w:val="32"/>
        </w:rPr>
        <w:t>设施行政主管部门批准。</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lastRenderedPageBreak/>
        <w:t>敷设地下管线，应当同步布设示踪线或者其他可检测到的设备，以非开挖方式敷设地下管线的，应当在地面设置永久性标识。</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第十五条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建设工程项目应当与生态环境恢复治理同时设计、同时施工、同时验收。</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建设工程施工现场应当设置隔离护栏、警示标识，材料、机具等应当放置整齐，施工中应当控制扬尘、噪声，及时清运废弃物。</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第十六条 </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县（市）人民政府所在地镇和州人民政府确定的重点旅游集镇的下列建（构）筑物或者场所，应当规范设置夜景照明设施：</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（一）商业区和主要大街两侧的建（构）筑物；</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（二）广场、车站、城镇桥梁、城镇水域沿岸景观地带等公共场所以及临时性重大活动的景观照明场所；</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（三）体育场（馆）、博物馆等公共文体设施；</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（四）标志性建（构）筑物；</w:t>
      </w:r>
    </w:p>
    <w:p w:rsidR="00384177" w:rsidRPr="00264EBD" w:rsidRDefault="00384177" w:rsidP="00264EBD">
      <w:pPr>
        <w:adjustRightInd w:val="0"/>
        <w:snapToGrid w:val="0"/>
        <w:spacing w:line="580" w:lineRule="exact"/>
        <w:ind w:firstLineChars="200" w:firstLine="640"/>
        <w:rPr>
          <w:rFonts w:ascii="仿宋_GB2312" w:eastAsia="仿宋_GB2312" w:hint="eastAsia"/>
        </w:rPr>
      </w:pPr>
      <w:r w:rsidRPr="00264EBD">
        <w:rPr>
          <w:rFonts w:ascii="仿宋_GB2312" w:eastAsia="仿宋_GB2312" w:hint="eastAsia"/>
          <w:sz w:val="32"/>
          <w:szCs w:val="32"/>
        </w:rPr>
        <w:t>（五）其他需要设置夜景照明设施的场所。</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夜景照明设施的设置应当符合城市、镇总体规划和乡村规划，优先使用节能灯具。</w:t>
      </w:r>
    </w:p>
    <w:p w:rsidR="00384177" w:rsidRPr="00264EBD" w:rsidRDefault="00384177" w:rsidP="00264EBD">
      <w:pPr>
        <w:widowControl/>
        <w:shd w:val="clear" w:color="auto" w:fill="FFFFFF"/>
        <w:adjustRightInd w:val="0"/>
        <w:snapToGrid w:val="0"/>
        <w:spacing w:line="580" w:lineRule="exact"/>
        <w:ind w:firstLineChars="200" w:firstLine="640"/>
        <w:jc w:val="left"/>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第十七条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自治州、县（市）人民政府及其相关部门应当加强辖区内无主犬只等流浪动物的管理和处置工作。</w:t>
      </w:r>
    </w:p>
    <w:p w:rsidR="00384177" w:rsidRPr="00264EBD" w:rsidRDefault="00384177" w:rsidP="00264EBD">
      <w:pPr>
        <w:widowControl/>
        <w:shd w:val="clear" w:color="auto" w:fill="FFFFFF"/>
        <w:adjustRightInd w:val="0"/>
        <w:snapToGrid w:val="0"/>
        <w:spacing w:line="580" w:lineRule="exact"/>
        <w:ind w:firstLineChars="200" w:firstLine="640"/>
        <w:jc w:val="left"/>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lastRenderedPageBreak/>
        <w:t>县城（城市）周边饲养畜禽的，不得影响环境卫生和周围居民的正常生活。</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第十八条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国省干线公路、旅游景区（点）、重点旅游集镇应当根据人口密度、流量，按照国家标准合理规划、建设公共厕所和旅游厕所。</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bCs/>
          <w:color w:val="000000"/>
          <w:kern w:val="0"/>
          <w:sz w:val="32"/>
          <w:szCs w:val="32"/>
        </w:rPr>
      </w:pPr>
      <w:r w:rsidRPr="00264EBD">
        <w:rPr>
          <w:rFonts w:ascii="黑体" w:eastAsia="黑体" w:hAnsi="黑体" w:cs="Times New Roman" w:hint="eastAsia"/>
          <w:bCs/>
          <w:color w:val="000000"/>
          <w:kern w:val="0"/>
          <w:sz w:val="32"/>
          <w:szCs w:val="32"/>
        </w:rPr>
        <w:t xml:space="preserve">第十九条  </w:t>
      </w:r>
      <w:r w:rsidRPr="00264EBD">
        <w:rPr>
          <w:rFonts w:ascii="仿宋_GB2312" w:eastAsia="仿宋_GB2312" w:hAnsi="Times New Roman" w:cs="Times New Roman" w:hint="eastAsia"/>
          <w:bCs/>
          <w:color w:val="000000"/>
          <w:kern w:val="0"/>
          <w:sz w:val="32"/>
          <w:szCs w:val="32"/>
        </w:rPr>
        <w:t>县（市）人民政府住房和城乡建设行政主管部门、乡（镇）人民政府应当加强辖区内建筑垃圾的管理，规划和设定建筑垃圾倾倒场所以及运输时间、路线。</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处置建筑垃圾的单位不得在规定的运输路线、时间、倾倒场所外处置建筑垃圾，不得丢弃、抛撒建筑垃圾，不得超出核准范围承运建筑垃圾。</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任何单位和个人不得将建筑垃圾混入生活垃圾，不得将危险废弃物混入建筑垃圾，不得擅自设立消纳处置场受</w:t>
      </w:r>
      <w:proofErr w:type="gramStart"/>
      <w:r w:rsidRPr="00264EBD">
        <w:rPr>
          <w:rFonts w:ascii="仿宋_GB2312" w:eastAsia="仿宋_GB2312" w:hAnsi="Times New Roman" w:cs="Times New Roman" w:hint="eastAsia"/>
          <w:color w:val="000000"/>
          <w:kern w:val="0"/>
          <w:sz w:val="32"/>
          <w:szCs w:val="32"/>
        </w:rPr>
        <w:t>纳建筑</w:t>
      </w:r>
      <w:proofErr w:type="gramEnd"/>
      <w:r w:rsidRPr="00264EBD">
        <w:rPr>
          <w:rFonts w:ascii="仿宋_GB2312" w:eastAsia="仿宋_GB2312" w:hAnsi="Times New Roman" w:cs="Times New Roman" w:hint="eastAsia"/>
          <w:color w:val="000000"/>
          <w:kern w:val="0"/>
          <w:sz w:val="32"/>
          <w:szCs w:val="32"/>
        </w:rPr>
        <w:t>垃圾。</w:t>
      </w:r>
    </w:p>
    <w:p w:rsidR="00384177" w:rsidRPr="00264EBD" w:rsidRDefault="00384177" w:rsidP="00264EBD">
      <w:pPr>
        <w:widowControl/>
        <w:adjustRightInd w:val="0"/>
        <w:snapToGrid w:val="0"/>
        <w:spacing w:line="580" w:lineRule="exact"/>
        <w:ind w:firstLine="640"/>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第二十条 </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宗教活动场所悬挂经幡，摆放石刻经文、佛（图）像、石画像等不得影响公共安全、交通安全和城乡容貌。</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t>禁止在</w:t>
      </w:r>
      <w:r w:rsidRPr="00264EBD">
        <w:rPr>
          <w:rFonts w:ascii="仿宋_GB2312" w:eastAsia="仿宋_GB2312" w:hAnsi="Times New Roman" w:cs="Times New Roman" w:hint="eastAsia"/>
          <w:kern w:val="0"/>
          <w:sz w:val="32"/>
          <w:szCs w:val="32"/>
        </w:rPr>
        <w:t>公路桥梁、城市河道</w:t>
      </w:r>
      <w:r w:rsidRPr="00264EBD">
        <w:rPr>
          <w:rFonts w:ascii="仿宋_GB2312" w:eastAsia="仿宋_GB2312" w:hAnsi="Times New Roman" w:cs="Times New Roman" w:hint="eastAsia"/>
          <w:color w:val="000000"/>
          <w:kern w:val="0"/>
          <w:sz w:val="32"/>
          <w:szCs w:val="32"/>
        </w:rPr>
        <w:t>、通讯电力及其附属设施</w:t>
      </w:r>
      <w:r w:rsidRPr="00264EBD">
        <w:rPr>
          <w:rFonts w:ascii="仿宋_GB2312" w:eastAsia="仿宋_GB2312" w:hAnsi="Times New Roman" w:cs="Times New Roman" w:hint="eastAsia"/>
          <w:kern w:val="0"/>
          <w:sz w:val="32"/>
          <w:szCs w:val="32"/>
        </w:rPr>
        <w:t>等公共设施设备上悬挂经幡</w:t>
      </w:r>
      <w:r w:rsidRPr="00264EBD">
        <w:rPr>
          <w:rFonts w:ascii="仿宋_GB2312" w:eastAsia="仿宋_GB2312" w:hAnsi="Times New Roman" w:cs="Times New Roman" w:hint="eastAsia"/>
          <w:color w:val="000000"/>
          <w:kern w:val="0"/>
          <w:sz w:val="32"/>
          <w:szCs w:val="32"/>
        </w:rPr>
        <w:t>，摆放石刻经文、佛（图）像、石画像等。</w:t>
      </w:r>
    </w:p>
    <w:p w:rsidR="00384177" w:rsidRPr="00264EBD" w:rsidRDefault="00384177" w:rsidP="00264EBD">
      <w:pPr>
        <w:widowControl/>
        <w:adjustRightInd w:val="0"/>
        <w:snapToGrid w:val="0"/>
        <w:spacing w:line="580" w:lineRule="exact"/>
        <w:ind w:firstLine="643"/>
        <w:jc w:val="left"/>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第二十一条 </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自治州、县（市）人民政府应当向同级人大常委会报告城乡环境综合治理工作。</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仿宋_GB2312" w:eastAsia="仿宋_GB2312" w:hAnsi="Times New Roman" w:cs="Times New Roman" w:hint="eastAsia"/>
          <w:color w:val="000000"/>
          <w:kern w:val="0"/>
          <w:sz w:val="32"/>
          <w:szCs w:val="32"/>
        </w:rPr>
        <w:lastRenderedPageBreak/>
        <w:t>乡（镇）人民政府应当向同级人民代表大会报告城乡环境综合治理工作。</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bCs/>
          <w:color w:val="000000"/>
          <w:kern w:val="0"/>
          <w:sz w:val="32"/>
          <w:szCs w:val="32"/>
        </w:rPr>
      </w:pPr>
      <w:r w:rsidRPr="00264EBD">
        <w:rPr>
          <w:rFonts w:ascii="黑体" w:eastAsia="黑体" w:hAnsi="黑体" w:cs="Times New Roman" w:hint="eastAsia"/>
          <w:bCs/>
          <w:color w:val="000000"/>
          <w:kern w:val="0"/>
          <w:sz w:val="32"/>
          <w:szCs w:val="32"/>
        </w:rPr>
        <w:t>第二十二条</w:t>
      </w:r>
      <w:r w:rsidRPr="00264EBD">
        <w:rPr>
          <w:rFonts w:ascii="仿宋_GB2312" w:eastAsia="仿宋_GB2312" w:hAnsi="Times New Roman" w:cs="Times New Roman" w:hint="eastAsia"/>
          <w:bCs/>
          <w:color w:val="000000"/>
          <w:kern w:val="0"/>
          <w:sz w:val="32"/>
          <w:szCs w:val="32"/>
        </w:rPr>
        <w:t xml:space="preserve">  </w:t>
      </w:r>
      <w:r w:rsidRPr="00264EBD">
        <w:rPr>
          <w:rFonts w:ascii="仿宋_GB2312" w:eastAsia="仿宋_GB2312" w:hAnsi="Times New Roman" w:cs="Times New Roman" w:hint="eastAsia"/>
          <w:color w:val="000000"/>
          <w:kern w:val="0"/>
          <w:sz w:val="32"/>
          <w:szCs w:val="32"/>
        </w:rPr>
        <w:t>违反本补充规定的，由自治州、县（市）城乡环境综合治理主管部门或者其他相关行政主管部门责令改正。</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24"/>
          <w:szCs w:val="20"/>
        </w:rPr>
      </w:pPr>
      <w:r w:rsidRPr="00264EBD">
        <w:rPr>
          <w:rFonts w:ascii="黑体" w:eastAsia="黑体" w:hAnsi="黑体" w:cs="Times New Roman" w:hint="eastAsia"/>
          <w:bCs/>
          <w:color w:val="000000"/>
          <w:kern w:val="0"/>
          <w:sz w:val="32"/>
          <w:szCs w:val="32"/>
        </w:rPr>
        <w:t xml:space="preserve">第二十三条 </w:t>
      </w:r>
      <w:r w:rsidRPr="00264EBD">
        <w:rPr>
          <w:rFonts w:ascii="仿宋_GB2312" w:eastAsia="仿宋_GB2312" w:hAnsi="Times New Roman" w:cs="Times New Roman" w:hint="eastAsia"/>
          <w:color w:val="000000"/>
          <w:kern w:val="0"/>
          <w:sz w:val="24"/>
          <w:szCs w:val="20"/>
        </w:rPr>
        <w:t xml:space="preserve"> </w:t>
      </w:r>
      <w:r w:rsidRPr="00264EBD">
        <w:rPr>
          <w:rFonts w:ascii="仿宋_GB2312" w:eastAsia="仿宋_GB2312" w:hAnsi="Times New Roman" w:cs="Times New Roman" w:hint="eastAsia"/>
          <w:bCs/>
          <w:color w:val="000000"/>
          <w:kern w:val="0"/>
          <w:sz w:val="32"/>
          <w:szCs w:val="32"/>
        </w:rPr>
        <w:t>违反本补充规定，依照有关法律法规应当给予处罚的，由自治州、县（市）人民政府相关部门依据相关法律法规给予处罚。</w:t>
      </w:r>
    </w:p>
    <w:p w:rsidR="00384177" w:rsidRPr="00264EBD" w:rsidRDefault="00384177" w:rsidP="00264EBD">
      <w:pPr>
        <w:adjustRightInd w:val="0"/>
        <w:snapToGrid w:val="0"/>
        <w:spacing w:line="580" w:lineRule="exact"/>
        <w:ind w:firstLineChars="200" w:firstLine="640"/>
        <w:rPr>
          <w:rFonts w:ascii="仿宋_GB2312" w:eastAsia="仿宋_GB2312" w:hint="eastAsia"/>
          <w:sz w:val="32"/>
          <w:szCs w:val="32"/>
        </w:rPr>
      </w:pPr>
      <w:r w:rsidRPr="00264EBD">
        <w:rPr>
          <w:rFonts w:ascii="黑体" w:eastAsia="黑体" w:hAnsi="黑体" w:cs="Times New Roman" w:hint="eastAsia"/>
          <w:bCs/>
          <w:color w:val="000000"/>
          <w:kern w:val="0"/>
          <w:sz w:val="32"/>
          <w:szCs w:val="32"/>
        </w:rPr>
        <w:t xml:space="preserve">第二十四条 </w:t>
      </w:r>
      <w:r w:rsidRPr="00264EBD">
        <w:rPr>
          <w:rFonts w:ascii="仿宋_GB2312" w:eastAsia="仿宋_GB2312" w:hint="eastAsia"/>
          <w:sz w:val="32"/>
          <w:szCs w:val="32"/>
        </w:rPr>
        <w:t xml:space="preserve"> 拒绝、阻碍城乡环境综合治理执法人员执行公务，违反《中华人民共和国治安管理处罚法》的，由公安机关依法给予治安处罚。</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第二十五条  </w:t>
      </w:r>
      <w:r w:rsidRPr="00264EBD">
        <w:rPr>
          <w:rFonts w:ascii="仿宋_GB2312" w:eastAsia="仿宋_GB2312" w:hAnsi="Times New Roman" w:cs="Times New Roman" w:hint="eastAsia"/>
          <w:color w:val="000000"/>
          <w:kern w:val="0"/>
          <w:sz w:val="32"/>
          <w:szCs w:val="32"/>
        </w:rPr>
        <w:t>城乡环境综合治理主管部门或者其他相关行政主管部门的工作人员滥用职权、玩忽职守、徇私舞弊尚未构成犯罪的，由有权机关依法给予处分。</w:t>
      </w:r>
    </w:p>
    <w:p w:rsidR="00384177" w:rsidRPr="00264EBD" w:rsidRDefault="00384177" w:rsidP="00264EBD">
      <w:pPr>
        <w:widowControl/>
        <w:adjustRightInd w:val="0"/>
        <w:snapToGrid w:val="0"/>
        <w:spacing w:line="580" w:lineRule="exact"/>
        <w:ind w:firstLine="643"/>
        <w:rPr>
          <w:rFonts w:ascii="仿宋_GB2312" w:eastAsia="仿宋_GB2312" w:hAnsi="Times New Roman" w:cs="Times New Roman" w:hint="eastAsia"/>
          <w:color w:val="000000"/>
          <w:kern w:val="0"/>
          <w:sz w:val="32"/>
          <w:szCs w:val="32"/>
        </w:rPr>
      </w:pPr>
      <w:r w:rsidRPr="00264EBD">
        <w:rPr>
          <w:rFonts w:ascii="黑体" w:eastAsia="黑体" w:hAnsi="黑体" w:cs="Times New Roman" w:hint="eastAsia"/>
          <w:bCs/>
          <w:color w:val="000000"/>
          <w:kern w:val="0"/>
          <w:sz w:val="32"/>
          <w:szCs w:val="32"/>
        </w:rPr>
        <w:t xml:space="preserve">第二十六条  </w:t>
      </w:r>
      <w:r w:rsidRPr="00264EBD">
        <w:rPr>
          <w:rFonts w:ascii="仿宋_GB2312" w:eastAsia="仿宋_GB2312" w:hAnsi="Times New Roman" w:cs="Times New Roman" w:hint="eastAsia"/>
          <w:bCs/>
          <w:color w:val="000000"/>
          <w:kern w:val="0"/>
          <w:sz w:val="32"/>
          <w:szCs w:val="32"/>
        </w:rPr>
        <w:t>《四川省城乡环境综合治理条例》已作规定的，从其规定。</w:t>
      </w:r>
    </w:p>
    <w:p w:rsidR="00384177" w:rsidRPr="00264EBD" w:rsidRDefault="00384177" w:rsidP="00264EBD">
      <w:pPr>
        <w:adjustRightInd w:val="0"/>
        <w:snapToGrid w:val="0"/>
        <w:spacing w:line="580" w:lineRule="exact"/>
        <w:ind w:firstLineChars="196" w:firstLine="627"/>
        <w:rPr>
          <w:rFonts w:ascii="仿宋_GB2312" w:eastAsia="仿宋_GB2312" w:hint="eastAsia"/>
          <w:bCs/>
          <w:sz w:val="32"/>
          <w:szCs w:val="32"/>
        </w:rPr>
      </w:pPr>
      <w:r w:rsidRPr="00264EBD">
        <w:rPr>
          <w:rFonts w:ascii="黑体" w:eastAsia="黑体" w:hAnsi="黑体" w:cs="Times New Roman" w:hint="eastAsia"/>
          <w:bCs/>
          <w:color w:val="000000"/>
          <w:kern w:val="0"/>
          <w:sz w:val="32"/>
          <w:szCs w:val="32"/>
        </w:rPr>
        <w:t>第二十七条</w:t>
      </w:r>
      <w:r w:rsidRPr="00264EBD">
        <w:rPr>
          <w:rFonts w:ascii="仿宋_GB2312" w:eastAsia="仿宋_GB2312" w:hint="eastAsia"/>
          <w:bCs/>
          <w:color w:val="000000"/>
          <w:kern w:val="0"/>
          <w:sz w:val="32"/>
          <w:szCs w:val="32"/>
        </w:rPr>
        <w:t xml:space="preserve"> </w:t>
      </w:r>
      <w:r w:rsidRPr="00264EBD">
        <w:rPr>
          <w:rFonts w:ascii="仿宋_GB2312" w:eastAsia="仿宋_GB2312" w:hint="eastAsia"/>
          <w:bCs/>
          <w:sz w:val="32"/>
          <w:szCs w:val="32"/>
        </w:rPr>
        <w:t xml:space="preserve"> 自治州人民政府可以根据本补充规定，制定具体的实施办法。</w:t>
      </w:r>
    </w:p>
    <w:p w:rsidR="00384177" w:rsidRPr="00264EBD" w:rsidRDefault="00384177" w:rsidP="00264EBD">
      <w:pPr>
        <w:adjustRightInd w:val="0"/>
        <w:snapToGrid w:val="0"/>
        <w:spacing w:line="580" w:lineRule="exact"/>
        <w:ind w:firstLineChars="196" w:firstLine="627"/>
        <w:rPr>
          <w:rFonts w:ascii="仿宋_GB2312" w:eastAsia="仿宋_GB2312" w:hint="eastAsia"/>
        </w:rPr>
      </w:pPr>
      <w:r w:rsidRPr="00264EBD">
        <w:rPr>
          <w:rFonts w:ascii="黑体" w:eastAsia="黑体" w:hAnsi="黑体" w:cs="Times New Roman" w:hint="eastAsia"/>
          <w:bCs/>
          <w:color w:val="000000"/>
          <w:kern w:val="0"/>
          <w:sz w:val="32"/>
          <w:szCs w:val="32"/>
        </w:rPr>
        <w:t xml:space="preserve">第二十八条  </w:t>
      </w:r>
      <w:r w:rsidRPr="00264EBD">
        <w:rPr>
          <w:rFonts w:ascii="仿宋_GB2312" w:eastAsia="仿宋_GB2312" w:hint="eastAsia"/>
          <w:bCs/>
          <w:sz w:val="32"/>
          <w:szCs w:val="32"/>
        </w:rPr>
        <w:t>本补充规定自2018年9月1日起施行。</w:t>
      </w:r>
      <w:bookmarkStart w:id="0" w:name="_GoBack"/>
      <w:bookmarkEnd w:id="0"/>
    </w:p>
    <w:p w:rsidR="00C33ADD" w:rsidRPr="00384177" w:rsidRDefault="00C33ADD"/>
    <w:sectPr w:rsidR="00C33ADD" w:rsidRPr="00384177" w:rsidSect="00264EBD">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EBD" w:rsidRDefault="00264EBD" w:rsidP="00264EBD">
      <w:r>
        <w:separator/>
      </w:r>
    </w:p>
  </w:endnote>
  <w:endnote w:type="continuationSeparator" w:id="0">
    <w:p w:rsidR="00264EBD" w:rsidRDefault="00264EBD" w:rsidP="0026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楷体简体">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99003"/>
      <w:docPartObj>
        <w:docPartGallery w:val="Page Numbers (Bottom of Page)"/>
        <w:docPartUnique/>
      </w:docPartObj>
    </w:sdtPr>
    <w:sdtEndPr>
      <w:rPr>
        <w:rFonts w:asciiTheme="minorEastAsia" w:hAnsiTheme="minorEastAsia"/>
        <w:sz w:val="28"/>
        <w:szCs w:val="28"/>
      </w:rPr>
    </w:sdtEndPr>
    <w:sdtContent>
      <w:p w:rsidR="00264EBD" w:rsidRPr="00264EBD" w:rsidRDefault="00264EBD" w:rsidP="00264EBD">
        <w:pPr>
          <w:pStyle w:val="a4"/>
          <w:ind w:firstLineChars="100" w:firstLine="180"/>
          <w:rPr>
            <w:rFonts w:asciiTheme="minorEastAsia" w:hAnsiTheme="minorEastAsia"/>
            <w:sz w:val="28"/>
            <w:szCs w:val="28"/>
          </w:rPr>
        </w:pPr>
        <w:r w:rsidRPr="00264EBD">
          <w:rPr>
            <w:rFonts w:asciiTheme="minorEastAsia" w:hAnsiTheme="minorEastAsia" w:hint="eastAsia"/>
            <w:sz w:val="28"/>
            <w:szCs w:val="28"/>
          </w:rPr>
          <w:t xml:space="preserve">— </w:t>
        </w:r>
        <w:r w:rsidRPr="00264EBD">
          <w:rPr>
            <w:rFonts w:asciiTheme="minorEastAsia" w:hAnsiTheme="minorEastAsia"/>
            <w:sz w:val="28"/>
            <w:szCs w:val="28"/>
          </w:rPr>
          <w:fldChar w:fldCharType="begin"/>
        </w:r>
        <w:r w:rsidRPr="00264EBD">
          <w:rPr>
            <w:rFonts w:asciiTheme="minorEastAsia" w:hAnsiTheme="minorEastAsia"/>
            <w:sz w:val="28"/>
            <w:szCs w:val="28"/>
          </w:rPr>
          <w:instrText>PAGE   \* MERGEFORMAT</w:instrText>
        </w:r>
        <w:r w:rsidRPr="00264EBD">
          <w:rPr>
            <w:rFonts w:asciiTheme="minorEastAsia" w:hAnsiTheme="minorEastAsia"/>
            <w:sz w:val="28"/>
            <w:szCs w:val="28"/>
          </w:rPr>
          <w:fldChar w:fldCharType="separate"/>
        </w:r>
        <w:r w:rsidRPr="00264EBD">
          <w:rPr>
            <w:rFonts w:asciiTheme="minorEastAsia" w:hAnsiTheme="minorEastAsia"/>
            <w:noProof/>
            <w:sz w:val="28"/>
            <w:szCs w:val="28"/>
            <w:lang w:val="zh-CN"/>
          </w:rPr>
          <w:t>2</w:t>
        </w:r>
        <w:r w:rsidRPr="00264EBD">
          <w:rPr>
            <w:rFonts w:asciiTheme="minorEastAsia" w:hAnsiTheme="minorEastAsia"/>
            <w:sz w:val="28"/>
            <w:szCs w:val="28"/>
          </w:rPr>
          <w:fldChar w:fldCharType="end"/>
        </w:r>
        <w:r w:rsidRPr="00264EBD">
          <w:rPr>
            <w:rFonts w:asciiTheme="minorEastAsia" w:hAnsiTheme="minorEastAsia" w:hint="eastAsia"/>
            <w:sz w:val="28"/>
            <w:szCs w:val="28"/>
          </w:rPr>
          <w:t xml:space="preserve"> —</w:t>
        </w:r>
      </w:p>
    </w:sdtContent>
  </w:sdt>
  <w:p w:rsidR="00264EBD" w:rsidRDefault="00264E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794566"/>
      <w:docPartObj>
        <w:docPartGallery w:val="Page Numbers (Bottom of Page)"/>
        <w:docPartUnique/>
      </w:docPartObj>
    </w:sdtPr>
    <w:sdtEndPr>
      <w:rPr>
        <w:rFonts w:asciiTheme="minorEastAsia" w:hAnsiTheme="minorEastAsia"/>
        <w:sz w:val="28"/>
        <w:szCs w:val="28"/>
      </w:rPr>
    </w:sdtEndPr>
    <w:sdtContent>
      <w:p w:rsidR="00264EBD" w:rsidRPr="00264EBD" w:rsidRDefault="00264EBD" w:rsidP="00264EBD">
        <w:pPr>
          <w:pStyle w:val="a4"/>
          <w:wordWrap w:val="0"/>
          <w:jc w:val="right"/>
          <w:rPr>
            <w:rFonts w:asciiTheme="minorEastAsia" w:hAnsiTheme="minorEastAsia"/>
            <w:sz w:val="28"/>
            <w:szCs w:val="28"/>
          </w:rPr>
        </w:pPr>
        <w:r w:rsidRPr="00264EBD">
          <w:rPr>
            <w:rFonts w:asciiTheme="minorEastAsia" w:hAnsiTheme="minorEastAsia" w:hint="eastAsia"/>
            <w:sz w:val="28"/>
            <w:szCs w:val="28"/>
          </w:rPr>
          <w:t xml:space="preserve">— </w:t>
        </w:r>
        <w:r w:rsidRPr="00264EBD">
          <w:rPr>
            <w:rFonts w:asciiTheme="minorEastAsia" w:hAnsiTheme="minorEastAsia"/>
            <w:sz w:val="28"/>
            <w:szCs w:val="28"/>
          </w:rPr>
          <w:fldChar w:fldCharType="begin"/>
        </w:r>
        <w:r w:rsidRPr="00264EBD">
          <w:rPr>
            <w:rFonts w:asciiTheme="minorEastAsia" w:hAnsiTheme="minorEastAsia"/>
            <w:sz w:val="28"/>
            <w:szCs w:val="28"/>
          </w:rPr>
          <w:instrText>PAGE   \* MERGEFORMAT</w:instrText>
        </w:r>
        <w:r w:rsidRPr="00264EBD">
          <w:rPr>
            <w:rFonts w:asciiTheme="minorEastAsia" w:hAnsiTheme="minorEastAsia"/>
            <w:sz w:val="28"/>
            <w:szCs w:val="28"/>
          </w:rPr>
          <w:fldChar w:fldCharType="separate"/>
        </w:r>
        <w:r w:rsidRPr="00264EBD">
          <w:rPr>
            <w:rFonts w:asciiTheme="minorEastAsia" w:hAnsiTheme="minorEastAsia"/>
            <w:noProof/>
            <w:sz w:val="28"/>
            <w:szCs w:val="28"/>
            <w:lang w:val="zh-CN"/>
          </w:rPr>
          <w:t>1</w:t>
        </w:r>
        <w:r w:rsidRPr="00264EBD">
          <w:rPr>
            <w:rFonts w:asciiTheme="minorEastAsia" w:hAnsiTheme="minorEastAsia"/>
            <w:sz w:val="28"/>
            <w:szCs w:val="28"/>
          </w:rPr>
          <w:fldChar w:fldCharType="end"/>
        </w:r>
        <w:r w:rsidRPr="00264EBD">
          <w:rPr>
            <w:rFonts w:asciiTheme="minorEastAsia" w:hAnsiTheme="minorEastAsia" w:hint="eastAsia"/>
            <w:sz w:val="28"/>
            <w:szCs w:val="28"/>
          </w:rPr>
          <w:t xml:space="preserve"> —</w:t>
        </w:r>
        <w:r>
          <w:rPr>
            <w:rFonts w:asciiTheme="minorEastAsia" w:hAnsiTheme="minorEastAsia" w:hint="eastAsia"/>
            <w:sz w:val="28"/>
            <w:szCs w:val="28"/>
          </w:rPr>
          <w:t xml:space="preserve">  </w:t>
        </w:r>
      </w:p>
    </w:sdtContent>
  </w:sdt>
  <w:p w:rsidR="00264EBD" w:rsidRDefault="00264E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EBD" w:rsidRDefault="00264EBD" w:rsidP="00264EBD">
      <w:r>
        <w:separator/>
      </w:r>
    </w:p>
  </w:footnote>
  <w:footnote w:type="continuationSeparator" w:id="0">
    <w:p w:rsidR="00264EBD" w:rsidRDefault="00264EBD" w:rsidP="00264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F5933"/>
    <w:multiLevelType w:val="multilevel"/>
    <w:tmpl w:val="F0C2E892"/>
    <w:lvl w:ilvl="0">
      <w:start w:val="9"/>
      <w:numFmt w:val="japaneseCounting"/>
      <w:lvlText w:val="第%1条"/>
      <w:lvlJc w:val="left"/>
      <w:pPr>
        <w:tabs>
          <w:tab w:val="num" w:pos="1080"/>
        </w:tabs>
        <w:ind w:left="1080" w:hanging="1080"/>
      </w:pPr>
      <w:rPr>
        <w:rFonts w:ascii="方正楷体简体" w:eastAsia="方正楷体简体"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177"/>
    <w:rsid w:val="00264EBD"/>
    <w:rsid w:val="00384177"/>
    <w:rsid w:val="00C3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EBD"/>
    <w:rPr>
      <w:sz w:val="18"/>
      <w:szCs w:val="18"/>
    </w:rPr>
  </w:style>
  <w:style w:type="paragraph" w:styleId="a4">
    <w:name w:val="footer"/>
    <w:basedOn w:val="a"/>
    <w:link w:val="Char0"/>
    <w:uiPriority w:val="99"/>
    <w:unhideWhenUsed/>
    <w:rsid w:val="00264EBD"/>
    <w:pPr>
      <w:tabs>
        <w:tab w:val="center" w:pos="4153"/>
        <w:tab w:val="right" w:pos="8306"/>
      </w:tabs>
      <w:snapToGrid w:val="0"/>
      <w:jc w:val="left"/>
    </w:pPr>
    <w:rPr>
      <w:sz w:val="18"/>
      <w:szCs w:val="18"/>
    </w:rPr>
  </w:style>
  <w:style w:type="character" w:customStyle="1" w:styleId="Char0">
    <w:name w:val="页脚 Char"/>
    <w:basedOn w:val="a0"/>
    <w:link w:val="a4"/>
    <w:uiPriority w:val="99"/>
    <w:rsid w:val="00264EBD"/>
    <w:rPr>
      <w:sz w:val="18"/>
      <w:szCs w:val="18"/>
    </w:rPr>
  </w:style>
  <w:style w:type="paragraph" w:styleId="a5">
    <w:name w:val="Normal (Web)"/>
    <w:basedOn w:val="a"/>
    <w:uiPriority w:val="99"/>
    <w:unhideWhenUsed/>
    <w:rsid w:val="00264EB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EBD"/>
    <w:rPr>
      <w:sz w:val="18"/>
      <w:szCs w:val="18"/>
    </w:rPr>
  </w:style>
  <w:style w:type="paragraph" w:styleId="a4">
    <w:name w:val="footer"/>
    <w:basedOn w:val="a"/>
    <w:link w:val="Char0"/>
    <w:uiPriority w:val="99"/>
    <w:unhideWhenUsed/>
    <w:rsid w:val="00264EBD"/>
    <w:pPr>
      <w:tabs>
        <w:tab w:val="center" w:pos="4153"/>
        <w:tab w:val="right" w:pos="8306"/>
      </w:tabs>
      <w:snapToGrid w:val="0"/>
      <w:jc w:val="left"/>
    </w:pPr>
    <w:rPr>
      <w:sz w:val="18"/>
      <w:szCs w:val="18"/>
    </w:rPr>
  </w:style>
  <w:style w:type="character" w:customStyle="1" w:styleId="Char0">
    <w:name w:val="页脚 Char"/>
    <w:basedOn w:val="a0"/>
    <w:link w:val="a4"/>
    <w:uiPriority w:val="99"/>
    <w:rsid w:val="00264EBD"/>
    <w:rPr>
      <w:sz w:val="18"/>
      <w:szCs w:val="18"/>
    </w:rPr>
  </w:style>
  <w:style w:type="paragraph" w:styleId="a5">
    <w:name w:val="Normal (Web)"/>
    <w:basedOn w:val="a"/>
    <w:uiPriority w:val="99"/>
    <w:unhideWhenUsed/>
    <w:rsid w:val="00264E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458</Words>
  <Characters>2612</Characters>
  <Application>Microsoft Office Word</Application>
  <DocSecurity>0</DocSecurity>
  <Lines>21</Lines>
  <Paragraphs>6</Paragraphs>
  <ScaleCrop>false</ScaleCrop>
  <Company>Lenovo</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2018-08-20T06:59:00Z</dcterms:created>
  <dcterms:modified xsi:type="dcterms:W3CDTF">2018-08-23T03:20:00Z</dcterms:modified>
</cp:coreProperties>
</file>