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E89" w:rsidRDefault="00AC0E89" w:rsidP="00AC0E89">
      <w:pPr>
        <w:snapToGrid w:val="0"/>
        <w:spacing w:line="580" w:lineRule="exact"/>
        <w:jc w:val="center"/>
        <w:rPr>
          <w:rFonts w:asciiTheme="majorEastAsia" w:eastAsiaTheme="majorEastAsia" w:hAnsiTheme="majorEastAsia"/>
          <w:sz w:val="44"/>
          <w:szCs w:val="44"/>
        </w:rPr>
      </w:pPr>
    </w:p>
    <w:p w:rsidR="00AC0E89" w:rsidRDefault="00AC0E89" w:rsidP="00AC0E89">
      <w:pPr>
        <w:snapToGrid w:val="0"/>
        <w:spacing w:line="580" w:lineRule="exact"/>
        <w:jc w:val="center"/>
        <w:rPr>
          <w:rFonts w:asciiTheme="majorEastAsia" w:eastAsiaTheme="majorEastAsia" w:hAnsiTheme="majorEastAsia"/>
          <w:sz w:val="44"/>
          <w:szCs w:val="44"/>
        </w:rPr>
      </w:pPr>
    </w:p>
    <w:p w:rsidR="00C7314C" w:rsidRPr="00AC0E89" w:rsidRDefault="00C7314C" w:rsidP="00AC0E89">
      <w:pPr>
        <w:snapToGrid w:val="0"/>
        <w:spacing w:line="580" w:lineRule="exact"/>
        <w:jc w:val="center"/>
        <w:rPr>
          <w:rFonts w:asciiTheme="majorEastAsia" w:eastAsiaTheme="majorEastAsia" w:hAnsiTheme="majorEastAsia"/>
          <w:sz w:val="44"/>
          <w:szCs w:val="44"/>
        </w:rPr>
      </w:pPr>
      <w:r w:rsidRPr="00AC0E89">
        <w:rPr>
          <w:rFonts w:asciiTheme="majorEastAsia" w:eastAsiaTheme="majorEastAsia" w:hAnsiTheme="majorEastAsia" w:hint="eastAsia"/>
          <w:sz w:val="44"/>
          <w:szCs w:val="44"/>
        </w:rPr>
        <w:t>雅安市新村聚居点管理条例</w:t>
      </w:r>
    </w:p>
    <w:p w:rsidR="00C7314C" w:rsidRPr="00E21342" w:rsidRDefault="00C7314C" w:rsidP="00AC0E89">
      <w:pPr>
        <w:snapToGrid w:val="0"/>
        <w:spacing w:line="580" w:lineRule="exact"/>
        <w:ind w:leftChars="300" w:left="630" w:rightChars="300" w:right="630"/>
        <w:jc w:val="center"/>
        <w:rPr>
          <w:rFonts w:ascii="楷体_GB2312" w:eastAsia="楷体_GB2312" w:hAnsi="楷体" w:hint="eastAsia"/>
          <w:sz w:val="32"/>
          <w:szCs w:val="32"/>
        </w:rPr>
      </w:pPr>
      <w:bookmarkStart w:id="0" w:name="_GoBack"/>
      <w:r w:rsidRPr="00E21342">
        <w:rPr>
          <w:rFonts w:ascii="楷体_GB2312" w:eastAsia="楷体_GB2312" w:hAnsi="楷体" w:hint="eastAsia"/>
          <w:sz w:val="32"/>
          <w:szCs w:val="32"/>
        </w:rPr>
        <w:t>（2017年1月8日雅安市第三届人民代表大会常务委员会第四十三次会议通过</w:t>
      </w:r>
      <w:r w:rsidR="00AC0E89" w:rsidRPr="00E21342">
        <w:rPr>
          <w:rFonts w:ascii="楷体_GB2312" w:eastAsia="楷体_GB2312" w:hAnsi="楷体" w:hint="eastAsia"/>
          <w:sz w:val="32"/>
          <w:szCs w:val="32"/>
        </w:rPr>
        <w:t xml:space="preserve">  </w:t>
      </w:r>
      <w:r w:rsidRPr="00E21342">
        <w:rPr>
          <w:rFonts w:ascii="楷体_GB2312" w:eastAsia="楷体_GB2312" w:hAnsi="楷体" w:hint="eastAsia"/>
          <w:sz w:val="32"/>
          <w:szCs w:val="32"/>
        </w:rPr>
        <w:t>2017年3月29日四川省第十二届人民代表大会常务委员会第三十二次会议通过）</w:t>
      </w:r>
    </w:p>
    <w:p w:rsidR="00C7314C" w:rsidRPr="00AC0E89" w:rsidRDefault="00C7314C" w:rsidP="00AC0E89">
      <w:pPr>
        <w:spacing w:line="580" w:lineRule="exact"/>
        <w:jc w:val="center"/>
        <w:rPr>
          <w:rFonts w:ascii="黑体" w:eastAsia="黑体" w:hAnsi="黑体"/>
          <w:sz w:val="32"/>
          <w:szCs w:val="32"/>
        </w:rPr>
      </w:pPr>
    </w:p>
    <w:bookmarkEnd w:id="0"/>
    <w:p w:rsidR="00C7314C" w:rsidRPr="00AC0E89" w:rsidRDefault="00C7314C" w:rsidP="00AC0E89">
      <w:pPr>
        <w:snapToGrid w:val="0"/>
        <w:spacing w:line="580" w:lineRule="exact"/>
        <w:jc w:val="center"/>
        <w:rPr>
          <w:rFonts w:ascii="黑体" w:eastAsia="黑体" w:hAnsi="黑体"/>
          <w:sz w:val="32"/>
          <w:szCs w:val="32"/>
        </w:rPr>
      </w:pPr>
      <w:r w:rsidRPr="00AC0E89">
        <w:rPr>
          <w:rFonts w:ascii="黑体" w:eastAsia="黑体" w:hAnsi="黑体" w:hint="eastAsia"/>
          <w:sz w:val="32"/>
          <w:szCs w:val="32"/>
        </w:rPr>
        <w:t>第一章   总　则</w:t>
      </w:r>
    </w:p>
    <w:p w:rsidR="00AC0E89" w:rsidRPr="00AC0E89" w:rsidRDefault="00AC0E89" w:rsidP="00AC0E89">
      <w:pPr>
        <w:snapToGrid w:val="0"/>
        <w:spacing w:line="580" w:lineRule="exact"/>
        <w:jc w:val="center"/>
        <w:rPr>
          <w:rFonts w:ascii="仿宋_GB2312" w:eastAsia="仿宋_GB2312" w:hAnsi="仿宋"/>
          <w:sz w:val="32"/>
          <w:szCs w:val="32"/>
        </w:rPr>
      </w:pP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第一条</w:t>
      </w:r>
      <w:r w:rsidRPr="00AC0E89">
        <w:rPr>
          <w:rFonts w:ascii="仿宋_GB2312" w:eastAsia="仿宋_GB2312" w:hAnsi="仿宋" w:hint="eastAsia"/>
          <w:sz w:val="32"/>
          <w:szCs w:val="32"/>
        </w:rPr>
        <w:t xml:space="preserve">  为了巩固提升地震灾后重建成果，规范新村聚居点管理，加强农村社区和幸福美丽新村建设，促进社会和谐，根据有关法律法规，结合雅安市实际，制定本条例。</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第二条</w:t>
      </w:r>
      <w:r w:rsidRPr="00AC0E89">
        <w:rPr>
          <w:rFonts w:ascii="仿宋_GB2312" w:eastAsia="仿宋_GB2312" w:hAnsi="仿宋" w:hint="eastAsia"/>
          <w:sz w:val="32"/>
          <w:szCs w:val="32"/>
        </w:rPr>
        <w:t xml:space="preserve">  本市行政区域内“4</w:t>
      </w:r>
      <w:r w:rsidRPr="00AC0E89">
        <w:rPr>
          <w:rFonts w:ascii="宋体" w:hAnsi="宋体" w:cs="宋体" w:hint="eastAsia"/>
          <w:sz w:val="32"/>
          <w:szCs w:val="32"/>
        </w:rPr>
        <w:t>•</w:t>
      </w:r>
      <w:r w:rsidRPr="00AC0E89">
        <w:rPr>
          <w:rFonts w:ascii="仿宋_GB2312" w:eastAsia="仿宋_GB2312" w:hAnsi="仿宋" w:hint="eastAsia"/>
          <w:sz w:val="32"/>
          <w:szCs w:val="32"/>
        </w:rPr>
        <w:t>20”芦山强烈地震灾后建设的新村聚居点管理，适用本条例。</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第三条</w:t>
      </w:r>
      <w:r w:rsidRPr="00AC0E89">
        <w:rPr>
          <w:rFonts w:ascii="仿宋_GB2312" w:eastAsia="仿宋_GB2312" w:hAnsi="仿宋" w:hint="eastAsia"/>
          <w:sz w:val="32"/>
          <w:szCs w:val="32"/>
        </w:rPr>
        <w:t xml:space="preserve">  本条例所称新村聚居点，是指按照新农村建设规划建设、具备配套基础设施和公共服务设施的农村居民集中居住区。</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本条例所称新村聚居点管理，是指对新村聚居点的房屋及配套设施设备、公共场地进行规范管理，维护新村聚居点的环境卫生、容貌秩序和园林绿化的活动。</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第四条</w:t>
      </w:r>
      <w:r w:rsidRPr="00AC0E89">
        <w:rPr>
          <w:rFonts w:ascii="仿宋_GB2312" w:eastAsia="仿宋_GB2312" w:hAnsi="仿宋" w:hint="eastAsia"/>
          <w:sz w:val="32"/>
          <w:szCs w:val="32"/>
        </w:rPr>
        <w:t xml:space="preserve">　新村聚居点管理应当坚持政府引导、居民主体、民主管理、自我服务的原则。</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lastRenderedPageBreak/>
        <w:t>第五条</w:t>
      </w:r>
      <w:r w:rsidRPr="00AC0E89">
        <w:rPr>
          <w:rFonts w:ascii="仿宋_GB2312" w:eastAsia="仿宋_GB2312" w:hAnsi="仿宋" w:hint="eastAsia"/>
          <w:sz w:val="32"/>
          <w:szCs w:val="32"/>
        </w:rPr>
        <w:t xml:space="preserve">  县级人民政府应当加强对本行政区域内新村聚居点管理活动的领导。</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县级人民政府有关行政主管部门按照各自职责，依法实施对新村聚居点管理活动的服务和监督工作。</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第六条</w:t>
      </w:r>
      <w:r w:rsidRPr="00AC0E89">
        <w:rPr>
          <w:rFonts w:ascii="仿宋_GB2312" w:eastAsia="仿宋_GB2312" w:hAnsi="仿宋" w:hint="eastAsia"/>
          <w:sz w:val="32"/>
          <w:szCs w:val="32"/>
        </w:rPr>
        <w:t xml:space="preserve">  新村聚居</w:t>
      </w:r>
      <w:proofErr w:type="gramStart"/>
      <w:r w:rsidRPr="00AC0E89">
        <w:rPr>
          <w:rFonts w:ascii="仿宋_GB2312" w:eastAsia="仿宋_GB2312" w:hAnsi="仿宋" w:hint="eastAsia"/>
          <w:sz w:val="32"/>
          <w:szCs w:val="32"/>
        </w:rPr>
        <w:t>点应当</w:t>
      </w:r>
      <w:proofErr w:type="gramEnd"/>
      <w:r w:rsidRPr="00AC0E89">
        <w:rPr>
          <w:rFonts w:ascii="仿宋_GB2312" w:eastAsia="仿宋_GB2312" w:hAnsi="仿宋" w:hint="eastAsia"/>
          <w:sz w:val="32"/>
          <w:szCs w:val="32"/>
        </w:rPr>
        <w:t>成立自主管理委员会，负责新村聚居点日常管理工作。规模较小的新村聚居点可以由新村聚居点居民共同推选一名自主管理执行人履行自主管理委员会的职责。</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乡镇人民政府组织、指导、协调本辖区内新村聚居点管理工作，督促自主管理委员会依法履行职责，协调农村社区建设与新村聚居点管理的关系。</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村民委员会协助乡镇人民政府开展新村聚居点管理工作，支持自主管理委员会依法开展活动。</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第七条</w:t>
      </w:r>
      <w:r w:rsidRPr="00AC0E89">
        <w:rPr>
          <w:rFonts w:ascii="仿宋_GB2312" w:eastAsia="仿宋_GB2312" w:hAnsi="仿宋" w:hint="eastAsia"/>
          <w:sz w:val="32"/>
          <w:szCs w:val="32"/>
        </w:rPr>
        <w:t xml:space="preserve">  县级人民政府应当建立新村聚居点管理经费的补助机制。</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市县两级人民政府应当加大对新村聚居点建设管理的资金投入和扶持力度，建立长效机制。</w:t>
      </w:r>
    </w:p>
    <w:p w:rsidR="00C7314C" w:rsidRPr="00AC0E89" w:rsidRDefault="00C7314C" w:rsidP="00AC0E89">
      <w:pPr>
        <w:snapToGrid w:val="0"/>
        <w:spacing w:line="580" w:lineRule="exact"/>
        <w:ind w:firstLineChars="200" w:firstLine="640"/>
        <w:jc w:val="center"/>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第二章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自主管理委员会</w:t>
      </w:r>
    </w:p>
    <w:p w:rsidR="00AC0E89" w:rsidRPr="00AC0E89" w:rsidRDefault="00AC0E89" w:rsidP="00AC0E89">
      <w:pPr>
        <w:snapToGrid w:val="0"/>
        <w:spacing w:line="580" w:lineRule="exact"/>
        <w:jc w:val="center"/>
        <w:rPr>
          <w:rFonts w:ascii="仿宋_GB2312" w:eastAsia="黑体" w:hAnsi="仿宋"/>
          <w:sz w:val="32"/>
          <w:szCs w:val="32"/>
        </w:rPr>
      </w:pP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第八条</w:t>
      </w:r>
      <w:r w:rsidRPr="00AC0E89">
        <w:rPr>
          <w:rFonts w:ascii="仿宋_GB2312" w:eastAsia="仿宋_GB2312" w:hAnsi="仿宋" w:hint="eastAsia"/>
          <w:sz w:val="32"/>
          <w:szCs w:val="32"/>
        </w:rPr>
        <w:t xml:space="preserve">   居民户籍属于不同行政村的新村聚居点，由新村聚居点所在地的乡镇人民政府负责召集新村聚居点居民或者居</w:t>
      </w:r>
      <w:r w:rsidRPr="00AC0E89">
        <w:rPr>
          <w:rFonts w:ascii="仿宋_GB2312" w:eastAsia="仿宋_GB2312" w:hAnsi="仿宋" w:hint="eastAsia"/>
          <w:sz w:val="32"/>
          <w:szCs w:val="32"/>
        </w:rPr>
        <w:lastRenderedPageBreak/>
        <w:t>民代表成立自主管理委员会，推选、更换自主管理委员会成员，有关村民委员会予以协助。</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居民户籍属于同一行政村的新村聚居点，乡镇人民政府可以委托村民委员会召集新村聚居点居民或者居民代表成立自主管理委员会，推选、更换自主管理委员会成员。</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居民代表由新村聚居点居民以户为单位确定一人，从具有完全民事行为能力的家庭成员中产生。</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第九条</w:t>
      </w:r>
      <w:r w:rsidRPr="00AC0E89">
        <w:rPr>
          <w:rFonts w:ascii="仿宋_GB2312" w:eastAsia="仿宋_GB2312" w:hAnsi="仿宋" w:hint="eastAsia"/>
          <w:sz w:val="32"/>
          <w:szCs w:val="32"/>
        </w:rPr>
        <w:t xml:space="preserve">  自主管理委员会由三至七人的单数组成。自主管理委员会成员从新村聚居点居民中推选产生。</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自主管理委员会成员应当奉公守法、品行良好、公道正派、热心公益、具有一定的工作能力。</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自主管理委员会成员每届任期三年，可以连选连任。</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第十条</w:t>
      </w:r>
      <w:r w:rsidRPr="00AC0E89">
        <w:rPr>
          <w:rFonts w:ascii="仿宋_GB2312" w:eastAsia="仿宋_GB2312" w:hAnsi="仿宋" w:hint="eastAsia"/>
          <w:sz w:val="32"/>
          <w:szCs w:val="32"/>
        </w:rPr>
        <w:t xml:space="preserve">  自主管理委员会可以设主任、副主任。主任、副主任从自主管理委员会成员中推选产生。</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第十一条</w:t>
      </w:r>
      <w:r w:rsidRPr="00AC0E89">
        <w:rPr>
          <w:rFonts w:ascii="仿宋_GB2312" w:eastAsia="仿宋_GB2312" w:hAnsi="仿宋" w:hint="eastAsia"/>
          <w:sz w:val="32"/>
          <w:szCs w:val="32"/>
        </w:rPr>
        <w:t xml:space="preserve">  自主管理委员会应当自产生之日起三十日内向所在地的乡镇人民政府备案。</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自主管理委员会持备案回执，依据有关规定向所在地公安机关申请刻制自主管理委员会印章。</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自主管理委员会应当在选举完成后三日内将成立情况在新村聚居</w:t>
      </w:r>
      <w:proofErr w:type="gramStart"/>
      <w:r w:rsidRPr="00AC0E89">
        <w:rPr>
          <w:rFonts w:ascii="仿宋_GB2312" w:eastAsia="仿宋_GB2312" w:hAnsi="仿宋" w:hint="eastAsia"/>
          <w:sz w:val="32"/>
          <w:szCs w:val="32"/>
        </w:rPr>
        <w:t>点范围</w:t>
      </w:r>
      <w:proofErr w:type="gramEnd"/>
      <w:r w:rsidRPr="00AC0E89">
        <w:rPr>
          <w:rFonts w:ascii="仿宋_GB2312" w:eastAsia="仿宋_GB2312" w:hAnsi="仿宋" w:hint="eastAsia"/>
          <w:sz w:val="32"/>
          <w:szCs w:val="32"/>
        </w:rPr>
        <w:t>内公告。</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第十二条</w:t>
      </w:r>
      <w:r w:rsidRPr="00AC0E89">
        <w:rPr>
          <w:rFonts w:ascii="仿宋_GB2312" w:eastAsia="仿宋_GB2312" w:hAnsi="仿宋" w:hint="eastAsia"/>
          <w:sz w:val="32"/>
          <w:szCs w:val="32"/>
        </w:rPr>
        <w:t xml:space="preserve">   自主管理委员会主要履行下列职责：</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（一）执行居民讨论新村聚居点管理事项的决定；</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lastRenderedPageBreak/>
        <w:t xml:space="preserve">（二）组织起草居民管理公约草案； </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 xml:space="preserve">（三）监督居民管理公约的实施； </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（四）管理容貌秩序和治理环境卫生；</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（五）联系有关方面保障公共设施设备的正常运行；</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（六）按照居民管理公约收取、使用和管理相关费用；</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（七）建立和管理档案；</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（八）配合相关部门以及新村聚居点所在地村民委员会做好治安、消防、卫计、防疫、旅游、宣传等工作。</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第十三条</w:t>
      </w:r>
      <w:r w:rsidRPr="00AC0E89">
        <w:rPr>
          <w:rFonts w:ascii="仿宋_GB2312" w:eastAsia="仿宋_GB2312" w:hAnsi="仿宋" w:hint="eastAsia"/>
          <w:sz w:val="32"/>
          <w:szCs w:val="32"/>
        </w:rPr>
        <w:t xml:space="preserve">   自主管理委员会成员有下列情形之一的可以更换：</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（一）辞去职务的；</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（二）不履行职责连续超过三个月或者累计超过六个月的；</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（三）丧失履行职责能力的；</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（四）经三分之一以上的居民联名提议的。</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第十四条</w:t>
      </w:r>
      <w:r w:rsidRPr="00AC0E89">
        <w:rPr>
          <w:rFonts w:ascii="仿宋_GB2312" w:eastAsia="仿宋_GB2312" w:hAnsi="仿宋" w:hint="eastAsia"/>
          <w:sz w:val="32"/>
          <w:szCs w:val="32"/>
        </w:rPr>
        <w:t xml:space="preserve">  新村聚居点自主管理委员会应当组织新村聚居点居民或者居民代表制定和修改居民管理公约。</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黑体" w:hAnsi="仿宋" w:hint="eastAsia"/>
          <w:sz w:val="32"/>
          <w:szCs w:val="32"/>
        </w:rPr>
        <w:t>第十五条</w:t>
      </w:r>
      <w:r w:rsidRPr="00AC0E89">
        <w:rPr>
          <w:rFonts w:ascii="仿宋_GB2312" w:eastAsia="仿宋_GB2312" w:hAnsi="仿宋" w:hint="eastAsia"/>
          <w:sz w:val="32"/>
          <w:szCs w:val="32"/>
        </w:rPr>
        <w:t xml:space="preserve">   居民管理公约应当根据新村聚居点实际情况制定，将下列事项纳入居民管理公约：</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（一）清理打扫房前屋后卫生的行为规范；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（二）房屋使用规范；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（三）生活废弃物处理规范；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（四）污水排放、处理规范；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lastRenderedPageBreak/>
        <w:t>（五）维护公共环境卫生的行为规范；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（六）爱护公共设施、清洁设施的行为规范；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（七）宠物的饲养规范；</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（八）新村聚居点管理的居民交费事项；</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（九）模范遵守居民管理公约的鼓励措施和违反居民管理公约的处理措施；</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（十）居民共同讨论决定的其他管理事项。</w:t>
      </w:r>
    </w:p>
    <w:p w:rsidR="00C7314C" w:rsidRPr="00AC0E89" w:rsidRDefault="00C7314C" w:rsidP="00AC0E89">
      <w:pPr>
        <w:widowControl/>
        <w:shd w:val="clear" w:color="auto" w:fill="FFFFFF"/>
        <w:snapToGrid w:val="0"/>
        <w:spacing w:line="580" w:lineRule="exact"/>
        <w:ind w:firstLineChars="199" w:firstLine="637"/>
        <w:rPr>
          <w:rFonts w:ascii="仿宋_GB2312" w:eastAsia="仿宋_GB2312" w:hAnsi="仿宋"/>
          <w:sz w:val="32"/>
          <w:szCs w:val="32"/>
        </w:rPr>
      </w:pPr>
      <w:r w:rsidRPr="00AC0E89">
        <w:rPr>
          <w:rFonts w:ascii="仿宋_GB2312" w:eastAsia="仿宋_GB2312" w:hAnsi="仿宋" w:hint="eastAsia"/>
          <w:sz w:val="32"/>
          <w:szCs w:val="32"/>
        </w:rPr>
        <w:t>制定居民管理公约，应当尊重社会公德，推动移风易俗，树立文明乡风，不得违反法律、法规的规定和损害社会公共利益。</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居民管理公约对新村聚居</w:t>
      </w:r>
      <w:proofErr w:type="gramStart"/>
      <w:r w:rsidRPr="00AC0E89">
        <w:rPr>
          <w:rFonts w:ascii="仿宋_GB2312" w:eastAsia="仿宋_GB2312" w:hAnsi="仿宋" w:hint="eastAsia"/>
          <w:sz w:val="32"/>
          <w:szCs w:val="32"/>
        </w:rPr>
        <w:t>点全体</w:t>
      </w:r>
      <w:proofErr w:type="gramEnd"/>
      <w:r w:rsidRPr="00AC0E89">
        <w:rPr>
          <w:rFonts w:ascii="仿宋_GB2312" w:eastAsia="仿宋_GB2312" w:hAnsi="仿宋" w:hint="eastAsia"/>
          <w:sz w:val="32"/>
          <w:szCs w:val="32"/>
        </w:rPr>
        <w:t>居民具有约束力。</w:t>
      </w:r>
    </w:p>
    <w:p w:rsidR="00C7314C" w:rsidRPr="00AC0E89" w:rsidRDefault="00C7314C" w:rsidP="00AC0E89">
      <w:pPr>
        <w:snapToGrid w:val="0"/>
        <w:spacing w:line="580" w:lineRule="exact"/>
        <w:jc w:val="center"/>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第三章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房屋管理</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第十六条</w:t>
      </w:r>
      <w:r w:rsidRPr="00AC0E89">
        <w:rPr>
          <w:rFonts w:ascii="仿宋_GB2312" w:eastAsia="仿宋_GB2312" w:hAnsi="仿宋" w:hint="eastAsia"/>
          <w:sz w:val="32"/>
          <w:szCs w:val="32"/>
        </w:rPr>
        <w:t xml:space="preserve">  新村聚居点居民自有的房屋及其附属设施，依照法律法规和居民管理公约使用、管理和维护。</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 xml:space="preserve"> 其他房屋及其附属设施，依据物权权限使用、管理和维护。</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 xml:space="preserve"> </w:t>
      </w:r>
      <w:r w:rsidRPr="00AC0E89">
        <w:rPr>
          <w:rFonts w:ascii="仿宋_GB2312" w:eastAsia="黑体" w:hAnsi="仿宋" w:hint="eastAsia"/>
          <w:sz w:val="32"/>
          <w:szCs w:val="32"/>
        </w:rPr>
        <w:t>第十七条</w:t>
      </w:r>
      <w:r w:rsidRPr="00AC0E89">
        <w:rPr>
          <w:rFonts w:ascii="仿宋_GB2312" w:eastAsia="仿宋_GB2312" w:hAnsi="仿宋" w:hint="eastAsia"/>
          <w:sz w:val="32"/>
          <w:szCs w:val="32"/>
        </w:rPr>
        <w:t xml:space="preserve">  单位、个人在新村聚居点房屋使用过程中，不得有以下行为：</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（一）擅自变动房屋建筑主体结构；</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（二）擅自改变房屋建筑外观风貌；</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（三）擅自加层和在楼顶、阳台、露台和房前屋后搭设偏棚、</w:t>
      </w:r>
      <w:proofErr w:type="gramStart"/>
      <w:r w:rsidRPr="00AC0E89">
        <w:rPr>
          <w:rFonts w:ascii="仿宋_GB2312" w:eastAsia="仿宋_GB2312" w:hAnsi="仿宋" w:hint="eastAsia"/>
          <w:sz w:val="32"/>
          <w:szCs w:val="32"/>
        </w:rPr>
        <w:t>廊架等</w:t>
      </w:r>
      <w:proofErr w:type="gramEnd"/>
      <w:r w:rsidRPr="00AC0E89">
        <w:rPr>
          <w:rFonts w:ascii="仿宋_GB2312" w:eastAsia="仿宋_GB2312" w:hAnsi="仿宋" w:hint="eastAsia"/>
          <w:sz w:val="32"/>
          <w:szCs w:val="32"/>
        </w:rPr>
        <w:t>设施。</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lastRenderedPageBreak/>
        <w:t xml:space="preserve"> </w:t>
      </w:r>
      <w:r w:rsidRPr="00AC0E89">
        <w:rPr>
          <w:rFonts w:ascii="仿宋_GB2312" w:eastAsia="黑体" w:hAnsi="仿宋" w:hint="eastAsia"/>
          <w:sz w:val="32"/>
          <w:szCs w:val="32"/>
        </w:rPr>
        <w:t>第十八条</w:t>
      </w:r>
      <w:r w:rsidRPr="00AC0E89">
        <w:rPr>
          <w:rFonts w:ascii="仿宋_GB2312" w:eastAsia="仿宋_GB2312" w:hAnsi="仿宋" w:hint="eastAsia"/>
          <w:sz w:val="32"/>
          <w:szCs w:val="32"/>
        </w:rPr>
        <w:t xml:space="preserve">  新村聚居点房屋实行编号管理。编号管理工作由县级人民政府民政部门指导，乡镇人民政府组织实施，自主管理委员会予以配合。</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仿宋_GB2312" w:hAnsi="仿宋" w:hint="eastAsia"/>
          <w:sz w:val="32"/>
          <w:szCs w:val="32"/>
        </w:rPr>
        <w:t xml:space="preserve"> </w:t>
      </w:r>
      <w:r w:rsidRPr="00AC0E89">
        <w:rPr>
          <w:rFonts w:ascii="仿宋_GB2312" w:eastAsia="黑体" w:hAnsi="仿宋" w:hint="eastAsia"/>
          <w:sz w:val="32"/>
          <w:szCs w:val="32"/>
        </w:rPr>
        <w:t>第十九条</w:t>
      </w:r>
      <w:r w:rsidRPr="00AC0E89">
        <w:rPr>
          <w:rFonts w:ascii="仿宋_GB2312" w:eastAsia="仿宋_GB2312" w:hAnsi="仿宋" w:hint="eastAsia"/>
          <w:sz w:val="32"/>
          <w:szCs w:val="32"/>
        </w:rPr>
        <w:t xml:space="preserve">   单位或者个人对房屋建筑进行装修和维护，或者利用房屋从事经营活动，应当告知自主管理委员会并接受监督。</w:t>
      </w:r>
    </w:p>
    <w:p w:rsidR="00C7314C" w:rsidRPr="00AC0E89" w:rsidRDefault="00C7314C" w:rsidP="00AC0E89">
      <w:pPr>
        <w:snapToGrid w:val="0"/>
        <w:spacing w:line="580" w:lineRule="exact"/>
        <w:ind w:firstLineChars="150" w:firstLine="480"/>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第四章　公共设施和公共场地</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第二十条</w:t>
      </w:r>
      <w:r w:rsidRPr="00AC0E89">
        <w:rPr>
          <w:rFonts w:ascii="仿宋_GB2312" w:eastAsia="仿宋_GB2312" w:hAnsi="仿宋" w:hint="eastAsia"/>
          <w:sz w:val="32"/>
          <w:szCs w:val="32"/>
        </w:rPr>
        <w:t xml:space="preserve">   新村聚居点公共设施由所有权人负责运行、管理和维护。</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新村聚居点公共场地在不改变所有权的情况下按照居民共同讨论决定或者居民管理公约进行管理。</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具备集镇功能的新村聚居点公共场地应当按照城乡规划用途使用。</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本条例所称集镇，是指乡镇人民政府所在地和经县级人民政府确认由集市发展而成的作为农村一定区域经济、文化和生活服务中心的非建制镇。</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w:t>
      </w:r>
      <w:r w:rsidRPr="00AC0E89">
        <w:rPr>
          <w:rFonts w:ascii="仿宋_GB2312" w:eastAsia="黑体" w:hAnsi="仿宋" w:hint="eastAsia"/>
          <w:sz w:val="32"/>
          <w:szCs w:val="32"/>
        </w:rPr>
        <w:t>第二十一条</w:t>
      </w:r>
      <w:r w:rsidRPr="00AC0E89">
        <w:rPr>
          <w:rFonts w:ascii="仿宋_GB2312" w:eastAsia="仿宋_GB2312" w:hAnsi="仿宋" w:hint="eastAsia"/>
          <w:sz w:val="32"/>
          <w:szCs w:val="32"/>
        </w:rPr>
        <w:t xml:space="preserve">   新村聚居点电力设施、应急避难场所、公共停车场等公共设施应当设置明显标识。</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新村聚居点出入口、主道路交叉口等涉及通行安全的关键位置应当设置道路交通安全警示标志和安全设施。</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新村聚居点内河道、沟、坎、坡等容易发生安全事故的位置</w:t>
      </w:r>
      <w:r w:rsidRPr="00AC0E89">
        <w:rPr>
          <w:rFonts w:ascii="仿宋_GB2312" w:eastAsia="仿宋_GB2312" w:hAnsi="仿宋" w:hint="eastAsia"/>
          <w:sz w:val="32"/>
          <w:szCs w:val="32"/>
        </w:rPr>
        <w:lastRenderedPageBreak/>
        <w:t>应当设置安全警示标志和防护设施。</w:t>
      </w:r>
    </w:p>
    <w:p w:rsidR="00C7314C" w:rsidRPr="00AC0E89" w:rsidRDefault="00C7314C" w:rsidP="00AC0E89">
      <w:pPr>
        <w:snapToGrid w:val="0"/>
        <w:spacing w:line="580" w:lineRule="exact"/>
        <w:ind w:firstLine="570"/>
        <w:rPr>
          <w:rFonts w:ascii="仿宋_GB2312" w:eastAsia="仿宋_GB2312" w:hAnsi="仿宋"/>
          <w:sz w:val="32"/>
          <w:szCs w:val="32"/>
        </w:rPr>
      </w:pPr>
      <w:r w:rsidRPr="00AC0E89">
        <w:rPr>
          <w:rFonts w:ascii="仿宋_GB2312" w:eastAsia="黑体" w:hAnsi="仿宋" w:hint="eastAsia"/>
          <w:sz w:val="32"/>
          <w:szCs w:val="32"/>
        </w:rPr>
        <w:t>第二十二条</w:t>
      </w:r>
      <w:r w:rsidRPr="00AC0E89">
        <w:rPr>
          <w:rFonts w:ascii="仿宋_GB2312" w:eastAsia="仿宋_GB2312" w:hAnsi="仿宋" w:hint="eastAsia"/>
          <w:sz w:val="32"/>
          <w:szCs w:val="32"/>
        </w:rPr>
        <w:t xml:space="preserve">  新村聚居点公共场地的用途、使用方式、收费事项和标准等应当经居民共同讨论决定或者居民管理公约约定。</w:t>
      </w:r>
    </w:p>
    <w:p w:rsidR="00C7314C" w:rsidRPr="00AC0E89" w:rsidRDefault="00C7314C" w:rsidP="00AC0E89">
      <w:pPr>
        <w:snapToGrid w:val="0"/>
        <w:spacing w:line="580" w:lineRule="exact"/>
        <w:ind w:firstLine="570"/>
        <w:rPr>
          <w:rFonts w:ascii="仿宋_GB2312" w:eastAsia="仿宋_GB2312" w:hAnsi="仿宋"/>
          <w:sz w:val="32"/>
          <w:szCs w:val="32"/>
        </w:rPr>
      </w:pPr>
      <w:r w:rsidRPr="00AC0E89">
        <w:rPr>
          <w:rFonts w:ascii="仿宋_GB2312" w:eastAsia="仿宋_GB2312" w:hAnsi="仿宋" w:hint="eastAsia"/>
          <w:sz w:val="32"/>
          <w:szCs w:val="32"/>
        </w:rPr>
        <w:t>新村聚居点房前屋后等零散空地仅限用于微菜园或者绿化，禁止硬化或者未经批准修建</w:t>
      </w:r>
      <w:proofErr w:type="gramStart"/>
      <w:r w:rsidRPr="00AC0E89">
        <w:rPr>
          <w:rFonts w:ascii="仿宋_GB2312" w:eastAsia="仿宋_GB2312" w:hAnsi="仿宋" w:hint="eastAsia"/>
          <w:sz w:val="32"/>
          <w:szCs w:val="32"/>
        </w:rPr>
        <w:t>建</w:t>
      </w:r>
      <w:proofErr w:type="gramEnd"/>
      <w:r w:rsidRPr="00AC0E89">
        <w:rPr>
          <w:rFonts w:ascii="仿宋_GB2312" w:eastAsia="仿宋_GB2312" w:hAnsi="仿宋" w:hint="eastAsia"/>
          <w:sz w:val="32"/>
          <w:szCs w:val="32"/>
        </w:rPr>
        <w:t>（构）筑物。</w:t>
      </w:r>
    </w:p>
    <w:p w:rsidR="00C7314C" w:rsidRPr="00AC0E89" w:rsidRDefault="00C7314C" w:rsidP="00AC0E89">
      <w:pPr>
        <w:snapToGrid w:val="0"/>
        <w:spacing w:line="580" w:lineRule="exact"/>
        <w:ind w:firstLineChars="173" w:firstLine="554"/>
        <w:rPr>
          <w:rFonts w:ascii="仿宋_GB2312" w:eastAsia="仿宋_GB2312" w:hAnsi="仿宋"/>
          <w:sz w:val="32"/>
          <w:szCs w:val="32"/>
        </w:rPr>
      </w:pPr>
      <w:r w:rsidRPr="00AC0E89">
        <w:rPr>
          <w:rFonts w:ascii="仿宋_GB2312" w:eastAsia="黑体" w:hAnsi="仿宋" w:hint="eastAsia"/>
          <w:sz w:val="32"/>
          <w:szCs w:val="32"/>
        </w:rPr>
        <w:t>第二十三条</w:t>
      </w:r>
      <w:r w:rsidRPr="00AC0E89">
        <w:rPr>
          <w:rFonts w:ascii="仿宋_GB2312" w:eastAsia="仿宋_GB2312" w:hAnsi="仿宋" w:hint="eastAsia"/>
          <w:sz w:val="32"/>
          <w:szCs w:val="32"/>
        </w:rPr>
        <w:t xml:space="preserve">  在新村聚居点内，利用公共设施、公共场地开展以下活动，应当经自主管理委员会同意，按照有关规定需要报请有关行政主管部门批准的，还应当报请该行政主管部门批准：</w:t>
      </w:r>
    </w:p>
    <w:p w:rsidR="00C7314C" w:rsidRPr="00AC0E89" w:rsidRDefault="00C7314C" w:rsidP="00AC0E89">
      <w:pPr>
        <w:snapToGrid w:val="0"/>
        <w:spacing w:line="580" w:lineRule="exact"/>
        <w:ind w:firstLineChars="173" w:firstLine="554"/>
        <w:rPr>
          <w:rFonts w:ascii="仿宋_GB2312" w:eastAsia="仿宋_GB2312" w:hAnsi="仿宋"/>
          <w:sz w:val="32"/>
          <w:szCs w:val="32"/>
        </w:rPr>
      </w:pPr>
      <w:r w:rsidRPr="00AC0E89">
        <w:rPr>
          <w:rFonts w:ascii="仿宋_GB2312" w:eastAsia="仿宋_GB2312" w:hAnsi="仿宋" w:hint="eastAsia"/>
          <w:sz w:val="32"/>
          <w:szCs w:val="32"/>
        </w:rPr>
        <w:t>（一）自办群体性宴席；</w:t>
      </w:r>
    </w:p>
    <w:p w:rsidR="00C7314C" w:rsidRPr="00AC0E89" w:rsidRDefault="00C7314C" w:rsidP="00AC0E89">
      <w:pPr>
        <w:snapToGrid w:val="0"/>
        <w:spacing w:line="580" w:lineRule="exact"/>
        <w:ind w:firstLineChars="173" w:firstLine="554"/>
        <w:rPr>
          <w:rFonts w:ascii="仿宋_GB2312" w:eastAsia="仿宋_GB2312" w:hAnsi="仿宋"/>
          <w:sz w:val="32"/>
          <w:szCs w:val="32"/>
        </w:rPr>
      </w:pPr>
      <w:r w:rsidRPr="00AC0E89">
        <w:rPr>
          <w:rFonts w:ascii="仿宋_GB2312" w:eastAsia="仿宋_GB2312" w:hAnsi="仿宋" w:hint="eastAsia"/>
          <w:sz w:val="32"/>
          <w:szCs w:val="32"/>
        </w:rPr>
        <w:t>（二）开展商品展销、商业演出等经营活动；</w:t>
      </w:r>
    </w:p>
    <w:p w:rsidR="00C7314C" w:rsidRPr="00AC0E89" w:rsidRDefault="00C7314C" w:rsidP="00AC0E89">
      <w:pPr>
        <w:snapToGrid w:val="0"/>
        <w:spacing w:line="580" w:lineRule="exact"/>
        <w:ind w:firstLineChars="173" w:firstLine="554"/>
        <w:rPr>
          <w:rFonts w:ascii="仿宋_GB2312" w:eastAsia="仿宋_GB2312" w:hAnsi="仿宋"/>
          <w:sz w:val="32"/>
          <w:szCs w:val="32"/>
        </w:rPr>
      </w:pPr>
      <w:r w:rsidRPr="00AC0E89">
        <w:rPr>
          <w:rFonts w:ascii="仿宋_GB2312" w:eastAsia="仿宋_GB2312" w:hAnsi="仿宋" w:hint="eastAsia"/>
          <w:sz w:val="32"/>
          <w:szCs w:val="32"/>
        </w:rPr>
        <w:t>（三）其他群体性活动。</w:t>
      </w:r>
    </w:p>
    <w:p w:rsidR="00C7314C" w:rsidRPr="00AC0E89" w:rsidRDefault="00C7314C" w:rsidP="00AC0E89">
      <w:pPr>
        <w:snapToGrid w:val="0"/>
        <w:spacing w:line="580" w:lineRule="exact"/>
        <w:ind w:firstLineChars="150" w:firstLine="480"/>
        <w:rPr>
          <w:rFonts w:ascii="仿宋_GB2312" w:eastAsia="仿宋_GB2312" w:hAnsi="仿宋"/>
          <w:sz w:val="32"/>
          <w:szCs w:val="32"/>
        </w:rPr>
      </w:pPr>
      <w:r w:rsidRPr="00AC0E89">
        <w:rPr>
          <w:rFonts w:ascii="仿宋_GB2312" w:eastAsia="黑体" w:hAnsi="仿宋" w:hint="eastAsia"/>
          <w:sz w:val="32"/>
          <w:szCs w:val="32"/>
        </w:rPr>
        <w:t>第二十四条</w:t>
      </w:r>
      <w:r w:rsidRPr="00AC0E89">
        <w:rPr>
          <w:rFonts w:ascii="仿宋_GB2312" w:eastAsia="仿宋_GB2312" w:hAnsi="仿宋" w:hint="eastAsia"/>
          <w:sz w:val="32"/>
          <w:szCs w:val="32"/>
        </w:rPr>
        <w:t xml:space="preserve">  在新村聚居点内不得有下列行为：</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（一）未经许可占用公共设施、公共场地；</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（二）未经许可利用公共设施、公共场地从事营利性活动；</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（三）损坏、破坏公共设施、公共场地；</w:t>
      </w:r>
    </w:p>
    <w:p w:rsidR="00C7314C" w:rsidRPr="00AC0E89" w:rsidRDefault="00C7314C" w:rsidP="00AC0E89">
      <w:pPr>
        <w:snapToGrid w:val="0"/>
        <w:spacing w:line="580" w:lineRule="exact"/>
        <w:ind w:firstLineChars="173" w:firstLine="554"/>
        <w:rPr>
          <w:rFonts w:ascii="仿宋_GB2312" w:eastAsia="仿宋_GB2312" w:hAnsi="仿宋"/>
          <w:sz w:val="32"/>
          <w:szCs w:val="32"/>
        </w:rPr>
      </w:pPr>
      <w:r w:rsidRPr="00AC0E89">
        <w:rPr>
          <w:rFonts w:ascii="仿宋_GB2312" w:eastAsia="仿宋_GB2312" w:hAnsi="仿宋" w:hint="eastAsia"/>
          <w:sz w:val="32"/>
          <w:szCs w:val="32"/>
        </w:rPr>
        <w:t>（四）法律、法规禁止的其他行为。</w:t>
      </w:r>
    </w:p>
    <w:p w:rsidR="00C7314C" w:rsidRPr="00AC0E89" w:rsidRDefault="00C7314C" w:rsidP="00AC0E89">
      <w:pPr>
        <w:snapToGrid w:val="0"/>
        <w:spacing w:line="580" w:lineRule="exact"/>
        <w:ind w:firstLineChars="173" w:firstLine="554"/>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第五章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容貌秩序和环境卫生</w:t>
      </w:r>
    </w:p>
    <w:p w:rsidR="00C7314C" w:rsidRPr="00AC0E89" w:rsidRDefault="00C7314C" w:rsidP="00AC0E89">
      <w:pPr>
        <w:snapToGrid w:val="0"/>
        <w:spacing w:line="580" w:lineRule="exact"/>
        <w:jc w:val="left"/>
        <w:rPr>
          <w:rFonts w:ascii="仿宋_GB2312" w:eastAsia="仿宋_GB2312" w:hAnsi="仿宋"/>
          <w:sz w:val="32"/>
          <w:szCs w:val="32"/>
        </w:rPr>
      </w:pP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第二十五条</w:t>
      </w:r>
      <w:r w:rsidRPr="00AC0E89">
        <w:rPr>
          <w:rFonts w:ascii="仿宋_GB2312" w:eastAsia="仿宋_GB2312" w:hAnsi="仿宋" w:hint="eastAsia"/>
          <w:sz w:val="32"/>
          <w:szCs w:val="32"/>
        </w:rPr>
        <w:t xml:space="preserve">  新村聚居点内机动车、非机动车应当在停车场或者其他准许停放车辆的区域规范停放。</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w:t>
      </w:r>
      <w:r w:rsidRPr="00AC0E89">
        <w:rPr>
          <w:rFonts w:ascii="仿宋_GB2312" w:eastAsia="黑体" w:hAnsi="仿宋" w:hint="eastAsia"/>
          <w:sz w:val="32"/>
          <w:szCs w:val="32"/>
        </w:rPr>
        <w:t>第二十六条</w:t>
      </w:r>
      <w:r w:rsidRPr="00AC0E89">
        <w:rPr>
          <w:rFonts w:ascii="仿宋_GB2312" w:eastAsia="仿宋_GB2312" w:hAnsi="仿宋" w:hint="eastAsia"/>
          <w:sz w:val="32"/>
          <w:szCs w:val="32"/>
        </w:rPr>
        <w:t xml:space="preserve">  新村聚居点饲养家禽家畜应当按照统一规划</w:t>
      </w:r>
      <w:r w:rsidRPr="00AC0E89">
        <w:rPr>
          <w:rFonts w:ascii="仿宋_GB2312" w:eastAsia="仿宋_GB2312" w:hAnsi="仿宋" w:hint="eastAsia"/>
          <w:sz w:val="32"/>
          <w:szCs w:val="32"/>
        </w:rPr>
        <w:lastRenderedPageBreak/>
        <w:t>圈养。</w:t>
      </w:r>
    </w:p>
    <w:p w:rsidR="00C7314C" w:rsidRPr="00AC0E89" w:rsidRDefault="00C7314C" w:rsidP="00AC0E89">
      <w:pPr>
        <w:snapToGrid w:val="0"/>
        <w:spacing w:line="580" w:lineRule="exact"/>
        <w:ind w:firstLine="660"/>
        <w:rPr>
          <w:rFonts w:ascii="仿宋_GB2312" w:eastAsia="仿宋_GB2312" w:hAnsi="仿宋"/>
          <w:sz w:val="32"/>
          <w:szCs w:val="32"/>
        </w:rPr>
      </w:pPr>
      <w:r w:rsidRPr="00AC0E89">
        <w:rPr>
          <w:rFonts w:ascii="仿宋_GB2312" w:eastAsia="仿宋_GB2312" w:hAnsi="仿宋" w:hint="eastAsia"/>
          <w:sz w:val="32"/>
          <w:szCs w:val="32"/>
        </w:rPr>
        <w:t>饲养家禽家畜或者宠物不得影响新村聚居点的容貌秩序、环境卫生和周围居民正常生活。</w:t>
      </w:r>
    </w:p>
    <w:p w:rsidR="00C7314C" w:rsidRPr="00AC0E89" w:rsidRDefault="00C7314C" w:rsidP="00AC0E89">
      <w:pPr>
        <w:snapToGrid w:val="0"/>
        <w:spacing w:line="580" w:lineRule="exact"/>
        <w:ind w:firstLine="570"/>
        <w:rPr>
          <w:rFonts w:ascii="仿宋_GB2312" w:eastAsia="仿宋_GB2312" w:hAnsi="仿宋"/>
          <w:sz w:val="32"/>
          <w:szCs w:val="32"/>
        </w:rPr>
      </w:pPr>
      <w:r w:rsidRPr="00AC0E89">
        <w:rPr>
          <w:rFonts w:ascii="仿宋_GB2312" w:eastAsia="黑体" w:hAnsi="仿宋" w:hint="eastAsia"/>
          <w:sz w:val="32"/>
          <w:szCs w:val="32"/>
        </w:rPr>
        <w:t>第二十七条</w:t>
      </w:r>
      <w:r w:rsidRPr="00AC0E89">
        <w:rPr>
          <w:rFonts w:ascii="仿宋_GB2312" w:eastAsia="仿宋_GB2312" w:hAnsi="仿宋" w:hint="eastAsia"/>
          <w:sz w:val="32"/>
          <w:szCs w:val="32"/>
        </w:rPr>
        <w:t xml:space="preserve">  在新村聚居点内从事经营活动应当符合新村规划、容貌管理和环境保护要求，保持经营场所以及周边环境卫生整洁。</w:t>
      </w:r>
    </w:p>
    <w:p w:rsidR="00C7314C" w:rsidRPr="00AC0E89" w:rsidRDefault="00C7314C" w:rsidP="00AC0E89">
      <w:pPr>
        <w:snapToGrid w:val="0"/>
        <w:spacing w:line="580" w:lineRule="exact"/>
        <w:ind w:firstLine="570"/>
        <w:rPr>
          <w:rFonts w:ascii="仿宋_GB2312" w:eastAsia="仿宋_GB2312" w:hAnsi="仿宋"/>
          <w:sz w:val="32"/>
          <w:szCs w:val="32"/>
        </w:rPr>
      </w:pPr>
      <w:r w:rsidRPr="00AC0E89">
        <w:rPr>
          <w:rFonts w:ascii="仿宋_GB2312" w:eastAsia="黑体" w:hAnsi="仿宋" w:hint="eastAsia"/>
          <w:sz w:val="32"/>
          <w:szCs w:val="32"/>
        </w:rPr>
        <w:t>第二十八条</w:t>
      </w:r>
      <w:r w:rsidRPr="00AC0E89">
        <w:rPr>
          <w:rFonts w:ascii="仿宋_GB2312" w:eastAsia="仿宋_GB2312" w:hAnsi="仿宋" w:hint="eastAsia"/>
          <w:sz w:val="32"/>
          <w:szCs w:val="32"/>
        </w:rPr>
        <w:t xml:space="preserve">  新村聚居点生活垃圾</w:t>
      </w:r>
      <w:proofErr w:type="gramStart"/>
      <w:r w:rsidRPr="00AC0E89">
        <w:rPr>
          <w:rFonts w:ascii="仿宋_GB2312" w:eastAsia="仿宋_GB2312" w:hAnsi="仿宋" w:hint="eastAsia"/>
          <w:sz w:val="32"/>
          <w:szCs w:val="32"/>
        </w:rPr>
        <w:t>推行户</w:t>
      </w:r>
      <w:proofErr w:type="gramEnd"/>
      <w:r w:rsidRPr="00AC0E89">
        <w:rPr>
          <w:rFonts w:ascii="仿宋_GB2312" w:eastAsia="仿宋_GB2312" w:hAnsi="仿宋" w:hint="eastAsia"/>
          <w:sz w:val="32"/>
          <w:szCs w:val="32"/>
        </w:rPr>
        <w:t>分类、村收集、乡镇转运、县处理的方式，并纳入城镇垃圾处理系统。</w:t>
      </w:r>
    </w:p>
    <w:p w:rsidR="00C7314C" w:rsidRPr="00AC0E89" w:rsidRDefault="00C7314C" w:rsidP="00AC0E89">
      <w:pPr>
        <w:snapToGrid w:val="0"/>
        <w:spacing w:line="580" w:lineRule="exact"/>
        <w:ind w:firstLine="570"/>
        <w:rPr>
          <w:rFonts w:ascii="仿宋_GB2312" w:eastAsia="仿宋_GB2312" w:hAnsi="仿宋"/>
          <w:sz w:val="32"/>
          <w:szCs w:val="32"/>
        </w:rPr>
      </w:pPr>
      <w:r w:rsidRPr="00AC0E89">
        <w:rPr>
          <w:rFonts w:ascii="仿宋_GB2312" w:eastAsia="黑体" w:hAnsi="仿宋" w:hint="eastAsia"/>
          <w:sz w:val="32"/>
          <w:szCs w:val="32"/>
        </w:rPr>
        <w:t>第二十九条</w:t>
      </w:r>
      <w:r w:rsidRPr="00AC0E89">
        <w:rPr>
          <w:rFonts w:ascii="仿宋_GB2312" w:eastAsia="仿宋_GB2312" w:hAnsi="仿宋" w:hint="eastAsia"/>
          <w:sz w:val="32"/>
          <w:szCs w:val="32"/>
        </w:rPr>
        <w:t xml:space="preserve">  建筑施工、建筑装饰装修应当向自主管理委员会备案并限定施工时间。</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黑体" w:hAnsi="仿宋" w:hint="eastAsia"/>
          <w:sz w:val="32"/>
          <w:szCs w:val="32"/>
        </w:rPr>
        <w:t>第三十条</w:t>
      </w:r>
      <w:r w:rsidRPr="00AC0E89">
        <w:rPr>
          <w:rFonts w:ascii="仿宋_GB2312" w:eastAsia="仿宋_GB2312" w:hAnsi="仿宋" w:hint="eastAsia"/>
          <w:sz w:val="32"/>
          <w:szCs w:val="32"/>
        </w:rPr>
        <w:t xml:space="preserve">   在新村聚居点内不得有下列影响环境卫生的行为：</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（一）户外乱堆杂物；</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（二）乱扔秸秆、烟蒂、纸屑、果皮及食品包装袋等废弃物；</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（三）非指定地点倾倒垃圾、污水、粪便等废弃物；</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（四）露天场所或者垃圾收集容器内焚烧秸秆、树叶、垃圾或者其他废弃物；</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（五）从事产生废气、废水、废渣、噪声的经营活动，影响居民正常生活；</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（六）占用道路、桥梁、广场以及其他公共场所设摊经营、堆放物料、售卖物品，影响容貌秩序和环境卫生；</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（七）在道路、建（构）筑物、树木以及其他设施上乱涂乱</w:t>
      </w:r>
      <w:r w:rsidRPr="00AC0E89">
        <w:rPr>
          <w:rFonts w:ascii="仿宋_GB2312" w:eastAsia="仿宋_GB2312" w:hAnsi="仿宋" w:hint="eastAsia"/>
          <w:sz w:val="32"/>
          <w:szCs w:val="32"/>
        </w:rPr>
        <w:lastRenderedPageBreak/>
        <w:t>画，擅自张贴广告、墙报、标语和海报等宣传品；</w:t>
      </w:r>
    </w:p>
    <w:p w:rsidR="00C7314C" w:rsidRPr="00AC0E89" w:rsidRDefault="00C7314C" w:rsidP="00AC0E89">
      <w:pPr>
        <w:snapToGrid w:val="0"/>
        <w:spacing w:line="580" w:lineRule="exact"/>
        <w:ind w:firstLineChars="178" w:firstLine="570"/>
        <w:rPr>
          <w:rFonts w:ascii="仿宋_GB2312" w:eastAsia="仿宋_GB2312" w:hAnsi="仿宋"/>
          <w:sz w:val="32"/>
          <w:szCs w:val="32"/>
        </w:rPr>
      </w:pPr>
      <w:r w:rsidRPr="00AC0E89">
        <w:rPr>
          <w:rFonts w:ascii="仿宋_GB2312" w:eastAsia="仿宋_GB2312" w:hAnsi="仿宋" w:hint="eastAsia"/>
          <w:sz w:val="32"/>
          <w:szCs w:val="32"/>
        </w:rPr>
        <w:t>（八）法律、法规禁止的其他行为。</w:t>
      </w:r>
    </w:p>
    <w:p w:rsidR="00C7314C" w:rsidRPr="00AC0E89" w:rsidRDefault="00C7314C" w:rsidP="00AC0E89">
      <w:pPr>
        <w:snapToGrid w:val="0"/>
        <w:spacing w:line="580" w:lineRule="exact"/>
        <w:ind w:firstLine="555"/>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第六章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经费管理</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黑体" w:hAnsi="仿宋" w:hint="eastAsia"/>
          <w:sz w:val="32"/>
          <w:szCs w:val="32"/>
        </w:rPr>
        <w:t>第三十一条</w:t>
      </w:r>
      <w:r w:rsidRPr="00AC0E89">
        <w:rPr>
          <w:rFonts w:ascii="仿宋_GB2312" w:eastAsia="仿宋_GB2312" w:hAnsi="仿宋" w:hint="eastAsia"/>
          <w:sz w:val="32"/>
          <w:szCs w:val="32"/>
        </w:rPr>
        <w:t xml:space="preserve">   新村聚居点管理经费来源：</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 xml:space="preserve">（一）按照居民管理公约收取； </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（二）公共设施、公共场地经营收益；</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 xml:space="preserve">（三）政府补助； </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（四）社会捐赠；</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（五）其他合法收入。</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黑体" w:hAnsi="仿宋" w:hint="eastAsia"/>
          <w:sz w:val="32"/>
          <w:szCs w:val="32"/>
        </w:rPr>
        <w:t>第三十二条</w:t>
      </w:r>
      <w:r w:rsidRPr="00AC0E89">
        <w:rPr>
          <w:rFonts w:ascii="仿宋_GB2312" w:eastAsia="仿宋_GB2312" w:hAnsi="仿宋" w:hint="eastAsia"/>
          <w:sz w:val="32"/>
          <w:szCs w:val="32"/>
        </w:rPr>
        <w:t xml:space="preserve">   新村聚居点管理经费主要用于下列支出：</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（一）公共区域保洁费用；</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 xml:space="preserve">（二）公用照明、健身器材、安防监控等设施设备的日常运行、管理和维护费用； </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（三）自主管理委员会工作经费；</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（四）自主管理委员会成员补贴；</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仿宋_GB2312" w:hAnsi="仿宋" w:hint="eastAsia"/>
          <w:sz w:val="32"/>
          <w:szCs w:val="32"/>
        </w:rPr>
        <w:t>（五）居民讨论决定的其他支出。</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第三十三条</w:t>
      </w:r>
      <w:r w:rsidRPr="00AC0E89">
        <w:rPr>
          <w:rFonts w:ascii="仿宋_GB2312" w:eastAsia="仿宋_GB2312" w:hAnsi="仿宋" w:hint="eastAsia"/>
          <w:sz w:val="32"/>
          <w:szCs w:val="32"/>
        </w:rPr>
        <w:t xml:space="preserve">  县级人民政府应当制定自主管理委员会工作经费和成员补贴的指导意见。</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第三十四条</w:t>
      </w:r>
      <w:r w:rsidRPr="00AC0E89">
        <w:rPr>
          <w:rFonts w:ascii="仿宋_GB2312" w:eastAsia="仿宋_GB2312" w:hAnsi="仿宋" w:hint="eastAsia"/>
          <w:sz w:val="32"/>
          <w:szCs w:val="32"/>
        </w:rPr>
        <w:t xml:space="preserve">  新村聚居点管理经费由自主管理委员会负责管理和使用，实行专款专用、专账核算。</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仿宋_GB2312" w:hAnsi="仿宋" w:hint="eastAsia"/>
          <w:sz w:val="32"/>
          <w:szCs w:val="32"/>
        </w:rPr>
        <w:t>自主管理委员会收取费用应当出具盖有自主管理委员会印</w:t>
      </w:r>
      <w:r w:rsidRPr="00AC0E89">
        <w:rPr>
          <w:rFonts w:ascii="仿宋_GB2312" w:eastAsia="仿宋_GB2312" w:hAnsi="仿宋" w:hint="eastAsia"/>
          <w:sz w:val="32"/>
          <w:szCs w:val="32"/>
        </w:rPr>
        <w:lastRenderedPageBreak/>
        <w:t>章的收据。</w:t>
      </w:r>
    </w:p>
    <w:p w:rsidR="00C7314C" w:rsidRPr="00AC0E89" w:rsidRDefault="00C7314C" w:rsidP="00AC0E89">
      <w:pPr>
        <w:snapToGrid w:val="0"/>
        <w:spacing w:line="580" w:lineRule="exact"/>
        <w:jc w:val="center"/>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第七章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监督检查</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第三十五条</w:t>
      </w:r>
      <w:r w:rsidRPr="00AC0E89">
        <w:rPr>
          <w:rFonts w:ascii="仿宋_GB2312" w:eastAsia="仿宋_GB2312" w:hAnsi="仿宋" w:hint="eastAsia"/>
          <w:sz w:val="32"/>
          <w:szCs w:val="32"/>
        </w:rPr>
        <w:t xml:space="preserve">  市县两级人民代表大会及其常务委员会、乡镇人民代表大会应当将新村聚居点管理工作作为监督的重要内容，</w:t>
      </w:r>
      <w:proofErr w:type="gramStart"/>
      <w:r w:rsidRPr="00AC0E89">
        <w:rPr>
          <w:rFonts w:ascii="仿宋_GB2312" w:eastAsia="仿宋_GB2312" w:hAnsi="仿宋" w:hint="eastAsia"/>
          <w:sz w:val="32"/>
          <w:szCs w:val="32"/>
        </w:rPr>
        <w:t>适时听取</w:t>
      </w:r>
      <w:proofErr w:type="gramEnd"/>
      <w:r w:rsidRPr="00AC0E89">
        <w:rPr>
          <w:rFonts w:ascii="仿宋_GB2312" w:eastAsia="仿宋_GB2312" w:hAnsi="仿宋" w:hint="eastAsia"/>
          <w:sz w:val="32"/>
          <w:szCs w:val="32"/>
        </w:rPr>
        <w:t>同级人民政府关于新村聚居点管理的工作报告。</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第三十六条</w:t>
      </w:r>
      <w:r w:rsidRPr="00AC0E89">
        <w:rPr>
          <w:rFonts w:ascii="仿宋_GB2312" w:eastAsia="仿宋_GB2312" w:hAnsi="仿宋" w:hint="eastAsia"/>
          <w:sz w:val="32"/>
          <w:szCs w:val="32"/>
        </w:rPr>
        <w:t xml:space="preserve">  县级人民政府应当将本行政区域内新村聚居点的环境综合治理工作纳入对相关部门和乡镇人民政府年度考核内容。</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第三十七条</w:t>
      </w:r>
      <w:r w:rsidRPr="00AC0E89">
        <w:rPr>
          <w:rFonts w:ascii="仿宋_GB2312" w:eastAsia="仿宋_GB2312" w:hAnsi="仿宋" w:hint="eastAsia"/>
          <w:sz w:val="32"/>
          <w:szCs w:val="32"/>
        </w:rPr>
        <w:t xml:space="preserve">  自主管理委员会决定的事项及其实施情况、财务收支情况、涉及全体居民利益和居民普遍关心的其他事项应当定期向新村聚居点居民公开。</w:t>
      </w:r>
    </w:p>
    <w:p w:rsidR="00C7314C" w:rsidRPr="00AC0E89" w:rsidRDefault="00C7314C" w:rsidP="00AC0E89">
      <w:pPr>
        <w:snapToGrid w:val="0"/>
        <w:spacing w:line="580" w:lineRule="exact"/>
        <w:ind w:firstLineChars="200" w:firstLine="640"/>
        <w:rPr>
          <w:rFonts w:ascii="仿宋_GB2312" w:eastAsia="仿宋_GB2312" w:hAnsi="仿宋"/>
          <w:sz w:val="32"/>
          <w:szCs w:val="32"/>
        </w:rPr>
      </w:pPr>
      <w:r w:rsidRPr="00AC0E89">
        <w:rPr>
          <w:rFonts w:ascii="仿宋_GB2312" w:eastAsia="黑体" w:hAnsi="仿宋" w:hint="eastAsia"/>
          <w:sz w:val="32"/>
          <w:szCs w:val="32"/>
        </w:rPr>
        <w:t>第三十八条</w:t>
      </w:r>
      <w:r w:rsidRPr="00AC0E89">
        <w:rPr>
          <w:rFonts w:ascii="仿宋_GB2312" w:eastAsia="仿宋_GB2312" w:hAnsi="仿宋" w:hint="eastAsia"/>
          <w:sz w:val="32"/>
          <w:szCs w:val="32"/>
        </w:rPr>
        <w:t xml:space="preserve">  乡镇人民政府应当对新村聚居点管理经费收支情况进行监督检查。</w:t>
      </w:r>
    </w:p>
    <w:p w:rsidR="00C7314C" w:rsidRPr="00AC0E89" w:rsidRDefault="00C7314C" w:rsidP="00AC0E89">
      <w:pPr>
        <w:snapToGrid w:val="0"/>
        <w:spacing w:line="580" w:lineRule="exact"/>
        <w:ind w:firstLineChars="200" w:firstLine="640"/>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第八章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法律责任</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黑体" w:hAnsi="仿宋" w:hint="eastAsia"/>
          <w:sz w:val="32"/>
          <w:szCs w:val="32"/>
        </w:rPr>
        <w:t>第三十九条</w:t>
      </w:r>
      <w:r w:rsidRPr="00AC0E89">
        <w:rPr>
          <w:rFonts w:ascii="仿宋_GB2312" w:eastAsia="仿宋_GB2312" w:hAnsi="仿宋" w:hint="eastAsia"/>
          <w:sz w:val="32"/>
          <w:szCs w:val="32"/>
        </w:rPr>
        <w:t xml:space="preserve">  违反本条例规定的行为，依照有关法律、法规的规定处罚。</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黑体" w:hAnsi="仿宋" w:hint="eastAsia"/>
          <w:sz w:val="32"/>
          <w:szCs w:val="32"/>
        </w:rPr>
        <w:t>第四十条</w:t>
      </w:r>
      <w:r w:rsidRPr="00AC0E89">
        <w:rPr>
          <w:rFonts w:ascii="仿宋_GB2312" w:eastAsia="仿宋_GB2312" w:hAnsi="仿宋" w:hint="eastAsia"/>
          <w:sz w:val="32"/>
          <w:szCs w:val="32"/>
        </w:rPr>
        <w:t xml:space="preserve">  新村聚居点居民管理公约、自主管理委员会的决定与宪法、法律、法规相抵触的，或者侵害新村聚居点居民合法权益的，或者违反公序良俗的，由乡镇人民政府责令限期改正。</w:t>
      </w:r>
    </w:p>
    <w:p w:rsidR="00C7314C" w:rsidRPr="00AC0E89" w:rsidRDefault="00C7314C" w:rsidP="00AC0E89">
      <w:pPr>
        <w:snapToGrid w:val="0"/>
        <w:spacing w:line="580" w:lineRule="exact"/>
        <w:ind w:firstLine="555"/>
        <w:rPr>
          <w:rFonts w:ascii="仿宋_GB2312" w:eastAsia="仿宋_GB2312" w:hAnsi="仿宋"/>
          <w:sz w:val="32"/>
          <w:szCs w:val="32"/>
        </w:rPr>
      </w:pPr>
      <w:r w:rsidRPr="00AC0E89">
        <w:rPr>
          <w:rFonts w:ascii="仿宋_GB2312" w:eastAsia="黑体" w:hAnsi="仿宋" w:hint="eastAsia"/>
          <w:sz w:val="32"/>
          <w:szCs w:val="32"/>
        </w:rPr>
        <w:lastRenderedPageBreak/>
        <w:t>第四十一条</w:t>
      </w:r>
      <w:r w:rsidRPr="00AC0E89">
        <w:rPr>
          <w:rFonts w:ascii="仿宋_GB2312" w:eastAsia="仿宋_GB2312" w:hAnsi="仿宋" w:hint="eastAsia"/>
          <w:sz w:val="32"/>
          <w:szCs w:val="32"/>
        </w:rPr>
        <w:t xml:space="preserve">  自主管理委员会不公布应当公布的事项或者公布的事项不真实的，由乡镇人民政府责令限期改正。</w:t>
      </w:r>
    </w:p>
    <w:p w:rsidR="00C7314C" w:rsidRPr="00AC0E89" w:rsidRDefault="00C7314C" w:rsidP="00AC0E89">
      <w:pPr>
        <w:snapToGrid w:val="0"/>
        <w:spacing w:line="580" w:lineRule="exact"/>
        <w:jc w:val="center"/>
        <w:rPr>
          <w:rFonts w:ascii="仿宋_GB2312" w:eastAsia="仿宋_GB2312" w:hAnsi="仿宋"/>
          <w:sz w:val="32"/>
          <w:szCs w:val="32"/>
        </w:rPr>
      </w:pPr>
    </w:p>
    <w:p w:rsidR="00C7314C" w:rsidRPr="00AC0E89" w:rsidRDefault="00C7314C" w:rsidP="00AC0E89">
      <w:pPr>
        <w:snapToGrid w:val="0"/>
        <w:spacing w:line="580" w:lineRule="exact"/>
        <w:jc w:val="center"/>
        <w:rPr>
          <w:rFonts w:ascii="仿宋_GB2312" w:eastAsia="黑体" w:hAnsi="仿宋"/>
          <w:sz w:val="32"/>
          <w:szCs w:val="32"/>
        </w:rPr>
      </w:pPr>
      <w:r w:rsidRPr="00AC0E89">
        <w:rPr>
          <w:rFonts w:ascii="仿宋_GB2312" w:eastAsia="黑体" w:hAnsi="仿宋" w:hint="eastAsia"/>
          <w:sz w:val="32"/>
          <w:szCs w:val="32"/>
        </w:rPr>
        <w:t>第九章</w:t>
      </w: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附则</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黑体" w:hAnsi="仿宋" w:hint="eastAsia"/>
          <w:sz w:val="32"/>
          <w:szCs w:val="32"/>
        </w:rPr>
        <w:t xml:space="preserve">    </w:t>
      </w:r>
      <w:r w:rsidRPr="00AC0E89">
        <w:rPr>
          <w:rFonts w:ascii="仿宋_GB2312" w:eastAsia="黑体" w:hAnsi="仿宋" w:hint="eastAsia"/>
          <w:sz w:val="32"/>
          <w:szCs w:val="32"/>
        </w:rPr>
        <w:t>第四十二条</w:t>
      </w:r>
      <w:r w:rsidRPr="00AC0E89">
        <w:rPr>
          <w:rFonts w:ascii="仿宋_GB2312" w:eastAsia="仿宋_GB2312" w:hAnsi="仿宋" w:hint="eastAsia"/>
          <w:sz w:val="32"/>
          <w:szCs w:val="32"/>
        </w:rPr>
        <w:t xml:space="preserve">  雅安市行政区域内“4</w:t>
      </w:r>
      <w:r w:rsidRPr="00AC0E89">
        <w:rPr>
          <w:rFonts w:ascii="宋体" w:hAnsi="宋体" w:cs="宋体" w:hint="eastAsia"/>
          <w:sz w:val="32"/>
          <w:szCs w:val="32"/>
        </w:rPr>
        <w:t>•</w:t>
      </w:r>
      <w:r w:rsidRPr="00AC0E89">
        <w:rPr>
          <w:rFonts w:ascii="仿宋_GB2312" w:eastAsia="仿宋_GB2312" w:hAnsi="仿宋" w:hint="eastAsia"/>
          <w:sz w:val="32"/>
          <w:szCs w:val="32"/>
        </w:rPr>
        <w:t>20”芦山强烈地震前建设的新村聚居点可以参照本条例进行管理。</w:t>
      </w:r>
    </w:p>
    <w:p w:rsidR="00C7314C" w:rsidRPr="00AC0E89" w:rsidRDefault="00C7314C" w:rsidP="00AC0E89">
      <w:pPr>
        <w:snapToGrid w:val="0"/>
        <w:spacing w:line="580" w:lineRule="exact"/>
        <w:rPr>
          <w:rFonts w:ascii="仿宋_GB2312" w:eastAsia="仿宋_GB2312" w:hAnsi="仿宋"/>
          <w:sz w:val="32"/>
          <w:szCs w:val="32"/>
        </w:rPr>
      </w:pPr>
      <w:r w:rsidRPr="00AC0E89">
        <w:rPr>
          <w:rFonts w:ascii="仿宋_GB2312" w:eastAsia="仿宋_GB2312" w:hAnsi="仿宋" w:hint="eastAsia"/>
          <w:sz w:val="32"/>
          <w:szCs w:val="32"/>
        </w:rPr>
        <w:t xml:space="preserve">    </w:t>
      </w:r>
      <w:r w:rsidRPr="00AC0E89">
        <w:rPr>
          <w:rFonts w:ascii="仿宋_GB2312" w:eastAsia="黑体" w:hAnsi="仿宋" w:hint="eastAsia"/>
          <w:sz w:val="32"/>
          <w:szCs w:val="32"/>
        </w:rPr>
        <w:t>第四十三条</w:t>
      </w:r>
      <w:r w:rsidRPr="00AC0E89">
        <w:rPr>
          <w:rFonts w:ascii="仿宋_GB2312" w:eastAsia="仿宋_GB2312" w:hAnsi="仿宋" w:hint="eastAsia"/>
          <w:sz w:val="32"/>
          <w:szCs w:val="32"/>
        </w:rPr>
        <w:t xml:space="preserve">  本条例施行前由地震灾后自主重建委员会转变成立的自主管理委员会可以从本条例实施之日起三年内完成换届。</w:t>
      </w:r>
    </w:p>
    <w:p w:rsidR="00C7314C" w:rsidRPr="00AC0E89" w:rsidRDefault="00C7314C" w:rsidP="00AC0E89">
      <w:pPr>
        <w:snapToGrid w:val="0"/>
        <w:spacing w:line="580" w:lineRule="exact"/>
        <w:ind w:firstLineChars="196" w:firstLine="627"/>
        <w:rPr>
          <w:rFonts w:ascii="仿宋_GB2312" w:eastAsia="仿宋_GB2312" w:hAnsi="仿宋"/>
          <w:sz w:val="32"/>
          <w:szCs w:val="32"/>
        </w:rPr>
      </w:pPr>
      <w:r w:rsidRPr="00AC0E89">
        <w:rPr>
          <w:rFonts w:ascii="仿宋_GB2312" w:eastAsia="黑体" w:hAnsi="仿宋" w:hint="eastAsia"/>
          <w:sz w:val="32"/>
          <w:szCs w:val="32"/>
        </w:rPr>
        <w:t>第四十四条</w:t>
      </w:r>
      <w:r w:rsidRPr="00AC0E89">
        <w:rPr>
          <w:rFonts w:ascii="仿宋_GB2312" w:eastAsia="仿宋_GB2312" w:hAnsi="仿宋" w:hint="eastAsia"/>
          <w:sz w:val="32"/>
          <w:szCs w:val="32"/>
        </w:rPr>
        <w:t xml:space="preserve">  本条例自</w:t>
      </w:r>
      <w:smartTag w:uri="urn:schemas-microsoft-com:office:smarttags" w:element="chsdate">
        <w:smartTagPr>
          <w:attr w:name="IsROCDate" w:val="False"/>
          <w:attr w:name="IsLunarDate" w:val="False"/>
          <w:attr w:name="Day" w:val="20"/>
          <w:attr w:name="Month" w:val="7"/>
          <w:attr w:name="Year" w:val="2017"/>
        </w:smartTagPr>
        <w:smartTag w:uri="urn:schemas-microsoft-com:office:smarttags" w:element="chsdate">
          <w:smartTagPr>
            <w:attr w:name="IsROCDate" w:val="False"/>
            <w:attr w:name="IsLunarDate" w:val="False"/>
            <w:attr w:name="Day" w:val="20"/>
            <w:attr w:name="Month" w:val="7"/>
            <w:attr w:name="Year" w:val="2017"/>
          </w:smartTagPr>
          <w:r w:rsidRPr="00AC0E89">
            <w:rPr>
              <w:rFonts w:ascii="仿宋_GB2312" w:eastAsia="仿宋_GB2312" w:hAnsi="仿宋" w:hint="eastAsia"/>
              <w:sz w:val="32"/>
              <w:szCs w:val="32"/>
            </w:rPr>
            <w:t>2017年7月20日</w:t>
          </w:r>
        </w:smartTag>
        <w:r w:rsidRPr="00AC0E89">
          <w:rPr>
            <w:rFonts w:ascii="仿宋_GB2312" w:eastAsia="仿宋_GB2312" w:hAnsi="仿宋" w:hint="eastAsia"/>
            <w:sz w:val="32"/>
            <w:szCs w:val="32"/>
          </w:rPr>
          <w:t>起</w:t>
        </w:r>
      </w:smartTag>
      <w:r w:rsidRPr="00AC0E89">
        <w:rPr>
          <w:rFonts w:ascii="仿宋_GB2312" w:eastAsia="仿宋_GB2312" w:hAnsi="仿宋" w:hint="eastAsia"/>
          <w:sz w:val="32"/>
          <w:szCs w:val="32"/>
        </w:rPr>
        <w:t>施行。</w:t>
      </w:r>
    </w:p>
    <w:p w:rsidR="00C7314C" w:rsidRPr="00AC0E89" w:rsidRDefault="00C7314C" w:rsidP="00AC0E89">
      <w:pPr>
        <w:snapToGrid w:val="0"/>
        <w:spacing w:line="580" w:lineRule="exact"/>
        <w:rPr>
          <w:rFonts w:ascii="仿宋_GB2312" w:eastAsia="仿宋_GB2312"/>
          <w:sz w:val="32"/>
          <w:szCs w:val="32"/>
        </w:rPr>
      </w:pPr>
      <w:r w:rsidRPr="00AC0E89">
        <w:rPr>
          <w:rFonts w:ascii="仿宋_GB2312" w:eastAsia="仿宋_GB2312" w:hAnsi="黑体" w:hint="eastAsia"/>
          <w:sz w:val="32"/>
          <w:szCs w:val="32"/>
        </w:rPr>
        <w:t xml:space="preserve">                  </w:t>
      </w:r>
    </w:p>
    <w:p w:rsidR="00C7314C" w:rsidRPr="00AC0E89" w:rsidRDefault="00C7314C" w:rsidP="00AC0E89">
      <w:pPr>
        <w:snapToGrid w:val="0"/>
        <w:spacing w:line="580" w:lineRule="exact"/>
        <w:ind w:firstLineChars="200" w:firstLine="640"/>
        <w:rPr>
          <w:rFonts w:ascii="仿宋_GB2312" w:eastAsia="仿宋_GB2312" w:hAnsi="宋体" w:cs="Arial"/>
          <w:sz w:val="32"/>
          <w:szCs w:val="32"/>
        </w:rPr>
      </w:pPr>
    </w:p>
    <w:p w:rsidR="00C7314C" w:rsidRPr="00AC0E89" w:rsidRDefault="00C7314C" w:rsidP="00AC0E89">
      <w:pPr>
        <w:snapToGrid w:val="0"/>
        <w:spacing w:line="580" w:lineRule="exact"/>
        <w:ind w:firstLineChars="200" w:firstLine="640"/>
        <w:rPr>
          <w:rFonts w:ascii="仿宋_GB2312" w:eastAsia="仿宋_GB2312" w:hAnsi="宋体" w:cs="Arial"/>
          <w:sz w:val="32"/>
          <w:szCs w:val="32"/>
        </w:rPr>
      </w:pPr>
    </w:p>
    <w:p w:rsidR="00B8674B" w:rsidRPr="00AC0E89" w:rsidRDefault="00B8674B" w:rsidP="00AC0E89">
      <w:pPr>
        <w:spacing w:line="580" w:lineRule="exact"/>
        <w:rPr>
          <w:rFonts w:ascii="仿宋_GB2312" w:eastAsia="仿宋_GB2312"/>
          <w:sz w:val="32"/>
          <w:szCs w:val="32"/>
        </w:rPr>
      </w:pPr>
    </w:p>
    <w:sectPr w:rsidR="00B8674B" w:rsidRPr="00AC0E89" w:rsidSect="00AC0E89">
      <w:footerReference w:type="even" r:id="rId7"/>
      <w:footerReference w:type="default" r:id="rId8"/>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E50" w:rsidRDefault="004A0E50" w:rsidP="00AC0E89">
      <w:r>
        <w:separator/>
      </w:r>
    </w:p>
  </w:endnote>
  <w:endnote w:type="continuationSeparator" w:id="0">
    <w:p w:rsidR="004A0E50" w:rsidRDefault="004A0E50" w:rsidP="00AC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89" w:rsidRPr="00AC0E89" w:rsidRDefault="00AC0E89" w:rsidP="00AC0E89">
    <w:pPr>
      <w:pStyle w:val="a4"/>
      <w:ind w:firstLineChars="50" w:firstLine="140"/>
      <w:rPr>
        <w:rFonts w:asciiTheme="majorEastAsia" w:eastAsiaTheme="majorEastAsia" w:hAnsiTheme="majorEastAsia"/>
        <w:sz w:val="28"/>
        <w:szCs w:val="28"/>
      </w:rPr>
    </w:pPr>
    <w:r w:rsidRPr="00AC0E8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82750466"/>
        <w:docPartObj>
          <w:docPartGallery w:val="Page Numbers (Bottom of Page)"/>
          <w:docPartUnique/>
        </w:docPartObj>
      </w:sdtPr>
      <w:sdtEndPr/>
      <w:sdtContent>
        <w:r w:rsidRPr="00AC0E89">
          <w:rPr>
            <w:rFonts w:asciiTheme="majorEastAsia" w:eastAsiaTheme="majorEastAsia" w:hAnsiTheme="majorEastAsia"/>
            <w:sz w:val="28"/>
            <w:szCs w:val="28"/>
          </w:rPr>
          <w:fldChar w:fldCharType="begin"/>
        </w:r>
        <w:r w:rsidRPr="00AC0E89">
          <w:rPr>
            <w:rFonts w:asciiTheme="majorEastAsia" w:eastAsiaTheme="majorEastAsia" w:hAnsiTheme="majorEastAsia"/>
            <w:sz w:val="28"/>
            <w:szCs w:val="28"/>
          </w:rPr>
          <w:instrText>PAGE   \* MERGEFORMAT</w:instrText>
        </w:r>
        <w:r w:rsidRPr="00AC0E89">
          <w:rPr>
            <w:rFonts w:asciiTheme="majorEastAsia" w:eastAsiaTheme="majorEastAsia" w:hAnsiTheme="majorEastAsia"/>
            <w:sz w:val="28"/>
            <w:szCs w:val="28"/>
          </w:rPr>
          <w:fldChar w:fldCharType="separate"/>
        </w:r>
        <w:r w:rsidR="00E21342" w:rsidRPr="00E21342">
          <w:rPr>
            <w:rFonts w:asciiTheme="majorEastAsia" w:eastAsiaTheme="majorEastAsia" w:hAnsiTheme="majorEastAsia"/>
            <w:noProof/>
            <w:sz w:val="28"/>
            <w:szCs w:val="28"/>
            <w:lang w:val="zh-CN"/>
          </w:rPr>
          <w:t>10</w:t>
        </w:r>
        <w:r w:rsidRPr="00AC0E89">
          <w:rPr>
            <w:rFonts w:asciiTheme="majorEastAsia" w:eastAsiaTheme="majorEastAsia" w:hAnsiTheme="majorEastAsia"/>
            <w:sz w:val="28"/>
            <w:szCs w:val="28"/>
          </w:rPr>
          <w:fldChar w:fldCharType="end"/>
        </w:r>
        <w:r w:rsidRPr="00AC0E89">
          <w:rPr>
            <w:rFonts w:asciiTheme="majorEastAsia" w:eastAsiaTheme="majorEastAsia" w:hAnsiTheme="majorEastAsia" w:hint="eastAsia"/>
            <w:sz w:val="28"/>
            <w:szCs w:val="28"/>
          </w:rPr>
          <w:t xml:space="preserve"> —</w:t>
        </w:r>
      </w:sdtContent>
    </w:sdt>
  </w:p>
  <w:p w:rsidR="00AC0E89" w:rsidRPr="00AC0E89" w:rsidRDefault="00AC0E89">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89" w:rsidRPr="00AC0E89" w:rsidRDefault="00AC0E89">
    <w:pPr>
      <w:pStyle w:val="a4"/>
      <w:jc w:val="right"/>
      <w:rPr>
        <w:rFonts w:asciiTheme="majorEastAsia" w:eastAsiaTheme="majorEastAsia" w:hAnsiTheme="majorEastAsia"/>
        <w:sz w:val="28"/>
        <w:szCs w:val="28"/>
      </w:rPr>
    </w:pPr>
    <w:r w:rsidRPr="00AC0E89">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923104418"/>
        <w:docPartObj>
          <w:docPartGallery w:val="Page Numbers (Bottom of Page)"/>
          <w:docPartUnique/>
        </w:docPartObj>
      </w:sdtPr>
      <w:sdtEndPr/>
      <w:sdtContent>
        <w:r w:rsidRPr="00AC0E89">
          <w:rPr>
            <w:rFonts w:asciiTheme="majorEastAsia" w:eastAsiaTheme="majorEastAsia" w:hAnsiTheme="majorEastAsia"/>
            <w:sz w:val="28"/>
            <w:szCs w:val="28"/>
          </w:rPr>
          <w:fldChar w:fldCharType="begin"/>
        </w:r>
        <w:r w:rsidRPr="00AC0E89">
          <w:rPr>
            <w:rFonts w:asciiTheme="majorEastAsia" w:eastAsiaTheme="majorEastAsia" w:hAnsiTheme="majorEastAsia"/>
            <w:sz w:val="28"/>
            <w:szCs w:val="28"/>
          </w:rPr>
          <w:instrText>PAGE   \* MERGEFORMAT</w:instrText>
        </w:r>
        <w:r w:rsidRPr="00AC0E89">
          <w:rPr>
            <w:rFonts w:asciiTheme="majorEastAsia" w:eastAsiaTheme="majorEastAsia" w:hAnsiTheme="majorEastAsia"/>
            <w:sz w:val="28"/>
            <w:szCs w:val="28"/>
          </w:rPr>
          <w:fldChar w:fldCharType="separate"/>
        </w:r>
        <w:r w:rsidR="00E21342" w:rsidRPr="00E21342">
          <w:rPr>
            <w:rFonts w:asciiTheme="majorEastAsia" w:eastAsiaTheme="majorEastAsia" w:hAnsiTheme="majorEastAsia"/>
            <w:noProof/>
            <w:sz w:val="28"/>
            <w:szCs w:val="28"/>
            <w:lang w:val="zh-CN"/>
          </w:rPr>
          <w:t>1</w:t>
        </w:r>
        <w:r w:rsidRPr="00AC0E89">
          <w:rPr>
            <w:rFonts w:asciiTheme="majorEastAsia" w:eastAsiaTheme="majorEastAsia" w:hAnsiTheme="majorEastAsia"/>
            <w:sz w:val="28"/>
            <w:szCs w:val="28"/>
          </w:rPr>
          <w:fldChar w:fldCharType="end"/>
        </w:r>
        <w:r w:rsidRPr="00AC0E89">
          <w:rPr>
            <w:rFonts w:asciiTheme="majorEastAsia" w:eastAsiaTheme="majorEastAsia" w:hAnsiTheme="majorEastAsia" w:hint="eastAsia"/>
            <w:sz w:val="28"/>
            <w:szCs w:val="28"/>
          </w:rPr>
          <w:t xml:space="preserve"> — </w:t>
        </w:r>
      </w:sdtContent>
    </w:sdt>
  </w:p>
  <w:p w:rsidR="00AC0E89" w:rsidRPr="00AC0E89" w:rsidRDefault="00AC0E89">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E50" w:rsidRDefault="004A0E50" w:rsidP="00AC0E89">
      <w:r>
        <w:separator/>
      </w:r>
    </w:p>
  </w:footnote>
  <w:footnote w:type="continuationSeparator" w:id="0">
    <w:p w:rsidR="004A0E50" w:rsidRDefault="004A0E50" w:rsidP="00AC0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14C"/>
    <w:rsid w:val="004A0E50"/>
    <w:rsid w:val="00AC0E89"/>
    <w:rsid w:val="00B8674B"/>
    <w:rsid w:val="00C7314C"/>
    <w:rsid w:val="00E2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1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E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E89"/>
    <w:rPr>
      <w:rFonts w:ascii="Times New Roman" w:eastAsia="宋体" w:hAnsi="Times New Roman" w:cs="Times New Roman"/>
      <w:sz w:val="18"/>
      <w:szCs w:val="18"/>
    </w:rPr>
  </w:style>
  <w:style w:type="paragraph" w:styleId="a4">
    <w:name w:val="footer"/>
    <w:basedOn w:val="a"/>
    <w:link w:val="Char0"/>
    <w:uiPriority w:val="99"/>
    <w:unhideWhenUsed/>
    <w:rsid w:val="00AC0E89"/>
    <w:pPr>
      <w:tabs>
        <w:tab w:val="center" w:pos="4153"/>
        <w:tab w:val="right" w:pos="8306"/>
      </w:tabs>
      <w:snapToGrid w:val="0"/>
      <w:jc w:val="left"/>
    </w:pPr>
    <w:rPr>
      <w:sz w:val="18"/>
      <w:szCs w:val="18"/>
    </w:rPr>
  </w:style>
  <w:style w:type="character" w:customStyle="1" w:styleId="Char0">
    <w:name w:val="页脚 Char"/>
    <w:basedOn w:val="a0"/>
    <w:link w:val="a4"/>
    <w:uiPriority w:val="99"/>
    <w:rsid w:val="00AC0E8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1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E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E89"/>
    <w:rPr>
      <w:rFonts w:ascii="Times New Roman" w:eastAsia="宋体" w:hAnsi="Times New Roman" w:cs="Times New Roman"/>
      <w:sz w:val="18"/>
      <w:szCs w:val="18"/>
    </w:rPr>
  </w:style>
  <w:style w:type="paragraph" w:styleId="a4">
    <w:name w:val="footer"/>
    <w:basedOn w:val="a"/>
    <w:link w:val="Char0"/>
    <w:uiPriority w:val="99"/>
    <w:unhideWhenUsed/>
    <w:rsid w:val="00AC0E89"/>
    <w:pPr>
      <w:tabs>
        <w:tab w:val="center" w:pos="4153"/>
        <w:tab w:val="right" w:pos="8306"/>
      </w:tabs>
      <w:snapToGrid w:val="0"/>
      <w:jc w:val="left"/>
    </w:pPr>
    <w:rPr>
      <w:sz w:val="18"/>
      <w:szCs w:val="18"/>
    </w:rPr>
  </w:style>
  <w:style w:type="character" w:customStyle="1" w:styleId="Char0">
    <w:name w:val="页脚 Char"/>
    <w:basedOn w:val="a0"/>
    <w:link w:val="a4"/>
    <w:uiPriority w:val="99"/>
    <w:rsid w:val="00AC0E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11</Pages>
  <Words>658</Words>
  <Characters>3753</Characters>
  <Application>Microsoft Office Word</Application>
  <DocSecurity>0</DocSecurity>
  <Lines>31</Lines>
  <Paragraphs>8</Paragraphs>
  <ScaleCrop>false</ScaleCrop>
  <Company>Lenovo</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dcterms:created xsi:type="dcterms:W3CDTF">2017-03-29T07:34:00Z</dcterms:created>
  <dcterms:modified xsi:type="dcterms:W3CDTF">2017-05-09T07:14:00Z</dcterms:modified>
</cp:coreProperties>
</file>