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Cs/>
          <w:spacing w:val="-10"/>
          <w:sz w:val="44"/>
          <w:szCs w:val="4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Cs/>
          <w:spacing w:val="-10"/>
          <w:sz w:val="44"/>
          <w:szCs w:val="44"/>
        </w:rPr>
      </w:pPr>
    </w:p>
    <w:p>
      <w:pPr>
        <w:spacing w:line="720" w:lineRule="exact"/>
        <w:jc w:val="center"/>
        <w:rPr>
          <w:rFonts w:hint="eastAsia" w:ascii="宋体" w:hAnsi="宋体" w:eastAsia="宋体" w:cs="宋体"/>
          <w:bCs/>
          <w:spacing w:val="-10"/>
          <w:sz w:val="44"/>
          <w:szCs w:val="44"/>
        </w:rPr>
      </w:pPr>
      <w:r>
        <w:rPr>
          <w:rFonts w:hint="eastAsia" w:ascii="宋体" w:hAnsi="宋体" w:eastAsia="宋体" w:cs="宋体"/>
          <w:bCs/>
          <w:spacing w:val="-10"/>
          <w:sz w:val="44"/>
          <w:szCs w:val="44"/>
        </w:rPr>
        <w:t>天津市突发公共卫生事件应急管理办法</w:t>
      </w:r>
    </w:p>
    <w:p>
      <w:pPr>
        <w:keepNext w:val="0"/>
        <w:keepLines w:val="0"/>
        <w:pageBreakBefore w:val="0"/>
        <w:widowControl/>
        <w:kinsoku/>
        <w:wordWrap/>
        <w:overflowPunct/>
        <w:topLinePunct w:val="0"/>
        <w:autoSpaceDE/>
        <w:autoSpaceDN/>
        <w:bidi w:val="0"/>
        <w:adjustRightInd/>
        <w:snapToGrid/>
        <w:jc w:val="center"/>
        <w:textAlignment w:val="auto"/>
        <w:rPr>
          <w:rFonts w:ascii="楷体_GB2312" w:eastAsia="楷体_GB2312"/>
          <w:color w:val="000000"/>
          <w:szCs w:val="32"/>
        </w:rPr>
      </w:pPr>
      <w:bookmarkStart w:id="6" w:name="_GoBack"/>
      <w:bookmarkEnd w:id="6"/>
    </w:p>
    <w:p>
      <w:pPr>
        <w:ind w:firstLine="632" w:firstLineChars="200"/>
        <w:rPr>
          <w:rFonts w:ascii="楷体_GB2312" w:eastAsia="楷体_GB2312"/>
          <w:b/>
          <w:szCs w:val="32"/>
        </w:rPr>
      </w:pPr>
      <w:r>
        <w:rPr>
          <w:rFonts w:hint="eastAsia" w:ascii="楷体_GB2312" w:eastAsia="楷体_GB2312"/>
          <w:color w:val="000000"/>
          <w:szCs w:val="32"/>
        </w:rPr>
        <w:t>（2020年5月18日天津市第十七届人民代表大会常务委员会第十九次会议通过）</w:t>
      </w:r>
    </w:p>
    <w:p>
      <w:pPr>
        <w:jc w:val="center"/>
        <w:rPr>
          <w:rFonts w:ascii="楷体_GB2312" w:hAnsi="黑体" w:eastAsia="楷体_GB2312"/>
          <w:bCs/>
          <w:sz w:val="36"/>
          <w:szCs w:val="36"/>
        </w:rPr>
      </w:pPr>
    </w:p>
    <w:p>
      <w:pPr>
        <w:ind w:firstLine="632" w:firstLineChars="200"/>
        <w:rPr>
          <w:rFonts w:ascii="仿宋_GB2312"/>
          <w:bCs/>
          <w:szCs w:val="32"/>
        </w:rPr>
      </w:pPr>
      <w:r>
        <w:rPr>
          <w:rFonts w:hint="eastAsia" w:ascii="黑体" w:hAnsi="黑体" w:eastAsia="黑体"/>
          <w:bCs/>
          <w:szCs w:val="32"/>
        </w:rPr>
        <w:t>第一条</w:t>
      </w:r>
      <w:r>
        <w:rPr>
          <w:rFonts w:hint="eastAsia" w:ascii="仿宋_GB2312"/>
          <w:bCs/>
          <w:szCs w:val="32"/>
        </w:rPr>
        <w:t>　为了保障人民群众生命安全和身体健康，全面提升全社会应对突发公共卫生事件的能力，加快推进城市治理体系和治理能力现代化，根据有关法律、行政法规，结合本市实际情况，制定本办法。</w:t>
      </w:r>
    </w:p>
    <w:p>
      <w:pPr>
        <w:ind w:firstLine="632" w:firstLineChars="200"/>
        <w:rPr>
          <w:rFonts w:ascii="Calibri" w:hAnsi="Calibri"/>
          <w:bCs/>
          <w:kern w:val="2"/>
          <w:szCs w:val="32"/>
        </w:rPr>
      </w:pPr>
      <w:r>
        <w:rPr>
          <w:rFonts w:hint="eastAsia" w:ascii="黑体" w:hAnsi="黑体" w:eastAsia="黑体"/>
          <w:bCs/>
          <w:kern w:val="2"/>
          <w:szCs w:val="32"/>
        </w:rPr>
        <w:t>第二条　</w:t>
      </w:r>
      <w:r>
        <w:rPr>
          <w:rFonts w:hint="eastAsia" w:ascii="仿宋_GB2312"/>
          <w:bCs/>
          <w:szCs w:val="32"/>
        </w:rPr>
        <w:t>本办法适用于本市行政区域内对突发公共卫生事件的预防、报告、控制、处置等工作。</w:t>
      </w:r>
    </w:p>
    <w:p>
      <w:pPr>
        <w:widowControl w:val="0"/>
        <w:ind w:firstLine="632" w:firstLineChars="200"/>
        <w:jc w:val="both"/>
        <w:rPr>
          <w:rFonts w:ascii="Calibri" w:hAnsi="Calibri"/>
          <w:bCs/>
          <w:kern w:val="2"/>
          <w:szCs w:val="32"/>
        </w:rPr>
      </w:pPr>
      <w:r>
        <w:rPr>
          <w:rFonts w:hint="eastAsia" w:ascii="Calibri" w:hAnsi="Calibri"/>
          <w:bCs/>
          <w:kern w:val="2"/>
          <w:szCs w:val="32"/>
        </w:rPr>
        <w:t>本办法所称突发公共卫生事件，是指突然发生，造成或者可能造成社会公众健康严重损害的重大传染病疫情、群体性不明原因疾病、重大食物和职业中毒以及其他严重影响公众健康的事件。</w:t>
      </w:r>
    </w:p>
    <w:p>
      <w:pPr>
        <w:widowControl w:val="0"/>
        <w:ind w:firstLine="632" w:firstLineChars="200"/>
        <w:jc w:val="both"/>
        <w:rPr>
          <w:rFonts w:ascii="Calibri" w:hAnsi="Calibri"/>
          <w:bCs/>
          <w:kern w:val="2"/>
          <w:szCs w:val="32"/>
        </w:rPr>
      </w:pPr>
      <w:r>
        <w:rPr>
          <w:rFonts w:hint="eastAsia" w:ascii="Calibri" w:hAnsi="Calibri"/>
          <w:bCs/>
          <w:kern w:val="2"/>
          <w:szCs w:val="32"/>
        </w:rPr>
        <w:t>突发公共卫生事件划分为特别重大（Ⅰ级）、重大（Ⅱ级）、较大（Ⅲ级）和一般（Ⅳ级）四级，分级标准按照国家有关规定执行。</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第三条　</w:t>
      </w:r>
      <w:r>
        <w:rPr>
          <w:rFonts w:hint="eastAsia" w:ascii="Calibri" w:hAnsi="Calibri"/>
          <w:bCs/>
          <w:kern w:val="2"/>
          <w:szCs w:val="32"/>
        </w:rPr>
        <w:t>突发公共卫生事件应急工作应当始终把人民群众生命安全和身体健康放在第一位，坚持统一领导、分级负责，依法科学、精准施策，联防联控、群防群治的原则，强化全社会风险意识，有效预防、及时控制和消除突发公共卫生事件的危害。</w:t>
      </w:r>
    </w:p>
    <w:p>
      <w:pPr>
        <w:widowControl w:val="0"/>
        <w:ind w:firstLine="632" w:firstLineChars="200"/>
        <w:jc w:val="both"/>
        <w:rPr>
          <w:rFonts w:ascii="Calibri" w:hAnsi="Calibri"/>
          <w:bCs/>
          <w:kern w:val="2"/>
          <w:szCs w:val="32"/>
        </w:rPr>
      </w:pPr>
      <w:r>
        <w:rPr>
          <w:rFonts w:hint="eastAsia" w:ascii="Calibri" w:hAnsi="Calibri"/>
          <w:bCs/>
          <w:kern w:val="2"/>
          <w:szCs w:val="32"/>
        </w:rPr>
        <w:t>发生造成重大社会影响的突发公共卫生事件，应当全面落实“战时状态、战时机制、战时思维、战时方法”要求，坚持“战区制、主官上”，保证各项应急处置措施有效实施。</w:t>
      </w:r>
    </w:p>
    <w:p>
      <w:pPr>
        <w:widowControl w:val="0"/>
        <w:ind w:firstLine="632" w:firstLineChars="200"/>
        <w:jc w:val="both"/>
        <w:rPr>
          <w:rFonts w:ascii="仿宋_GB2312"/>
          <w:bCs/>
          <w:szCs w:val="32"/>
        </w:rPr>
      </w:pPr>
      <w:r>
        <w:rPr>
          <w:rFonts w:hint="eastAsia" w:ascii="黑体" w:hAnsi="黑体" w:eastAsia="黑体"/>
          <w:bCs/>
          <w:kern w:val="2"/>
          <w:szCs w:val="32"/>
        </w:rPr>
        <w:t>第四条　</w:t>
      </w:r>
      <w:r>
        <w:rPr>
          <w:rFonts w:hint="eastAsia" w:ascii="仿宋_GB2312" w:hAnsi="Calibri"/>
          <w:bCs/>
          <w:kern w:val="2"/>
          <w:szCs w:val="32"/>
        </w:rPr>
        <w:t>市和区人民政府应当加强对本行政区域内突发公共卫生事件应急工作的组织领导和统筹协调，完善应急预案，</w:t>
      </w:r>
      <w:r>
        <w:rPr>
          <w:rFonts w:hint="eastAsia" w:ascii="Calibri" w:hAnsi="Calibri"/>
          <w:bCs/>
          <w:kern w:val="2"/>
          <w:szCs w:val="32"/>
        </w:rPr>
        <w:t>建立健全应急工作机制，保证应急工作有序进行。</w:t>
      </w:r>
    </w:p>
    <w:p>
      <w:pPr>
        <w:widowControl w:val="0"/>
        <w:ind w:firstLine="632" w:firstLineChars="200"/>
        <w:jc w:val="both"/>
        <w:rPr>
          <w:rFonts w:ascii="仿宋_GB2312" w:hAnsi="Calibri"/>
          <w:bCs/>
          <w:kern w:val="2"/>
          <w:szCs w:val="32"/>
        </w:rPr>
      </w:pPr>
      <w:r>
        <w:rPr>
          <w:rFonts w:hint="eastAsia" w:ascii="仿宋_GB2312" w:hAnsi="Calibri"/>
          <w:bCs/>
          <w:kern w:val="2"/>
          <w:szCs w:val="32"/>
        </w:rPr>
        <w:t>卫生健康主管部门和其他有关部门，在各自的职责范围内，做好突发公共卫生事件应急有关工作。</w:t>
      </w:r>
    </w:p>
    <w:p>
      <w:pPr>
        <w:widowControl w:val="0"/>
        <w:ind w:firstLine="632" w:firstLineChars="200"/>
        <w:jc w:val="both"/>
        <w:rPr>
          <w:rFonts w:ascii="仿宋_GB2312" w:hAnsi="Calibri"/>
          <w:bCs/>
          <w:kern w:val="2"/>
          <w:szCs w:val="32"/>
        </w:rPr>
      </w:pPr>
      <w:r>
        <w:rPr>
          <w:rFonts w:hint="eastAsia" w:ascii="仿宋_GB2312" w:hAnsi="Calibri"/>
          <w:bCs/>
          <w:kern w:val="2"/>
          <w:szCs w:val="32"/>
        </w:rPr>
        <w:t>乡镇人民政府和街道办事处负责做好本辖区内的突发公共卫生事件应急有关工作。</w:t>
      </w:r>
    </w:p>
    <w:p>
      <w:pPr>
        <w:widowControl w:val="0"/>
        <w:ind w:firstLine="632" w:firstLineChars="200"/>
        <w:jc w:val="both"/>
        <w:rPr>
          <w:rFonts w:ascii="仿宋_GB2312" w:hAnsi="Calibri"/>
          <w:bCs/>
          <w:kern w:val="2"/>
          <w:szCs w:val="32"/>
        </w:rPr>
      </w:pPr>
      <w:r>
        <w:rPr>
          <w:rFonts w:hint="eastAsia" w:ascii="仿宋_GB2312" w:hAnsi="Calibri"/>
          <w:bCs/>
          <w:kern w:val="2"/>
          <w:szCs w:val="32"/>
        </w:rPr>
        <w:t>居民委员会、村民委员会应当组织社区居民、村民落实好突发公共卫生事件应急工作要求。</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第五条　</w:t>
      </w:r>
      <w:r>
        <w:rPr>
          <w:rFonts w:hint="eastAsia" w:ascii="Calibri" w:hAnsi="Calibri"/>
          <w:bCs/>
          <w:kern w:val="2"/>
          <w:szCs w:val="32"/>
        </w:rPr>
        <w:t>本市建立和完善突发公共卫生事件监测与预警系统。</w:t>
      </w:r>
    </w:p>
    <w:p>
      <w:pPr>
        <w:widowControl w:val="0"/>
        <w:ind w:firstLine="632" w:firstLineChars="200"/>
        <w:jc w:val="both"/>
        <w:rPr>
          <w:rFonts w:ascii="仿宋_GB2312" w:hAnsi="Calibri"/>
          <w:bCs/>
          <w:kern w:val="2"/>
          <w:szCs w:val="32"/>
        </w:rPr>
      </w:pPr>
      <w:r>
        <w:rPr>
          <w:rFonts w:hint="eastAsia" w:ascii="Calibri" w:hAnsi="Calibri"/>
          <w:bCs/>
          <w:kern w:val="2"/>
          <w:szCs w:val="32"/>
        </w:rPr>
        <w:t>卫生健康主管</w:t>
      </w:r>
      <w:r>
        <w:rPr>
          <w:rFonts w:hint="eastAsia" w:ascii="仿宋_GB2312" w:hAnsi="Calibri"/>
          <w:bCs/>
          <w:kern w:val="2"/>
          <w:szCs w:val="32"/>
        </w:rPr>
        <w:t>部门应当指定医疗机构、疾病预防控制机构等专门机构负责突发公共卫生事件的日常监测，确保监测与预警系统的正常运行；会同有关部门健全监测网络，根据需要设立监测点，充分运用大数据、云计算、区块链、人工智能等技术，综合评价监测数据，及时发现潜在隐患和可能发生的突发公共卫生事件。</w:t>
      </w:r>
    </w:p>
    <w:p>
      <w:pPr>
        <w:widowControl w:val="0"/>
        <w:ind w:firstLine="632" w:firstLineChars="200"/>
        <w:jc w:val="both"/>
        <w:rPr>
          <w:rFonts w:ascii="仿宋_GB2312" w:hAnsi="Calibri"/>
          <w:bCs/>
          <w:kern w:val="2"/>
          <w:szCs w:val="32"/>
          <w:bdr w:val="single" w:color="auto" w:sz="4" w:space="0"/>
        </w:rPr>
      </w:pPr>
      <w:r>
        <w:rPr>
          <w:rFonts w:hint="eastAsia" w:ascii="黑体" w:hAnsi="黑体" w:eastAsia="黑体"/>
          <w:bCs/>
          <w:kern w:val="2"/>
          <w:szCs w:val="32"/>
        </w:rPr>
        <w:t>第六条　</w:t>
      </w:r>
      <w:r>
        <w:rPr>
          <w:rFonts w:hint="eastAsia" w:ascii="仿宋_GB2312" w:hAnsi="Calibri"/>
          <w:bCs/>
          <w:kern w:val="2"/>
          <w:szCs w:val="32"/>
        </w:rPr>
        <w:t>本市实行突发公共卫生事件应急报告制度。</w:t>
      </w:r>
    </w:p>
    <w:p>
      <w:pPr>
        <w:widowControl w:val="0"/>
        <w:ind w:firstLine="632" w:firstLineChars="200"/>
        <w:jc w:val="both"/>
        <w:rPr>
          <w:rFonts w:ascii="仿宋_GB2312" w:hAnsi="Calibri"/>
          <w:bCs/>
          <w:kern w:val="2"/>
          <w:szCs w:val="32"/>
        </w:rPr>
      </w:pPr>
      <w:r>
        <w:rPr>
          <w:rFonts w:hint="eastAsia" w:ascii="仿宋_GB2312" w:hAnsi="Calibri"/>
          <w:bCs/>
          <w:kern w:val="2"/>
          <w:szCs w:val="32"/>
        </w:rPr>
        <w:t>负有报告责任的单位和人员应当按照规定及时、准确报告突发公共卫生事件相关信息，不得隐瞒、缓报、谎报或者授意他人隐瞒、缓报、谎报。</w:t>
      </w:r>
    </w:p>
    <w:p>
      <w:pPr>
        <w:widowControl w:val="0"/>
        <w:ind w:firstLine="632" w:firstLineChars="200"/>
        <w:jc w:val="both"/>
        <w:rPr>
          <w:rFonts w:ascii="仿宋_GB2312" w:hAnsi="Calibri"/>
          <w:bCs/>
          <w:kern w:val="2"/>
          <w:szCs w:val="32"/>
        </w:rPr>
      </w:pPr>
      <w:r>
        <w:rPr>
          <w:rFonts w:hint="eastAsia" w:ascii="仿宋_GB2312" w:hAnsi="Calibri"/>
          <w:bCs/>
          <w:kern w:val="2"/>
          <w:szCs w:val="32"/>
        </w:rPr>
        <w:t>突发公共卫生事件报告的具体工作规范，由市卫生健康主管部门依照本办法制定，报市人民政府批准实施。</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第七条　</w:t>
      </w:r>
      <w:r>
        <w:rPr>
          <w:rFonts w:hint="eastAsia" w:ascii="Calibri" w:hAnsi="Calibri"/>
          <w:bCs/>
          <w:kern w:val="2"/>
          <w:szCs w:val="32"/>
        </w:rPr>
        <w:t>医疗卫生机构、检验检疫机构、环境保护监测机构、教育机构等有关单位，发现有以下相关信息，可能构成或者已经发生突发公共卫生事件的，应当在一小时内向所在区的卫生健康主管部门（疾病预防控制机构）报告：</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（一）发生传染病的；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Calibri" w:hAnsi="Calibri"/>
          <w:bCs/>
          <w:kern w:val="2"/>
          <w:szCs w:val="32"/>
        </w:rPr>
        <w:t>（二）发生或者可能发生</w:t>
      </w:r>
      <w:r>
        <w:rPr>
          <w:rFonts w:hint="eastAsia" w:ascii="仿宋_GB2312"/>
          <w:bCs/>
          <w:szCs w:val="32"/>
        </w:rPr>
        <w:t>食物中毒、职业中毒或者其他中毒的；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仿宋_GB2312"/>
          <w:bCs/>
          <w:szCs w:val="32"/>
        </w:rPr>
        <w:t>（三）</w:t>
      </w:r>
      <w:r>
        <w:rPr>
          <w:rFonts w:hint="eastAsia" w:ascii="Calibri" w:hAnsi="Calibri"/>
          <w:bCs/>
          <w:kern w:val="2"/>
          <w:szCs w:val="32"/>
        </w:rPr>
        <w:t>发生</w:t>
      </w:r>
      <w:r>
        <w:rPr>
          <w:rFonts w:hint="eastAsia" w:ascii="仿宋_GB2312"/>
          <w:bCs/>
          <w:szCs w:val="32"/>
        </w:rPr>
        <w:t>环境因素事件、意外辐射照射事件的；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仿宋_GB2312"/>
          <w:bCs/>
          <w:szCs w:val="32"/>
        </w:rPr>
        <w:t>（四）</w:t>
      </w:r>
      <w:r>
        <w:rPr>
          <w:rFonts w:hint="eastAsia" w:ascii="Calibri" w:hAnsi="Calibri"/>
          <w:bCs/>
          <w:kern w:val="2"/>
          <w:szCs w:val="32"/>
        </w:rPr>
        <w:t>发生</w:t>
      </w:r>
      <w:r>
        <w:rPr>
          <w:rFonts w:hint="eastAsia" w:ascii="仿宋_GB2312"/>
          <w:bCs/>
          <w:szCs w:val="32"/>
        </w:rPr>
        <w:t>传染病菌种、毒种丢失的；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仿宋_GB2312"/>
          <w:bCs/>
          <w:szCs w:val="32"/>
        </w:rPr>
        <w:t>（五）发生或者发现预防接种和预防服药群体性不良反应的；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仿宋_GB2312"/>
          <w:bCs/>
          <w:szCs w:val="32"/>
        </w:rPr>
        <w:t>（六）发生医源性感染事件的；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仿宋_GB2312"/>
          <w:bCs/>
          <w:szCs w:val="32"/>
        </w:rPr>
      </w:pPr>
      <w:r>
        <w:rPr>
          <w:rFonts w:hint="eastAsia" w:ascii="仿宋_GB2312"/>
          <w:bCs/>
          <w:szCs w:val="32"/>
        </w:rPr>
        <w:t>（七）发生或者发现群体性不明原因疾病的；</w:t>
      </w:r>
    </w:p>
    <w:p>
      <w:pPr>
        <w:keepNext w:val="0"/>
        <w:keepLines w:val="0"/>
        <w:pageBreakBefore w:val="0"/>
        <w:kinsoku/>
        <w:wordWrap/>
        <w:overflowPunct/>
        <w:topLinePunct w:val="0"/>
        <w:autoSpaceDE/>
        <w:autoSpaceDN/>
        <w:bidi w:val="0"/>
        <w:adjustRightInd/>
        <w:snapToGrid/>
        <w:ind w:firstLine="474" w:firstLineChars="150"/>
        <w:textAlignment w:val="auto"/>
        <w:outlineLvl w:val="9"/>
        <w:rPr>
          <w:rFonts w:ascii="仿宋_GB2312"/>
          <w:bCs/>
          <w:szCs w:val="32"/>
        </w:rPr>
      </w:pPr>
      <w:r>
        <w:rPr>
          <w:rFonts w:hint="eastAsia" w:ascii="仿宋_GB2312"/>
          <w:bCs/>
          <w:szCs w:val="32"/>
        </w:rPr>
        <w:t>（八）市和区卫生健康主管部门认定的其他与突发公共卫生事件相关的信息。</w:t>
      </w:r>
    </w:p>
    <w:p>
      <w:pPr>
        <w:widowControl w:val="0"/>
        <w:ind w:firstLine="632" w:firstLineChars="200"/>
        <w:jc w:val="both"/>
        <w:rPr>
          <w:rFonts w:ascii="仿宋_GB2312"/>
          <w:bCs/>
          <w:szCs w:val="32"/>
        </w:rPr>
      </w:pPr>
      <w:r>
        <w:rPr>
          <w:rFonts w:hint="eastAsia" w:ascii="黑体" w:hAnsi="黑体" w:eastAsia="黑体"/>
          <w:bCs/>
          <w:szCs w:val="32"/>
        </w:rPr>
        <w:t>第八条</w:t>
      </w:r>
      <w:r>
        <w:rPr>
          <w:rFonts w:hint="eastAsia" w:ascii="黑体" w:hAnsi="黑体" w:eastAsia="黑体"/>
          <w:bCs/>
          <w:kern w:val="2"/>
          <w:szCs w:val="32"/>
        </w:rPr>
        <w:t>　</w:t>
      </w:r>
      <w:r>
        <w:rPr>
          <w:rFonts w:hint="eastAsia" w:ascii="仿宋_GB2312"/>
          <w:bCs/>
          <w:szCs w:val="32"/>
        </w:rPr>
        <w:t>区卫生健康主管部门（疾病预防控制机构）接到突发公共卫生事件信息报告后，应当在一小时内向区人民政府和市卫生健康主管部门（疾病预防控制机构）报告。</w:t>
      </w:r>
    </w:p>
    <w:p>
      <w:pPr>
        <w:widowControl w:val="0"/>
        <w:ind w:firstLine="632" w:firstLineChars="200"/>
        <w:jc w:val="both"/>
        <w:rPr>
          <w:rFonts w:ascii="仿宋_GB2312"/>
          <w:bCs/>
          <w:szCs w:val="32"/>
        </w:rPr>
      </w:pPr>
      <w:r>
        <w:rPr>
          <w:rFonts w:hint="eastAsia" w:ascii="仿宋_GB2312"/>
          <w:bCs/>
          <w:szCs w:val="32"/>
        </w:rPr>
        <w:t>市卫生健康主管部门（疾病预防控制机构）、区人民政府接到报告后，应当在一小时内向市人民政府和市主要负责人报告；对可能造成重大社会影响的突发公共卫生事件，应当立即向市人民政府和市主要负责人报告。</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第九条　</w:t>
      </w:r>
      <w:r>
        <w:rPr>
          <w:rFonts w:hint="eastAsia" w:ascii="Calibri" w:hAnsi="Calibri"/>
          <w:bCs/>
          <w:kern w:val="2"/>
          <w:szCs w:val="32"/>
        </w:rPr>
        <w:t>突发公共卫生事件应急报告应当包括下列内容：</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（一）事件名称、类别、发生时间、地点、涉及的地域和人数；</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（二）事件的主要特征和可能的原因；</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（三）已经采取的紧急措施；</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（四）需要报告的其他事项。</w:t>
      </w:r>
    </w:p>
    <w:p>
      <w:pPr>
        <w:widowControl w:val="0"/>
        <w:ind w:firstLine="632" w:firstLineChars="200"/>
        <w:jc w:val="both"/>
        <w:rPr>
          <w:rFonts w:ascii="楷体_GB2312" w:hAnsi="黑体" w:eastAsia="楷体_GB2312"/>
          <w:bCs/>
          <w:color w:val="000000"/>
          <w:kern w:val="2"/>
          <w:szCs w:val="32"/>
        </w:rPr>
      </w:pPr>
      <w:r>
        <w:rPr>
          <w:rFonts w:hint="eastAsia" w:ascii="黑体" w:hAnsi="黑体" w:eastAsia="黑体"/>
          <w:bCs/>
          <w:kern w:val="2"/>
          <w:szCs w:val="32"/>
        </w:rPr>
        <w:t>第十条　</w:t>
      </w:r>
      <w:r>
        <w:rPr>
          <w:rFonts w:hint="eastAsia" w:ascii="Calibri" w:hAnsi="Calibri"/>
          <w:bCs/>
          <w:kern w:val="2"/>
          <w:szCs w:val="32"/>
        </w:rPr>
        <w:t>鼓励支持单位和个人向市和区人民政府及其有关部门举报突发公共卫生事件隐患。对举报有功的单位和个人，市和区人民政府及其有关部门应当予以奖励。</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第十一条　</w:t>
      </w:r>
      <w:r>
        <w:rPr>
          <w:rFonts w:hint="eastAsia" w:ascii="Calibri" w:hAnsi="Calibri"/>
          <w:bCs/>
          <w:kern w:val="2"/>
          <w:szCs w:val="32"/>
        </w:rPr>
        <w:t>接到报告的市卫生健康主管部门、区人民政府及其卫生健康主管部门在按照规定报告的同时，应当立即组织力量对报告事项调查核实、确证，根据需要依法采取下列紧急措施：</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（一）对突发公共卫生事件现场进行临时控制，限制人员出入；</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（二）封存可能导致突发公共卫生事件发生的设备、材料、物品；</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（三）采取紧急卫生消毒、处置措施；</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（四）对有关人员实施医学隔离；</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（五）组织对病员进行紧急医疗救治；</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楷体_GB2312" w:hAnsi="黑体" w:eastAsia="楷体_GB2312"/>
          <w:bCs/>
          <w:color w:val="000000"/>
          <w:kern w:val="2"/>
          <w:szCs w:val="32"/>
        </w:rPr>
      </w:pPr>
      <w:r>
        <w:rPr>
          <w:rFonts w:hint="eastAsia" w:ascii="Calibri" w:hAnsi="Calibri"/>
          <w:bCs/>
          <w:kern w:val="2"/>
          <w:szCs w:val="32"/>
        </w:rPr>
        <w:t>（六）需要采取的其他紧急措施。</w:t>
      </w:r>
    </w:p>
    <w:p>
      <w:pPr>
        <w:widowControl w:val="0"/>
        <w:ind w:firstLine="632" w:firstLineChars="200"/>
        <w:jc w:val="both"/>
        <w:rPr>
          <w:rFonts w:ascii="仿宋_GB2312"/>
          <w:bCs/>
          <w:szCs w:val="32"/>
        </w:rPr>
      </w:pPr>
      <w:r>
        <w:rPr>
          <w:rFonts w:hint="eastAsia" w:ascii="黑体" w:hAnsi="黑体" w:eastAsia="黑体"/>
          <w:bCs/>
          <w:szCs w:val="32"/>
        </w:rPr>
        <w:t>第十二条</w:t>
      </w:r>
      <w:r>
        <w:rPr>
          <w:rFonts w:hint="eastAsia" w:ascii="仿宋_GB2312"/>
          <w:bCs/>
          <w:szCs w:val="32"/>
        </w:rPr>
        <w:t>　突发公共卫生事件发生后，卫生健康主管部门应当立即组织专家和专业技术机构，对突发公共卫生事件的原因、性质、影响范围、危害程度和发展趋势等进行综合分析、评估，判断突发公共卫生事件的类型，按照国家规定确认突发公共卫生事件级别，并向本级人民政府提出启动突发公共卫生事件应急预案的建议。</w:t>
      </w:r>
    </w:p>
    <w:p>
      <w:pPr>
        <w:widowControl w:val="0"/>
        <w:ind w:firstLine="632" w:firstLineChars="200"/>
        <w:jc w:val="both"/>
        <w:rPr>
          <w:rFonts w:ascii="仿宋_GB2312"/>
          <w:bCs/>
          <w:szCs w:val="32"/>
        </w:rPr>
      </w:pPr>
      <w:r>
        <w:rPr>
          <w:rFonts w:hint="eastAsia" w:ascii="仿宋_GB2312"/>
          <w:bCs/>
          <w:szCs w:val="32"/>
        </w:rPr>
        <w:t>在全市范围内或者跨区启动应急预案，由市人民政府决定；在单个区范围内启动应急预案，由区人民政府决定，向市人民政府和市卫生健康主管部门报告后实施。</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第十三条　</w:t>
      </w:r>
      <w:r>
        <w:rPr>
          <w:rFonts w:hint="eastAsia" w:ascii="Calibri" w:hAnsi="Calibri"/>
          <w:bCs/>
          <w:kern w:val="2"/>
          <w:szCs w:val="32"/>
        </w:rPr>
        <w:t>突发公共卫生事件发生后，市和区人民政府应当在同级党委领导下，根据突发公共卫生事件的响应级别成立应急指挥部，负责指挥本行政区域内突发公共卫生事件应急处置工作。</w:t>
      </w:r>
    </w:p>
    <w:p>
      <w:pPr>
        <w:widowControl w:val="0"/>
        <w:ind w:firstLine="632" w:firstLineChars="200"/>
        <w:jc w:val="both"/>
        <w:rPr>
          <w:rFonts w:ascii="Calibri" w:hAnsi="Calibri"/>
          <w:bCs/>
          <w:kern w:val="2"/>
          <w:szCs w:val="32"/>
        </w:rPr>
      </w:pPr>
      <w:r>
        <w:rPr>
          <w:rFonts w:hint="eastAsia" w:ascii="Calibri" w:hAnsi="Calibri"/>
          <w:bCs/>
          <w:kern w:val="2"/>
          <w:szCs w:val="32"/>
        </w:rPr>
        <w:t>有关部门和单位应当按照“战时”应急工作机制要求，迅速进入应急状态，加快工作流程，优化工作环节，争分夺秒落实应急工作部署。</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第十四条　</w:t>
      </w:r>
      <w:r>
        <w:rPr>
          <w:rFonts w:hint="eastAsia" w:ascii="Calibri" w:hAnsi="Calibri"/>
          <w:bCs/>
          <w:kern w:val="2"/>
          <w:szCs w:val="32"/>
        </w:rPr>
        <w:t>市和区人民政府应当按照国家和本市有关规定，及时准确、公开透明发布有关突发公共卫生事件和应急处置工作的信息。</w:t>
      </w:r>
    </w:p>
    <w:p>
      <w:pPr>
        <w:widowControl w:val="0"/>
        <w:ind w:firstLine="632" w:firstLineChars="200"/>
        <w:jc w:val="both"/>
        <w:rPr>
          <w:rFonts w:ascii="Calibri" w:hAnsi="Calibri"/>
          <w:bCs/>
          <w:kern w:val="2"/>
          <w:szCs w:val="32"/>
        </w:rPr>
      </w:pPr>
      <w:r>
        <w:rPr>
          <w:rFonts w:hint="eastAsia" w:ascii="Calibri" w:hAnsi="Calibri"/>
          <w:bCs/>
          <w:kern w:val="2"/>
          <w:szCs w:val="32"/>
        </w:rPr>
        <w:t>突发公共卫生事件涉及的病例、病情、人员活动轨迹以及流行病学调查等信息，一经确定应当即时向社会发布。</w:t>
      </w:r>
    </w:p>
    <w:p>
      <w:pPr>
        <w:widowControl w:val="0"/>
        <w:ind w:firstLine="632" w:firstLineChars="200"/>
        <w:jc w:val="both"/>
        <w:rPr>
          <w:rFonts w:ascii="仿宋_GB2312" w:cs="仿宋_GB2312"/>
          <w:bCs/>
          <w:szCs w:val="32"/>
        </w:rPr>
      </w:pPr>
      <w:r>
        <w:rPr>
          <w:rFonts w:hint="eastAsia" w:ascii="黑体" w:hAnsi="黑体" w:eastAsia="黑体"/>
          <w:bCs/>
          <w:kern w:val="2"/>
          <w:szCs w:val="32"/>
        </w:rPr>
        <w:t>第十五条　</w:t>
      </w:r>
      <w:r>
        <w:rPr>
          <w:rFonts w:hint="eastAsia" w:ascii="仿宋_GB2312" w:cs="仿宋_GB2312"/>
          <w:bCs/>
          <w:szCs w:val="32"/>
        </w:rPr>
        <w:t>卫生健康主管部门、医疗卫生机构应当对传染病做到</w:t>
      </w:r>
      <w:r>
        <w:rPr>
          <w:rFonts w:ascii="仿宋_GB2312" w:cs="仿宋_GB2312"/>
          <w:bCs/>
          <w:szCs w:val="32"/>
        </w:rPr>
        <w:t>早发现、早报告、早隔离、早治疗</w:t>
      </w:r>
      <w:r>
        <w:rPr>
          <w:rFonts w:hint="eastAsia" w:ascii="仿宋_GB2312" w:cs="仿宋_GB2312"/>
          <w:bCs/>
          <w:szCs w:val="32"/>
        </w:rPr>
        <w:t>，切断传播途径，防止扩散；采取集中患者、集中专家、集中资源、集中救治等措施，提高救治工作成效。</w:t>
      </w:r>
    </w:p>
    <w:p>
      <w:pPr>
        <w:widowControl w:val="0"/>
        <w:ind w:firstLine="632" w:firstLineChars="200"/>
        <w:jc w:val="both"/>
        <w:rPr>
          <w:rFonts w:ascii="仿宋_GB2312" w:cs="仿宋_GB2312"/>
          <w:bCs/>
          <w:szCs w:val="32"/>
        </w:rPr>
      </w:pPr>
      <w:r>
        <w:rPr>
          <w:rFonts w:hint="eastAsia" w:ascii="仿宋_GB2312" w:cs="仿宋_GB2312"/>
          <w:bCs/>
          <w:szCs w:val="32"/>
        </w:rPr>
        <w:t>卫生健康主管部门应当针对突发公共卫生事件性质，组织有关单位宣传普及卫生知识，消除公众心理障碍，开展心理危机干预工作。</w:t>
      </w:r>
    </w:p>
    <w:p>
      <w:pPr>
        <w:widowControl w:val="0"/>
        <w:ind w:firstLine="632" w:firstLineChars="200"/>
        <w:jc w:val="both"/>
        <w:rPr>
          <w:rFonts w:ascii="仿宋_GB2312" w:cs="仿宋_GB2312"/>
          <w:bCs/>
          <w:szCs w:val="32"/>
        </w:rPr>
      </w:pPr>
      <w:r>
        <w:rPr>
          <w:rFonts w:hint="eastAsia" w:ascii="仿宋_GB2312" w:cs="仿宋_GB2312"/>
          <w:bCs/>
          <w:szCs w:val="32"/>
        </w:rPr>
        <w:t>发生造成重大社会影响的突发公共卫生事件，市疾病预防控制机构应当对本市各级疾病预防控制队伍实施统一指挥，统一调配流行病学调查、实验室检测等资源。</w:t>
      </w:r>
    </w:p>
    <w:p>
      <w:pPr>
        <w:widowControl w:val="0"/>
        <w:ind w:firstLine="632" w:firstLineChars="200"/>
        <w:jc w:val="both"/>
        <w:rPr>
          <w:rFonts w:ascii="仿宋_GB2312" w:cs="仿宋_GB2312"/>
          <w:bCs/>
          <w:szCs w:val="32"/>
        </w:rPr>
      </w:pPr>
      <w:r>
        <w:rPr>
          <w:rFonts w:hint="eastAsia" w:ascii="仿宋_GB2312" w:cs="仿宋_GB2312"/>
          <w:bCs/>
          <w:szCs w:val="32"/>
        </w:rPr>
        <w:t>医疗卫生机构应当按照卫生健康主管部门的部署，对因突发公共卫生事件致病的人员提供医疗救护和现场救援，对就诊人员及时接诊治疗，不得推诿、拒绝，不得擅自转诊；因医疗条件所限确需转诊的，由卫生健康主管部门统一安排，并采取必要的防控措施；收治传染病病人、疑似传染病病人的，依法报告所在区的疾病预防控制机构。</w:t>
      </w:r>
    </w:p>
    <w:p>
      <w:pPr>
        <w:widowControl w:val="0"/>
        <w:ind w:firstLine="632" w:firstLineChars="200"/>
        <w:jc w:val="both"/>
        <w:rPr>
          <w:rFonts w:ascii="仿宋_GB2312" w:cs="仿宋_GB2312"/>
          <w:bCs/>
          <w:szCs w:val="32"/>
        </w:rPr>
      </w:pPr>
      <w:r>
        <w:rPr>
          <w:rFonts w:hint="eastAsia" w:ascii="黑体" w:hAnsi="黑体" w:eastAsia="黑体"/>
          <w:bCs/>
          <w:kern w:val="2"/>
          <w:szCs w:val="32"/>
        </w:rPr>
        <w:t>第十六条　</w:t>
      </w:r>
      <w:r>
        <w:rPr>
          <w:rFonts w:hint="eastAsia" w:ascii="仿宋_GB2312" w:cs="仿宋_GB2312"/>
          <w:bCs/>
          <w:szCs w:val="32"/>
        </w:rPr>
        <w:t>发展改革、工业和信息化、商务、市场监督管理、城市管理、交通运输、公安等有关部门，按照应急处置工作要求，做好物资生产调配、群众生活供给、市场秩序监管、环境卫生清整、交通运输保障、维护社会稳定等突发公共卫生事件应急处置工作。</w:t>
      </w:r>
    </w:p>
    <w:p>
      <w:pPr>
        <w:widowControl w:val="0"/>
        <w:ind w:firstLine="632" w:firstLineChars="200"/>
        <w:jc w:val="both"/>
        <w:rPr>
          <w:rFonts w:ascii="仿宋_GB2312" w:cs="仿宋_GB2312"/>
          <w:bCs/>
          <w:szCs w:val="32"/>
        </w:rPr>
      </w:pPr>
      <w:r>
        <w:rPr>
          <w:rFonts w:hint="eastAsia" w:ascii="仿宋_GB2312" w:cs="仿宋_GB2312"/>
          <w:bCs/>
          <w:szCs w:val="32"/>
        </w:rPr>
        <w:t>广播、电视、报刊、网络等媒体应当按照统一部署和要求，准确、客观报道应急处置工作，宣传相关法律法规和政策措施，普及科学防护知识，加强舆论引导，为突发公共卫生事件应急处置工作营造良好氛围。</w:t>
      </w:r>
    </w:p>
    <w:p>
      <w:pPr>
        <w:widowControl w:val="0"/>
        <w:ind w:firstLine="632" w:firstLineChars="200"/>
        <w:jc w:val="both"/>
        <w:rPr>
          <w:rFonts w:ascii="仿宋_GB2312" w:cs="仿宋_GB2312"/>
          <w:bCs/>
          <w:szCs w:val="32"/>
        </w:rPr>
      </w:pPr>
      <w:r>
        <w:rPr>
          <w:rFonts w:hint="eastAsia" w:ascii="仿宋_GB2312" w:cs="仿宋_GB2312"/>
          <w:bCs/>
          <w:szCs w:val="32"/>
        </w:rPr>
        <w:t>工会、共青团、妇联、科协、红十字会等团体和组织，应当结合各自职责和工作特点，协助做好突发公共卫生事件应急处置工作。</w:t>
      </w:r>
    </w:p>
    <w:p>
      <w:pPr>
        <w:widowControl w:val="0"/>
        <w:ind w:firstLine="632" w:firstLineChars="200"/>
        <w:jc w:val="both"/>
        <w:rPr>
          <w:rFonts w:ascii="仿宋_GB2312"/>
          <w:bCs/>
          <w:szCs w:val="32"/>
        </w:rPr>
      </w:pPr>
      <w:r>
        <w:rPr>
          <w:rFonts w:hint="eastAsia" w:ascii="黑体" w:hAnsi="黑体" w:eastAsia="黑体"/>
          <w:bCs/>
          <w:kern w:val="2"/>
          <w:szCs w:val="32"/>
        </w:rPr>
        <w:t>第十七条　</w:t>
      </w:r>
      <w:r>
        <w:rPr>
          <w:rFonts w:hint="eastAsia" w:ascii="仿宋_GB2312"/>
          <w:bCs/>
          <w:szCs w:val="32"/>
        </w:rPr>
        <w:t>乡镇人民政府和街道办事处应当做好辖区内突发公共卫生事件相关防控工作，组织、指导居民委员会、村民委员会开展社区防控。</w:t>
      </w:r>
    </w:p>
    <w:p>
      <w:pPr>
        <w:widowControl w:val="0"/>
        <w:ind w:firstLine="632" w:firstLineChars="200"/>
        <w:jc w:val="both"/>
        <w:rPr>
          <w:rFonts w:ascii="仿宋_GB2312"/>
          <w:bCs/>
          <w:szCs w:val="32"/>
        </w:rPr>
      </w:pPr>
      <w:r>
        <w:rPr>
          <w:rFonts w:hint="eastAsia" w:ascii="仿宋_GB2312"/>
          <w:bCs/>
          <w:szCs w:val="32"/>
        </w:rPr>
        <w:t>居民委员会、村民委员会应当坚持党建引领，落实基层治理网格化管理职责，组织辖区单位、业主委员会、物业服务企业、社区志愿者、居民村民等，开展群防群治，协助做好疫情监测和信息报送、人员的分散与隔离、社区村庄封闭管理、环境卫生整治、困难家庭和人员帮扶等工作；向居民村民宣传有关政策、法律法规和防控相关知识，提高居民村民的健康意识、应急素养和自我防护能力。</w:t>
      </w:r>
    </w:p>
    <w:p>
      <w:pPr>
        <w:ind w:firstLine="696" w:firstLineChars="220"/>
        <w:rPr>
          <w:rFonts w:ascii="仿宋_GB2312"/>
          <w:bCs/>
          <w:szCs w:val="32"/>
        </w:rPr>
      </w:pPr>
      <w:r>
        <w:rPr>
          <w:rFonts w:hint="eastAsia" w:ascii="黑体" w:hAnsi="黑体" w:eastAsia="黑体"/>
          <w:bCs/>
          <w:kern w:val="2"/>
          <w:szCs w:val="32"/>
        </w:rPr>
        <w:t>第十八条　</w:t>
      </w:r>
      <w:r>
        <w:rPr>
          <w:rFonts w:ascii="仿宋_GB2312"/>
          <w:bCs/>
          <w:szCs w:val="32"/>
        </w:rPr>
        <w:t>在本市居住、工作、学习</w:t>
      </w:r>
      <w:r>
        <w:rPr>
          <w:rFonts w:hint="eastAsia" w:ascii="仿宋_GB2312"/>
          <w:bCs/>
          <w:szCs w:val="32"/>
        </w:rPr>
        <w:t>、旅游</w:t>
      </w:r>
      <w:r>
        <w:rPr>
          <w:rFonts w:ascii="仿宋_GB2312"/>
          <w:bCs/>
          <w:szCs w:val="32"/>
        </w:rPr>
        <w:t>以及从事其他活动的个人，应当</w:t>
      </w:r>
      <w:r>
        <w:rPr>
          <w:rFonts w:hint="eastAsia" w:ascii="仿宋_GB2312"/>
          <w:bCs/>
          <w:szCs w:val="32"/>
        </w:rPr>
        <w:t>积极参与应急防控，</w:t>
      </w:r>
      <w:r>
        <w:rPr>
          <w:rFonts w:ascii="仿宋_GB2312"/>
          <w:bCs/>
          <w:szCs w:val="32"/>
        </w:rPr>
        <w:t>增强自我防范意识和防护能力，</w:t>
      </w:r>
      <w:r>
        <w:rPr>
          <w:rFonts w:hint="eastAsia" w:ascii="仿宋_GB2312"/>
          <w:bCs/>
          <w:szCs w:val="32"/>
        </w:rPr>
        <w:t>遵守服从应急措施，</w:t>
      </w:r>
      <w:r>
        <w:rPr>
          <w:rFonts w:ascii="仿宋_GB2312"/>
          <w:bCs/>
          <w:szCs w:val="32"/>
        </w:rPr>
        <w:t>履行防控义务</w:t>
      </w:r>
      <w:r>
        <w:rPr>
          <w:rFonts w:hint="eastAsia" w:ascii="仿宋_GB2312"/>
          <w:bCs/>
          <w:szCs w:val="32"/>
        </w:rPr>
        <w:t>。根据防控需要，</w:t>
      </w:r>
      <w:r>
        <w:rPr>
          <w:rFonts w:ascii="仿宋_GB2312"/>
          <w:bCs/>
          <w:szCs w:val="32"/>
        </w:rPr>
        <w:t>严格执行</w:t>
      </w:r>
      <w:r>
        <w:rPr>
          <w:rFonts w:hint="eastAsia" w:ascii="仿宋_GB2312"/>
          <w:bCs/>
          <w:szCs w:val="32"/>
        </w:rPr>
        <w:t>禁止聚集、减少外出、居家单独隔离、</w:t>
      </w:r>
      <w:r>
        <w:rPr>
          <w:rFonts w:ascii="仿宋_GB2312"/>
          <w:bCs/>
          <w:szCs w:val="32"/>
        </w:rPr>
        <w:t>佩戴口罩等防护要求，自觉遵守就医、出行等规定，自觉接受调查、监测、医学观察、隔离治疗等防控措施，如实提供个人有关信息。</w:t>
      </w:r>
    </w:p>
    <w:p>
      <w:pPr>
        <w:widowControl w:val="0"/>
        <w:ind w:firstLine="632" w:firstLineChars="200"/>
        <w:jc w:val="both"/>
        <w:rPr>
          <w:rFonts w:ascii="仿宋_GB2312"/>
          <w:bCs/>
          <w:szCs w:val="32"/>
        </w:rPr>
      </w:pPr>
      <w:r>
        <w:rPr>
          <w:rFonts w:hint="eastAsia" w:ascii="仿宋_GB2312"/>
          <w:bCs/>
          <w:szCs w:val="32"/>
        </w:rPr>
        <w:t>在突发公共卫生事件中需要接受隔离治疗、医学观察措施的传染病病人、疑似传染病病人和传染病病人密切接触者在卫生健康主管部门或者有关机构采取医学措施时应当予以配合；拒不配合的，由公安机关依法协助强制执行。</w:t>
      </w:r>
    </w:p>
    <w:p>
      <w:pPr>
        <w:widowControl w:val="0"/>
        <w:ind w:firstLine="632" w:firstLineChars="200"/>
        <w:jc w:val="both"/>
        <w:rPr>
          <w:rFonts w:ascii="仿宋_GB2312" w:cs="仿宋_GB2312"/>
          <w:bCs/>
          <w:szCs w:val="32"/>
        </w:rPr>
      </w:pPr>
      <w:r>
        <w:rPr>
          <w:rFonts w:hint="eastAsia" w:ascii="黑体" w:hAnsi="黑体" w:eastAsia="黑体"/>
          <w:bCs/>
          <w:kern w:val="2"/>
          <w:szCs w:val="32"/>
        </w:rPr>
        <w:t>第十九条</w:t>
      </w:r>
      <w:r>
        <w:rPr>
          <w:rFonts w:hint="eastAsia" w:ascii="黑体" w:hAnsi="黑体" w:eastAsia="黑体"/>
          <w:bCs/>
          <w:color w:val="FF0000"/>
          <w:kern w:val="2"/>
          <w:szCs w:val="32"/>
        </w:rPr>
        <w:t>　</w:t>
      </w:r>
      <w:r>
        <w:rPr>
          <w:rFonts w:hint="eastAsia" w:ascii="仿宋_GB2312" w:cs="仿宋_GB2312"/>
          <w:bCs/>
          <w:szCs w:val="32"/>
        </w:rPr>
        <w:t>公共服务场所管理者和公共交通工具经营者，应当落实突发公共卫生事件应急处置工作要求，控制人员流量和间隔，对出入公共服务场所、乘坐公共交通工具的人员实施体温检测、信息登记等措施，做好相关防控工作。</w:t>
      </w:r>
    </w:p>
    <w:p>
      <w:pPr>
        <w:widowControl w:val="0"/>
        <w:ind w:firstLine="632" w:firstLineChars="200"/>
        <w:jc w:val="both"/>
        <w:rPr>
          <w:rFonts w:ascii="仿宋_GB2312"/>
          <w:bCs/>
          <w:szCs w:val="32"/>
        </w:rPr>
      </w:pPr>
      <w:r>
        <w:rPr>
          <w:rFonts w:hint="eastAsia" w:ascii="黑体" w:hAnsi="黑体" w:eastAsia="黑体"/>
          <w:bCs/>
          <w:kern w:val="2"/>
          <w:szCs w:val="32"/>
        </w:rPr>
        <w:t>第二十条　</w:t>
      </w:r>
      <w:r>
        <w:rPr>
          <w:rFonts w:hint="eastAsia" w:ascii="仿宋_GB2312"/>
          <w:bCs/>
          <w:szCs w:val="32"/>
        </w:rPr>
        <w:t>市和区人民政府应当组织医疗卫生机构、科研机构等单位，加强致病机理、传播途径、快速诊断方法、诊断试剂，以及相关药物、疫苗、器械装备等相关科学研究、技术攻关和产品开发应用，为突发公共卫生事件应急工作提供科技支撑。</w:t>
      </w:r>
    </w:p>
    <w:p>
      <w:pPr>
        <w:widowControl w:val="0"/>
        <w:ind w:firstLine="632" w:firstLineChars="200"/>
        <w:jc w:val="both"/>
        <w:rPr>
          <w:rFonts w:ascii="仿宋_GB2312"/>
          <w:bCs/>
          <w:szCs w:val="32"/>
        </w:rPr>
      </w:pPr>
      <w:r>
        <w:rPr>
          <w:rFonts w:hint="eastAsia" w:ascii="仿宋_GB2312"/>
          <w:bCs/>
          <w:szCs w:val="32"/>
        </w:rPr>
        <w:t>鼓励支持企业开展突发公共卫生事件相关产品和技术研发，承接转化国内外科技成果。</w:t>
      </w:r>
    </w:p>
    <w:p>
      <w:pPr>
        <w:widowControl w:val="0"/>
        <w:ind w:firstLine="632" w:firstLineChars="200"/>
        <w:jc w:val="both"/>
        <w:rPr>
          <w:rFonts w:ascii="仿宋_GB2312"/>
          <w:bCs/>
          <w:szCs w:val="32"/>
        </w:rPr>
      </w:pPr>
      <w:r>
        <w:rPr>
          <w:rFonts w:hint="eastAsia" w:ascii="黑体" w:hAnsi="黑体" w:eastAsia="黑体"/>
          <w:bCs/>
          <w:kern w:val="2"/>
          <w:szCs w:val="32"/>
        </w:rPr>
        <w:t>第二十一条　</w:t>
      </w:r>
      <w:r>
        <w:rPr>
          <w:rFonts w:hint="eastAsia" w:ascii="仿宋_GB2312"/>
          <w:bCs/>
          <w:szCs w:val="32"/>
        </w:rPr>
        <w:t>市和区人民政府、卫生健康主管部门应当加强对参加突发公共卫生事件应急工作人员的安全保障，采取有效防护措施，提供专业技术指导。</w:t>
      </w:r>
    </w:p>
    <w:p>
      <w:pPr>
        <w:widowControl w:val="0"/>
        <w:ind w:firstLine="632" w:firstLineChars="200"/>
        <w:jc w:val="both"/>
        <w:rPr>
          <w:rFonts w:ascii="Calibri" w:hAnsi="Calibri"/>
          <w:bCs/>
          <w:kern w:val="2"/>
          <w:szCs w:val="32"/>
        </w:rPr>
      </w:pPr>
      <w:r>
        <w:rPr>
          <w:rFonts w:hint="eastAsia" w:ascii="Calibri" w:hAnsi="Calibri"/>
          <w:bCs/>
          <w:kern w:val="2"/>
          <w:szCs w:val="32"/>
        </w:rPr>
        <w:t>市和区人民政府应当按照规定对参加突发公共卫生事件应急工作的医务人员给予补助、津贴；对突发公共卫生事件应急工作中作出突出贡献的人员，给予表彰和奖励；对因参与应急工作致病、致残、牺牲的人员，按照国家和本市有关规定，给予相应的补助和抚恤。</w:t>
      </w:r>
    </w:p>
    <w:p>
      <w:pPr>
        <w:widowControl w:val="0"/>
        <w:ind w:firstLine="632" w:firstLineChars="200"/>
        <w:jc w:val="both"/>
        <w:rPr>
          <w:rFonts w:ascii="仿宋_GB2312"/>
          <w:bCs/>
          <w:kern w:val="2"/>
          <w:szCs w:val="32"/>
        </w:rPr>
      </w:pPr>
      <w:r>
        <w:rPr>
          <w:rFonts w:hint="eastAsia" w:ascii="黑体" w:hAnsi="黑体" w:eastAsia="黑体"/>
          <w:bCs/>
          <w:kern w:val="2"/>
          <w:szCs w:val="32"/>
        </w:rPr>
        <w:t>第二十二条　</w:t>
      </w:r>
      <w:r>
        <w:rPr>
          <w:rFonts w:ascii="仿宋_GB2312"/>
          <w:bCs/>
          <w:kern w:val="2"/>
          <w:szCs w:val="32"/>
        </w:rPr>
        <w:t>本市各级人民政府及有关部门根据</w:t>
      </w:r>
      <w:r>
        <w:rPr>
          <w:rFonts w:hint="eastAsia" w:ascii="仿宋_GB2312"/>
          <w:bCs/>
          <w:kern w:val="2"/>
          <w:szCs w:val="32"/>
        </w:rPr>
        <w:t>应急工作</w:t>
      </w:r>
      <w:r>
        <w:rPr>
          <w:rFonts w:ascii="仿宋_GB2312"/>
          <w:bCs/>
          <w:kern w:val="2"/>
          <w:szCs w:val="32"/>
        </w:rPr>
        <w:t>需要，</w:t>
      </w:r>
      <w:r>
        <w:rPr>
          <w:rFonts w:hint="eastAsia" w:ascii="仿宋_GB2312"/>
          <w:bCs/>
          <w:kern w:val="2"/>
          <w:szCs w:val="32"/>
        </w:rPr>
        <w:t>应当</w:t>
      </w:r>
      <w:r>
        <w:rPr>
          <w:rFonts w:ascii="仿宋_GB2312"/>
          <w:bCs/>
          <w:kern w:val="2"/>
          <w:szCs w:val="32"/>
        </w:rPr>
        <w:t>与北京市、河北省及相邻地区建立合作机制，加强信息互联互通、会商研判</w:t>
      </w:r>
      <w:r>
        <w:rPr>
          <w:rFonts w:hint="eastAsia" w:ascii="仿宋_GB2312"/>
          <w:bCs/>
          <w:kern w:val="2"/>
          <w:szCs w:val="32"/>
        </w:rPr>
        <w:t>等</w:t>
      </w:r>
      <w:r>
        <w:rPr>
          <w:rFonts w:ascii="仿宋_GB2312"/>
          <w:bCs/>
          <w:kern w:val="2"/>
          <w:szCs w:val="32"/>
        </w:rPr>
        <w:t>工作协同，共同做好</w:t>
      </w:r>
      <w:r>
        <w:rPr>
          <w:rFonts w:hint="eastAsia" w:ascii="仿宋_GB2312"/>
          <w:bCs/>
          <w:kern w:val="2"/>
          <w:szCs w:val="32"/>
        </w:rPr>
        <w:t>区域</w:t>
      </w:r>
      <w:r>
        <w:rPr>
          <w:rFonts w:ascii="仿宋_GB2312"/>
          <w:bCs/>
          <w:kern w:val="2"/>
          <w:szCs w:val="32"/>
        </w:rPr>
        <w:t>联防联控</w:t>
      </w:r>
      <w:r>
        <w:rPr>
          <w:rFonts w:hint="eastAsia" w:ascii="仿宋_GB2312"/>
          <w:bCs/>
          <w:kern w:val="2"/>
          <w:szCs w:val="32"/>
        </w:rPr>
        <w:t>相关工作</w:t>
      </w:r>
      <w:r>
        <w:rPr>
          <w:rFonts w:ascii="仿宋_GB2312"/>
          <w:bCs/>
          <w:kern w:val="2"/>
          <w:szCs w:val="32"/>
        </w:rPr>
        <w:t>。</w:t>
      </w:r>
    </w:p>
    <w:p>
      <w:pPr>
        <w:widowControl w:val="0"/>
        <w:ind w:firstLine="632" w:firstLineChars="200"/>
        <w:jc w:val="both"/>
        <w:rPr>
          <w:rFonts w:ascii="仿宋_GB2312"/>
          <w:bCs/>
          <w:kern w:val="2"/>
          <w:szCs w:val="32"/>
        </w:rPr>
      </w:pPr>
      <w:r>
        <w:rPr>
          <w:rFonts w:hint="eastAsia" w:ascii="仿宋_GB2312"/>
          <w:bCs/>
          <w:kern w:val="2"/>
          <w:szCs w:val="32"/>
        </w:rPr>
        <w:t>市和区人民政府及有关部门接到国务院卫生健康主管部门或者其他地区有关突发公共卫生事件的通报后，应当按照国家和本市有关规定采取相应的应急措施。</w:t>
      </w:r>
    </w:p>
    <w:p>
      <w:pPr>
        <w:widowControl w:val="0"/>
        <w:ind w:firstLine="632" w:firstLineChars="200"/>
        <w:jc w:val="both"/>
        <w:rPr>
          <w:rFonts w:ascii="Calibri" w:hAnsi="Calibri"/>
          <w:bCs/>
          <w:kern w:val="2"/>
          <w:szCs w:val="32"/>
        </w:rPr>
      </w:pPr>
      <w:bookmarkStart w:id="0" w:name="48"/>
      <w:r>
        <w:rPr>
          <w:rFonts w:hint="eastAsia" w:ascii="黑体" w:hAnsi="黑体" w:eastAsia="黑体"/>
          <w:bCs/>
          <w:kern w:val="2"/>
          <w:szCs w:val="32"/>
        </w:rPr>
        <w:t>第二十三条</w:t>
      </w:r>
      <w:bookmarkEnd w:id="0"/>
      <w:r>
        <w:rPr>
          <w:rFonts w:hint="eastAsia" w:ascii="黑体" w:hAnsi="黑体" w:eastAsia="黑体"/>
          <w:bCs/>
          <w:kern w:val="2"/>
          <w:szCs w:val="32"/>
        </w:rPr>
        <w:t>　</w:t>
      </w:r>
      <w:r>
        <w:rPr>
          <w:rFonts w:hint="eastAsia" w:ascii="Calibri" w:hAnsi="Calibri"/>
          <w:bCs/>
          <w:kern w:val="2"/>
          <w:szCs w:val="32"/>
        </w:rPr>
        <w:t>有关部门</w:t>
      </w:r>
      <w:r>
        <w:rPr>
          <w:rFonts w:hint="eastAsia" w:ascii="仿宋_GB2312"/>
          <w:bCs/>
          <w:kern w:val="2"/>
          <w:szCs w:val="32"/>
        </w:rPr>
        <w:t>和</w:t>
      </w:r>
      <w:r>
        <w:rPr>
          <w:rFonts w:hint="eastAsia" w:ascii="Calibri" w:hAnsi="Calibri"/>
          <w:bCs/>
          <w:kern w:val="2"/>
          <w:szCs w:val="32"/>
        </w:rPr>
        <w:t>单位违反本办法规定，有下列情形之一的，对其主要负责人、负有责任的主管人员和其他责任人员依法给予降级或者撤职的处分；造成严重危害后果的，依法给予开除的处分；构成犯罪的，依法追究刑事责任：</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（一）未依照本办法的规定履行报告职责，对突发公共卫生事件隐瞒、缓报、谎报或者授意他人隐瞒、缓报、谎报的</w:t>
      </w:r>
      <w:bookmarkStart w:id="1" w:name="46"/>
      <w:r>
        <w:rPr>
          <w:rFonts w:hint="eastAsia" w:ascii="Calibri" w:hAnsi="Calibri"/>
          <w:bCs/>
          <w:kern w:val="2"/>
          <w:szCs w:val="32"/>
        </w:rPr>
        <w:t>；</w:t>
      </w:r>
    </w:p>
    <w:bookmarkEnd w:id="1"/>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（二）未按照应急处置工作要求完成突发公共卫生事件应急工作所需的物资和生活必需品的生产、供应、运输和储备的</w:t>
      </w:r>
      <w:bookmarkStart w:id="2" w:name="47"/>
      <w:r>
        <w:rPr>
          <w:rFonts w:hint="eastAsia" w:ascii="Calibri" w:hAnsi="Calibri"/>
          <w:bCs/>
          <w:kern w:val="2"/>
          <w:szCs w:val="32"/>
        </w:rPr>
        <w:t>；</w:t>
      </w:r>
    </w:p>
    <w:bookmarkEnd w:id="2"/>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（三）突发公共卫生事件发生后，对上级人民政府有关部门的调查不予配合，或者采取其他方式阻碍、干涉调查的；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（四）在突发公共卫生事件调查、控制、医疗救治工作中玩忽职守、失职、渎职的；</w:t>
      </w:r>
      <w:bookmarkStart w:id="3" w:name="49"/>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（五）其他不履行突发公共卫生事件应急职责的情形。</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第二十四条</w:t>
      </w:r>
      <w:bookmarkEnd w:id="3"/>
      <w:r>
        <w:rPr>
          <w:rFonts w:hint="eastAsia" w:ascii="Calibri" w:hAnsi="Calibri"/>
          <w:bCs/>
          <w:kern w:val="2"/>
          <w:szCs w:val="32"/>
        </w:rPr>
        <w:t>　医疗卫生机构违反本办法规定，有下列情形之一的，由卫生健康主管部门责令改正、通报批评、给予警告；情节严重的，依法吊销《医疗机构执业许可证》；对主要负责人、负有责任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（一）未履行报告职责，隐瞒、缓报或者谎报的；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（二）未及时采取控制措施的；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（三）未履行突发公共卫生事件监测职责的；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（四）推诿、拒绝接诊病人或者擅自转诊病人的；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（五）拒不服从突发公共卫生事件应急指挥的。</w:t>
      </w:r>
      <w:bookmarkStart w:id="4" w:name="51"/>
    </w:p>
    <w:p>
      <w:pPr>
        <w:widowControl w:val="0"/>
        <w:ind w:firstLine="632" w:firstLineChars="200"/>
        <w:jc w:val="both"/>
        <w:rPr>
          <w:rFonts w:ascii="Calibri" w:hAnsi="Calibri"/>
          <w:bCs/>
          <w:kern w:val="2"/>
          <w:szCs w:val="32"/>
        </w:rPr>
      </w:pPr>
      <w:r>
        <w:rPr>
          <w:rFonts w:hint="eastAsia" w:ascii="黑体" w:hAnsi="黑体" w:eastAsia="黑体"/>
          <w:bCs/>
          <w:kern w:val="2"/>
          <w:szCs w:val="32"/>
        </w:rPr>
        <w:t>第二十五条</w:t>
      </w:r>
      <w:bookmarkEnd w:id="4"/>
      <w:r>
        <w:rPr>
          <w:rFonts w:hint="eastAsia" w:ascii="黑体" w:hAnsi="黑体" w:eastAsia="黑体"/>
          <w:bCs/>
          <w:kern w:val="2"/>
          <w:szCs w:val="32"/>
        </w:rPr>
        <w:t>　</w:t>
      </w:r>
      <w:r>
        <w:rPr>
          <w:rFonts w:hint="eastAsia" w:ascii="Calibri" w:hAnsi="Calibri"/>
          <w:bCs/>
          <w:kern w:val="2"/>
          <w:szCs w:val="32"/>
        </w:rPr>
        <w:t>违反本办法规定，有下列情形之一的，对有关人员给予批评教育或者依法给予处分；构成违反治安管理行为的，由公安机关依法给予治安处罚；构成犯罪的，依法追究刑事责任：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（一）在公共场所拒不执行佩戴口罩等个人防护要求的；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（二）拒绝接受突发公共卫生事件卫生检疫、检查、调查、治疗等应急措施的；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（三）在突发公共卫生事件中故意隐瞒真实情况或者提供虚假情况的；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（四）</w:t>
      </w:r>
      <w:bookmarkStart w:id="5" w:name="52"/>
      <w:r>
        <w:rPr>
          <w:rFonts w:hint="eastAsia" w:ascii="Calibri" w:hAnsi="Calibri"/>
          <w:bCs/>
          <w:kern w:val="2"/>
          <w:szCs w:val="32"/>
        </w:rPr>
        <w:t>逃避隔离、封锁、控制等应急措施的；</w:t>
      </w:r>
    </w:p>
    <w:p>
      <w:pPr>
        <w:keepNext w:val="0"/>
        <w:keepLines w:val="0"/>
        <w:pageBreakBefore w:val="0"/>
        <w:widowControl w:val="0"/>
        <w:kinsoku/>
        <w:wordWrap/>
        <w:overflowPunct/>
        <w:topLinePunct w:val="0"/>
        <w:autoSpaceDE/>
        <w:autoSpaceDN/>
        <w:bidi w:val="0"/>
        <w:adjustRightInd/>
        <w:snapToGrid/>
        <w:ind w:firstLine="474" w:firstLineChars="150"/>
        <w:jc w:val="both"/>
        <w:textAlignment w:val="auto"/>
        <w:outlineLvl w:val="9"/>
        <w:rPr>
          <w:rFonts w:ascii="Calibri" w:hAnsi="Calibri"/>
          <w:bCs/>
          <w:kern w:val="2"/>
          <w:szCs w:val="32"/>
        </w:rPr>
      </w:pPr>
      <w:r>
        <w:rPr>
          <w:rFonts w:hint="eastAsia" w:ascii="Calibri" w:hAnsi="Calibri"/>
          <w:bCs/>
          <w:kern w:val="2"/>
          <w:szCs w:val="32"/>
        </w:rPr>
        <w:t>（五）阻碍相关工作人员执行职务的。</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第二十六条</w:t>
      </w:r>
      <w:bookmarkEnd w:id="5"/>
      <w:r>
        <w:rPr>
          <w:rFonts w:hint="eastAsia" w:ascii="黑体" w:hAnsi="黑体" w:eastAsia="黑体"/>
          <w:bCs/>
          <w:kern w:val="2"/>
          <w:szCs w:val="32"/>
        </w:rPr>
        <w:t>　</w:t>
      </w:r>
      <w:r>
        <w:rPr>
          <w:rFonts w:hint="eastAsia" w:ascii="Calibri" w:hAnsi="Calibri"/>
          <w:bCs/>
          <w:kern w:val="2"/>
          <w:szCs w:val="32"/>
        </w:rPr>
        <w:t>在突发公共卫生事件发生期间，造谣传谣、哄抬物价、囤积居奇、制假售假，扰乱社会秩序、市场秩序的，由公安机关或者市场监督管理部门依法给予行政处罚；构成犯罪的，依法追究刑事责任。</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第二十七条</w:t>
      </w:r>
      <w:r>
        <w:rPr>
          <w:rFonts w:hint="eastAsia" w:ascii="Calibri" w:hAnsi="Calibri"/>
          <w:bCs/>
          <w:kern w:val="2"/>
          <w:szCs w:val="32"/>
        </w:rPr>
        <w:t>　</w:t>
      </w:r>
      <w:r>
        <w:rPr>
          <w:rFonts w:ascii="Calibri" w:hAnsi="Calibri"/>
          <w:bCs/>
          <w:kern w:val="2"/>
          <w:szCs w:val="32"/>
        </w:rPr>
        <w:t>违反本</w:t>
      </w:r>
      <w:r>
        <w:rPr>
          <w:rFonts w:hint="eastAsia" w:ascii="Calibri" w:hAnsi="Calibri"/>
          <w:bCs/>
          <w:kern w:val="2"/>
          <w:szCs w:val="32"/>
        </w:rPr>
        <w:t>办法规定</w:t>
      </w:r>
      <w:r>
        <w:rPr>
          <w:rFonts w:ascii="Calibri" w:hAnsi="Calibri"/>
          <w:bCs/>
          <w:kern w:val="2"/>
          <w:szCs w:val="32"/>
        </w:rPr>
        <w:t>受到行政处罚的，由相关部门按照</w:t>
      </w:r>
      <w:r>
        <w:rPr>
          <w:rFonts w:hint="eastAsia" w:ascii="Calibri" w:hAnsi="Calibri"/>
          <w:bCs/>
          <w:kern w:val="2"/>
          <w:szCs w:val="32"/>
        </w:rPr>
        <w:t>国家和本市</w:t>
      </w:r>
      <w:r>
        <w:rPr>
          <w:rFonts w:ascii="Calibri" w:hAnsi="Calibri"/>
          <w:bCs/>
          <w:kern w:val="2"/>
          <w:szCs w:val="32"/>
        </w:rPr>
        <w:t>规定</w:t>
      </w:r>
      <w:r>
        <w:rPr>
          <w:rFonts w:hint="eastAsia" w:ascii="Calibri" w:hAnsi="Calibri"/>
          <w:bCs/>
          <w:kern w:val="2"/>
          <w:szCs w:val="32"/>
        </w:rPr>
        <w:t>，</w:t>
      </w:r>
      <w:r>
        <w:rPr>
          <w:rFonts w:ascii="Calibri" w:hAnsi="Calibri"/>
          <w:bCs/>
          <w:kern w:val="2"/>
          <w:szCs w:val="32"/>
        </w:rPr>
        <w:t>将</w:t>
      </w:r>
      <w:r>
        <w:rPr>
          <w:rFonts w:hint="eastAsia" w:ascii="Calibri" w:hAnsi="Calibri"/>
          <w:bCs/>
          <w:kern w:val="2"/>
          <w:szCs w:val="32"/>
        </w:rPr>
        <w:t>相关</w:t>
      </w:r>
      <w:r>
        <w:rPr>
          <w:rFonts w:ascii="Calibri" w:hAnsi="Calibri"/>
          <w:bCs/>
          <w:kern w:val="2"/>
          <w:szCs w:val="32"/>
        </w:rPr>
        <w:t>信息纳入信用信息共享平台，依法实施联合惩戒。</w:t>
      </w:r>
    </w:p>
    <w:p>
      <w:pPr>
        <w:widowControl w:val="0"/>
        <w:ind w:firstLine="632" w:firstLineChars="200"/>
        <w:jc w:val="both"/>
        <w:rPr>
          <w:rFonts w:ascii="Calibri" w:hAnsi="Calibri"/>
          <w:bCs/>
          <w:kern w:val="2"/>
          <w:szCs w:val="32"/>
        </w:rPr>
      </w:pPr>
      <w:r>
        <w:rPr>
          <w:rFonts w:hint="eastAsia" w:ascii="黑体" w:hAnsi="黑体" w:eastAsia="黑体"/>
          <w:bCs/>
          <w:kern w:val="2"/>
          <w:szCs w:val="32"/>
        </w:rPr>
        <w:t>第二十八条</w:t>
      </w:r>
      <w:r>
        <w:rPr>
          <w:rFonts w:hint="eastAsia" w:ascii="Calibri" w:hAnsi="Calibri"/>
          <w:bCs/>
          <w:kern w:val="2"/>
          <w:szCs w:val="32"/>
        </w:rPr>
        <w:t>　本办法自公布之日起施行。</w:t>
      </w:r>
    </w:p>
    <w:sectPr>
      <w:footerReference r:id="rId3" w:type="default"/>
      <w:pgSz w:w="11906" w:h="16838"/>
      <w:pgMar w:top="2098" w:right="1531" w:bottom="1985" w:left="1531" w:header="851" w:footer="113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文星仿宋">
    <w:altName w:val="仿宋"/>
    <w:panose1 w:val="00000000000000000000"/>
    <w:charset w:val="86"/>
    <w:family w:val="auto"/>
    <w:pitch w:val="default"/>
    <w:sig w:usb0="00000000" w:usb1="00000000" w:usb2="0000001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626607501"/>
    </w:sdtPr>
    <w:sdtEndPr>
      <w:rPr>
        <w:sz w:val="28"/>
        <w:szCs w:val="28"/>
      </w:rPr>
    </w:sdtEndPr>
    <w:sdtContent>
      <w:p>
        <w:pPr>
          <w:pStyle w:val="6"/>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11 -</w:t>
        </w:r>
        <w:r>
          <w:rPr>
            <w:sz w:val="28"/>
            <w:szCs w:val="28"/>
            <w:lang w:val="zh-CN"/>
          </w:rP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64"/>
    <w:rsid w:val="0000394D"/>
    <w:rsid w:val="0000591C"/>
    <w:rsid w:val="00005E6A"/>
    <w:rsid w:val="000103EF"/>
    <w:rsid w:val="00010E16"/>
    <w:rsid w:val="00011668"/>
    <w:rsid w:val="000118D1"/>
    <w:rsid w:val="000128E0"/>
    <w:rsid w:val="00013812"/>
    <w:rsid w:val="000153BB"/>
    <w:rsid w:val="00020EA2"/>
    <w:rsid w:val="000219AF"/>
    <w:rsid w:val="000228E3"/>
    <w:rsid w:val="000229E2"/>
    <w:rsid w:val="00023738"/>
    <w:rsid w:val="00027868"/>
    <w:rsid w:val="00027CDF"/>
    <w:rsid w:val="0003275C"/>
    <w:rsid w:val="00035778"/>
    <w:rsid w:val="0003664A"/>
    <w:rsid w:val="00041075"/>
    <w:rsid w:val="00041D3E"/>
    <w:rsid w:val="00042207"/>
    <w:rsid w:val="000429E5"/>
    <w:rsid w:val="00043F8A"/>
    <w:rsid w:val="0004509D"/>
    <w:rsid w:val="00050BF0"/>
    <w:rsid w:val="00050E48"/>
    <w:rsid w:val="00050FE6"/>
    <w:rsid w:val="00055ABB"/>
    <w:rsid w:val="000601A2"/>
    <w:rsid w:val="0006228D"/>
    <w:rsid w:val="00062B20"/>
    <w:rsid w:val="000631D5"/>
    <w:rsid w:val="000647C8"/>
    <w:rsid w:val="00064D2A"/>
    <w:rsid w:val="00065F05"/>
    <w:rsid w:val="00066D7C"/>
    <w:rsid w:val="00072F35"/>
    <w:rsid w:val="000735A2"/>
    <w:rsid w:val="0007497A"/>
    <w:rsid w:val="000758C5"/>
    <w:rsid w:val="0007751C"/>
    <w:rsid w:val="000778C1"/>
    <w:rsid w:val="0008030E"/>
    <w:rsid w:val="0008169B"/>
    <w:rsid w:val="00082CAE"/>
    <w:rsid w:val="0009181E"/>
    <w:rsid w:val="0009713D"/>
    <w:rsid w:val="000A06F3"/>
    <w:rsid w:val="000A307D"/>
    <w:rsid w:val="000A3145"/>
    <w:rsid w:val="000A37A8"/>
    <w:rsid w:val="000A3FF9"/>
    <w:rsid w:val="000A6720"/>
    <w:rsid w:val="000A7687"/>
    <w:rsid w:val="000A7818"/>
    <w:rsid w:val="000B04E6"/>
    <w:rsid w:val="000B1971"/>
    <w:rsid w:val="000B2657"/>
    <w:rsid w:val="000B3089"/>
    <w:rsid w:val="000B35B5"/>
    <w:rsid w:val="000B3EF9"/>
    <w:rsid w:val="000B4127"/>
    <w:rsid w:val="000B572C"/>
    <w:rsid w:val="000C2003"/>
    <w:rsid w:val="000C468A"/>
    <w:rsid w:val="000C5344"/>
    <w:rsid w:val="000C5A14"/>
    <w:rsid w:val="000C6766"/>
    <w:rsid w:val="000C729C"/>
    <w:rsid w:val="000C7BE1"/>
    <w:rsid w:val="000D04E7"/>
    <w:rsid w:val="000D5203"/>
    <w:rsid w:val="000D7FAD"/>
    <w:rsid w:val="000E13D5"/>
    <w:rsid w:val="000E36D7"/>
    <w:rsid w:val="000E4CEF"/>
    <w:rsid w:val="000E5736"/>
    <w:rsid w:val="000E5DED"/>
    <w:rsid w:val="000E68FE"/>
    <w:rsid w:val="000F32D5"/>
    <w:rsid w:val="000F39D5"/>
    <w:rsid w:val="000F3A50"/>
    <w:rsid w:val="0010118A"/>
    <w:rsid w:val="00102468"/>
    <w:rsid w:val="00102AB4"/>
    <w:rsid w:val="001037B8"/>
    <w:rsid w:val="001046FE"/>
    <w:rsid w:val="00104A81"/>
    <w:rsid w:val="00104F21"/>
    <w:rsid w:val="00104FA0"/>
    <w:rsid w:val="00105552"/>
    <w:rsid w:val="00105FB0"/>
    <w:rsid w:val="0010638E"/>
    <w:rsid w:val="001063B4"/>
    <w:rsid w:val="001113A3"/>
    <w:rsid w:val="001130DC"/>
    <w:rsid w:val="001214C8"/>
    <w:rsid w:val="001217AF"/>
    <w:rsid w:val="001217F2"/>
    <w:rsid w:val="001220A3"/>
    <w:rsid w:val="001239CA"/>
    <w:rsid w:val="001253CB"/>
    <w:rsid w:val="00125BC2"/>
    <w:rsid w:val="00130D76"/>
    <w:rsid w:val="00131E1B"/>
    <w:rsid w:val="0013295B"/>
    <w:rsid w:val="00132B4C"/>
    <w:rsid w:val="00133367"/>
    <w:rsid w:val="00133780"/>
    <w:rsid w:val="001361C9"/>
    <w:rsid w:val="00140B3E"/>
    <w:rsid w:val="00142A3C"/>
    <w:rsid w:val="00142B68"/>
    <w:rsid w:val="001460E7"/>
    <w:rsid w:val="00147B00"/>
    <w:rsid w:val="00147FC9"/>
    <w:rsid w:val="00150BF7"/>
    <w:rsid w:val="0015332B"/>
    <w:rsid w:val="00153704"/>
    <w:rsid w:val="0015424E"/>
    <w:rsid w:val="001564FF"/>
    <w:rsid w:val="00165521"/>
    <w:rsid w:val="001668EE"/>
    <w:rsid w:val="001674D7"/>
    <w:rsid w:val="00170F23"/>
    <w:rsid w:val="001801C0"/>
    <w:rsid w:val="001803CE"/>
    <w:rsid w:val="001826F5"/>
    <w:rsid w:val="00182E41"/>
    <w:rsid w:val="00183584"/>
    <w:rsid w:val="001863A9"/>
    <w:rsid w:val="001864D9"/>
    <w:rsid w:val="00186FFA"/>
    <w:rsid w:val="001870B2"/>
    <w:rsid w:val="001919B7"/>
    <w:rsid w:val="00192B87"/>
    <w:rsid w:val="00196ECB"/>
    <w:rsid w:val="0019746D"/>
    <w:rsid w:val="001A0401"/>
    <w:rsid w:val="001A2514"/>
    <w:rsid w:val="001A3B3A"/>
    <w:rsid w:val="001A3DC6"/>
    <w:rsid w:val="001A3F53"/>
    <w:rsid w:val="001A43CB"/>
    <w:rsid w:val="001A5595"/>
    <w:rsid w:val="001A5ADF"/>
    <w:rsid w:val="001A5CE9"/>
    <w:rsid w:val="001A74C5"/>
    <w:rsid w:val="001A7DC6"/>
    <w:rsid w:val="001B0F85"/>
    <w:rsid w:val="001B17B1"/>
    <w:rsid w:val="001B20E9"/>
    <w:rsid w:val="001B2421"/>
    <w:rsid w:val="001B4A02"/>
    <w:rsid w:val="001B5507"/>
    <w:rsid w:val="001B7C6B"/>
    <w:rsid w:val="001C03E0"/>
    <w:rsid w:val="001C51FD"/>
    <w:rsid w:val="001C6A9C"/>
    <w:rsid w:val="001D29DE"/>
    <w:rsid w:val="001D3F50"/>
    <w:rsid w:val="001D45BD"/>
    <w:rsid w:val="001D4CAF"/>
    <w:rsid w:val="001D5CD3"/>
    <w:rsid w:val="001D6192"/>
    <w:rsid w:val="001E386F"/>
    <w:rsid w:val="001E39AE"/>
    <w:rsid w:val="001E47F4"/>
    <w:rsid w:val="001E5DBB"/>
    <w:rsid w:val="001E62B7"/>
    <w:rsid w:val="001E66A6"/>
    <w:rsid w:val="001F2514"/>
    <w:rsid w:val="001F3D1F"/>
    <w:rsid w:val="001F3FBF"/>
    <w:rsid w:val="001F69E5"/>
    <w:rsid w:val="001F6C83"/>
    <w:rsid w:val="0020403C"/>
    <w:rsid w:val="002041BF"/>
    <w:rsid w:val="002055F8"/>
    <w:rsid w:val="002063D2"/>
    <w:rsid w:val="00206FC0"/>
    <w:rsid w:val="0020780A"/>
    <w:rsid w:val="00211082"/>
    <w:rsid w:val="00211DFE"/>
    <w:rsid w:val="0021233B"/>
    <w:rsid w:val="0021298F"/>
    <w:rsid w:val="002133BE"/>
    <w:rsid w:val="0021417C"/>
    <w:rsid w:val="00220AD1"/>
    <w:rsid w:val="00223CB2"/>
    <w:rsid w:val="002268E4"/>
    <w:rsid w:val="00227084"/>
    <w:rsid w:val="002270D3"/>
    <w:rsid w:val="00227A66"/>
    <w:rsid w:val="002325AF"/>
    <w:rsid w:val="002327B4"/>
    <w:rsid w:val="00232D07"/>
    <w:rsid w:val="00235B67"/>
    <w:rsid w:val="00236001"/>
    <w:rsid w:val="00240A10"/>
    <w:rsid w:val="00242D5B"/>
    <w:rsid w:val="002457F0"/>
    <w:rsid w:val="00247DEF"/>
    <w:rsid w:val="00250330"/>
    <w:rsid w:val="00252AB9"/>
    <w:rsid w:val="00253A6E"/>
    <w:rsid w:val="00253FAA"/>
    <w:rsid w:val="00254A63"/>
    <w:rsid w:val="0025614B"/>
    <w:rsid w:val="0026394B"/>
    <w:rsid w:val="00263B72"/>
    <w:rsid w:val="0026484B"/>
    <w:rsid w:val="002652B9"/>
    <w:rsid w:val="0026555B"/>
    <w:rsid w:val="0026628F"/>
    <w:rsid w:val="00266CF9"/>
    <w:rsid w:val="00267454"/>
    <w:rsid w:val="002754D9"/>
    <w:rsid w:val="00276DE2"/>
    <w:rsid w:val="0028005E"/>
    <w:rsid w:val="00280294"/>
    <w:rsid w:val="0028036E"/>
    <w:rsid w:val="002803F1"/>
    <w:rsid w:val="002813F1"/>
    <w:rsid w:val="00282EAE"/>
    <w:rsid w:val="002864E0"/>
    <w:rsid w:val="00286C86"/>
    <w:rsid w:val="00286DD6"/>
    <w:rsid w:val="00290205"/>
    <w:rsid w:val="00290932"/>
    <w:rsid w:val="00291E0B"/>
    <w:rsid w:val="00293A97"/>
    <w:rsid w:val="00294DDA"/>
    <w:rsid w:val="00297831"/>
    <w:rsid w:val="002A149C"/>
    <w:rsid w:val="002A2535"/>
    <w:rsid w:val="002A2E84"/>
    <w:rsid w:val="002A314B"/>
    <w:rsid w:val="002A5971"/>
    <w:rsid w:val="002A5AAB"/>
    <w:rsid w:val="002A5DE3"/>
    <w:rsid w:val="002B02D9"/>
    <w:rsid w:val="002B3CB6"/>
    <w:rsid w:val="002B6286"/>
    <w:rsid w:val="002B7349"/>
    <w:rsid w:val="002C176D"/>
    <w:rsid w:val="002C1B4A"/>
    <w:rsid w:val="002C24E2"/>
    <w:rsid w:val="002C445C"/>
    <w:rsid w:val="002C46EE"/>
    <w:rsid w:val="002C7FE0"/>
    <w:rsid w:val="002D1D01"/>
    <w:rsid w:val="002D24E9"/>
    <w:rsid w:val="002D413F"/>
    <w:rsid w:val="002D46AE"/>
    <w:rsid w:val="002D488C"/>
    <w:rsid w:val="002D4E6D"/>
    <w:rsid w:val="002D67A1"/>
    <w:rsid w:val="002E1422"/>
    <w:rsid w:val="002E1B52"/>
    <w:rsid w:val="002E2BC6"/>
    <w:rsid w:val="002E2F40"/>
    <w:rsid w:val="002E39D9"/>
    <w:rsid w:val="002E39F8"/>
    <w:rsid w:val="002E49D5"/>
    <w:rsid w:val="002E54C8"/>
    <w:rsid w:val="002F0734"/>
    <w:rsid w:val="002F4825"/>
    <w:rsid w:val="002F54DD"/>
    <w:rsid w:val="002F55EE"/>
    <w:rsid w:val="002F5B93"/>
    <w:rsid w:val="002F636A"/>
    <w:rsid w:val="002F6CC6"/>
    <w:rsid w:val="00302122"/>
    <w:rsid w:val="0030629C"/>
    <w:rsid w:val="003074F5"/>
    <w:rsid w:val="00307ABB"/>
    <w:rsid w:val="00311121"/>
    <w:rsid w:val="00311F3C"/>
    <w:rsid w:val="003141E5"/>
    <w:rsid w:val="0031658F"/>
    <w:rsid w:val="00316D0A"/>
    <w:rsid w:val="00321960"/>
    <w:rsid w:val="003250C9"/>
    <w:rsid w:val="00325A3C"/>
    <w:rsid w:val="00326F73"/>
    <w:rsid w:val="00332FAC"/>
    <w:rsid w:val="00333169"/>
    <w:rsid w:val="00333A24"/>
    <w:rsid w:val="00334161"/>
    <w:rsid w:val="00334DC3"/>
    <w:rsid w:val="003428D5"/>
    <w:rsid w:val="00344213"/>
    <w:rsid w:val="00345D26"/>
    <w:rsid w:val="0034756B"/>
    <w:rsid w:val="00347CAC"/>
    <w:rsid w:val="0035281B"/>
    <w:rsid w:val="003530A9"/>
    <w:rsid w:val="003549DF"/>
    <w:rsid w:val="00362637"/>
    <w:rsid w:val="00362F63"/>
    <w:rsid w:val="0036368C"/>
    <w:rsid w:val="0036384C"/>
    <w:rsid w:val="003678D2"/>
    <w:rsid w:val="00370FE5"/>
    <w:rsid w:val="00371DCF"/>
    <w:rsid w:val="00372EDC"/>
    <w:rsid w:val="00373215"/>
    <w:rsid w:val="00373368"/>
    <w:rsid w:val="003754DE"/>
    <w:rsid w:val="0037563C"/>
    <w:rsid w:val="00377076"/>
    <w:rsid w:val="00377D68"/>
    <w:rsid w:val="00382D3A"/>
    <w:rsid w:val="003836F8"/>
    <w:rsid w:val="00383A26"/>
    <w:rsid w:val="00384123"/>
    <w:rsid w:val="0038572C"/>
    <w:rsid w:val="00390B06"/>
    <w:rsid w:val="00391CF6"/>
    <w:rsid w:val="00391DD0"/>
    <w:rsid w:val="003938DA"/>
    <w:rsid w:val="00393931"/>
    <w:rsid w:val="00394C6E"/>
    <w:rsid w:val="00395478"/>
    <w:rsid w:val="003956D7"/>
    <w:rsid w:val="00396432"/>
    <w:rsid w:val="0039777C"/>
    <w:rsid w:val="003A3C50"/>
    <w:rsid w:val="003A541F"/>
    <w:rsid w:val="003A5430"/>
    <w:rsid w:val="003A5455"/>
    <w:rsid w:val="003A5DD9"/>
    <w:rsid w:val="003B0ABB"/>
    <w:rsid w:val="003B19B6"/>
    <w:rsid w:val="003B42BF"/>
    <w:rsid w:val="003B447E"/>
    <w:rsid w:val="003B476D"/>
    <w:rsid w:val="003B6003"/>
    <w:rsid w:val="003B63E2"/>
    <w:rsid w:val="003C0BC6"/>
    <w:rsid w:val="003C0DE1"/>
    <w:rsid w:val="003C1771"/>
    <w:rsid w:val="003C2891"/>
    <w:rsid w:val="003C46B1"/>
    <w:rsid w:val="003C5F48"/>
    <w:rsid w:val="003C6B90"/>
    <w:rsid w:val="003D0711"/>
    <w:rsid w:val="003D07B2"/>
    <w:rsid w:val="003D07E4"/>
    <w:rsid w:val="003D11EC"/>
    <w:rsid w:val="003D162D"/>
    <w:rsid w:val="003D2B1F"/>
    <w:rsid w:val="003D78EB"/>
    <w:rsid w:val="003D7C61"/>
    <w:rsid w:val="003E0A42"/>
    <w:rsid w:val="003E1CBC"/>
    <w:rsid w:val="003E22A3"/>
    <w:rsid w:val="003E2DD7"/>
    <w:rsid w:val="003E41D1"/>
    <w:rsid w:val="003E4301"/>
    <w:rsid w:val="003E5B82"/>
    <w:rsid w:val="003E654B"/>
    <w:rsid w:val="003E6EF5"/>
    <w:rsid w:val="003F12D8"/>
    <w:rsid w:val="003F3AFF"/>
    <w:rsid w:val="003F57E0"/>
    <w:rsid w:val="003F6296"/>
    <w:rsid w:val="003F62FF"/>
    <w:rsid w:val="003F6ED9"/>
    <w:rsid w:val="003F78DD"/>
    <w:rsid w:val="003F7BDF"/>
    <w:rsid w:val="004002B5"/>
    <w:rsid w:val="004010FE"/>
    <w:rsid w:val="0040117B"/>
    <w:rsid w:val="0040252B"/>
    <w:rsid w:val="00402701"/>
    <w:rsid w:val="00402AE6"/>
    <w:rsid w:val="00402CBE"/>
    <w:rsid w:val="00404262"/>
    <w:rsid w:val="004051FA"/>
    <w:rsid w:val="00405965"/>
    <w:rsid w:val="00406355"/>
    <w:rsid w:val="00411D36"/>
    <w:rsid w:val="00414352"/>
    <w:rsid w:val="004172C5"/>
    <w:rsid w:val="00420988"/>
    <w:rsid w:val="00422767"/>
    <w:rsid w:val="00424E01"/>
    <w:rsid w:val="00425A3F"/>
    <w:rsid w:val="0042724B"/>
    <w:rsid w:val="00427DE9"/>
    <w:rsid w:val="00432231"/>
    <w:rsid w:val="00434952"/>
    <w:rsid w:val="00435758"/>
    <w:rsid w:val="00436841"/>
    <w:rsid w:val="00437EB2"/>
    <w:rsid w:val="00440D99"/>
    <w:rsid w:val="0045182B"/>
    <w:rsid w:val="00452411"/>
    <w:rsid w:val="004532C0"/>
    <w:rsid w:val="00453D67"/>
    <w:rsid w:val="00461703"/>
    <w:rsid w:val="00462221"/>
    <w:rsid w:val="00463BDC"/>
    <w:rsid w:val="00463C2D"/>
    <w:rsid w:val="00474270"/>
    <w:rsid w:val="00475F76"/>
    <w:rsid w:val="004801B8"/>
    <w:rsid w:val="00480316"/>
    <w:rsid w:val="004865C2"/>
    <w:rsid w:val="00486A97"/>
    <w:rsid w:val="00486B43"/>
    <w:rsid w:val="00490BB2"/>
    <w:rsid w:val="00491C55"/>
    <w:rsid w:val="00492867"/>
    <w:rsid w:val="00493E5F"/>
    <w:rsid w:val="00494972"/>
    <w:rsid w:val="00496311"/>
    <w:rsid w:val="004965D3"/>
    <w:rsid w:val="004A03D4"/>
    <w:rsid w:val="004A0FA8"/>
    <w:rsid w:val="004A21F0"/>
    <w:rsid w:val="004A2496"/>
    <w:rsid w:val="004A56C0"/>
    <w:rsid w:val="004A580E"/>
    <w:rsid w:val="004A645B"/>
    <w:rsid w:val="004B04BB"/>
    <w:rsid w:val="004B1C05"/>
    <w:rsid w:val="004B43E8"/>
    <w:rsid w:val="004B54A0"/>
    <w:rsid w:val="004B6805"/>
    <w:rsid w:val="004B7E1B"/>
    <w:rsid w:val="004C2B19"/>
    <w:rsid w:val="004C49FA"/>
    <w:rsid w:val="004C4C4A"/>
    <w:rsid w:val="004C5418"/>
    <w:rsid w:val="004C7FDC"/>
    <w:rsid w:val="004D4BA6"/>
    <w:rsid w:val="004D561D"/>
    <w:rsid w:val="004D56FC"/>
    <w:rsid w:val="004D5CD0"/>
    <w:rsid w:val="004D5F7A"/>
    <w:rsid w:val="004D6067"/>
    <w:rsid w:val="004D609A"/>
    <w:rsid w:val="004D6AAE"/>
    <w:rsid w:val="004E2CCB"/>
    <w:rsid w:val="004E531C"/>
    <w:rsid w:val="004E6CDB"/>
    <w:rsid w:val="004F031D"/>
    <w:rsid w:val="004F0581"/>
    <w:rsid w:val="004F19D0"/>
    <w:rsid w:val="004F3ED1"/>
    <w:rsid w:val="004F609C"/>
    <w:rsid w:val="00500C5D"/>
    <w:rsid w:val="005032FD"/>
    <w:rsid w:val="00503775"/>
    <w:rsid w:val="00504F62"/>
    <w:rsid w:val="00510351"/>
    <w:rsid w:val="00511749"/>
    <w:rsid w:val="00512C69"/>
    <w:rsid w:val="00513928"/>
    <w:rsid w:val="00515662"/>
    <w:rsid w:val="00517473"/>
    <w:rsid w:val="00517C19"/>
    <w:rsid w:val="0052195A"/>
    <w:rsid w:val="005239E3"/>
    <w:rsid w:val="00526D2F"/>
    <w:rsid w:val="00527841"/>
    <w:rsid w:val="00530D12"/>
    <w:rsid w:val="00530F5D"/>
    <w:rsid w:val="005324DD"/>
    <w:rsid w:val="00535BFB"/>
    <w:rsid w:val="00541D71"/>
    <w:rsid w:val="0054516C"/>
    <w:rsid w:val="005476D1"/>
    <w:rsid w:val="0055067A"/>
    <w:rsid w:val="0055373F"/>
    <w:rsid w:val="005553BA"/>
    <w:rsid w:val="00563148"/>
    <w:rsid w:val="0056469A"/>
    <w:rsid w:val="00565EB2"/>
    <w:rsid w:val="0056784E"/>
    <w:rsid w:val="005704E9"/>
    <w:rsid w:val="0057224B"/>
    <w:rsid w:val="0057292E"/>
    <w:rsid w:val="00572D3E"/>
    <w:rsid w:val="00573DDD"/>
    <w:rsid w:val="0058180D"/>
    <w:rsid w:val="005835BE"/>
    <w:rsid w:val="00583CFB"/>
    <w:rsid w:val="00585766"/>
    <w:rsid w:val="00586028"/>
    <w:rsid w:val="005879EA"/>
    <w:rsid w:val="00591045"/>
    <w:rsid w:val="005944E3"/>
    <w:rsid w:val="00594F1D"/>
    <w:rsid w:val="00595265"/>
    <w:rsid w:val="005A0648"/>
    <w:rsid w:val="005A0F30"/>
    <w:rsid w:val="005A2188"/>
    <w:rsid w:val="005A28A9"/>
    <w:rsid w:val="005A3210"/>
    <w:rsid w:val="005A3581"/>
    <w:rsid w:val="005A479A"/>
    <w:rsid w:val="005A61A7"/>
    <w:rsid w:val="005B08B8"/>
    <w:rsid w:val="005B1184"/>
    <w:rsid w:val="005B1A1A"/>
    <w:rsid w:val="005B2B8A"/>
    <w:rsid w:val="005B51BF"/>
    <w:rsid w:val="005B6549"/>
    <w:rsid w:val="005B710F"/>
    <w:rsid w:val="005C1F7C"/>
    <w:rsid w:val="005C27A3"/>
    <w:rsid w:val="005C3697"/>
    <w:rsid w:val="005C46A7"/>
    <w:rsid w:val="005C49A0"/>
    <w:rsid w:val="005C49DA"/>
    <w:rsid w:val="005C5392"/>
    <w:rsid w:val="005C578F"/>
    <w:rsid w:val="005C63FB"/>
    <w:rsid w:val="005C6F0A"/>
    <w:rsid w:val="005C7EA7"/>
    <w:rsid w:val="005D233C"/>
    <w:rsid w:val="005D3DA4"/>
    <w:rsid w:val="005D40C2"/>
    <w:rsid w:val="005D5AC7"/>
    <w:rsid w:val="005D5AEB"/>
    <w:rsid w:val="005E1D21"/>
    <w:rsid w:val="005E3645"/>
    <w:rsid w:val="005E586F"/>
    <w:rsid w:val="005E6BDC"/>
    <w:rsid w:val="005E72E7"/>
    <w:rsid w:val="005E73EE"/>
    <w:rsid w:val="005E766A"/>
    <w:rsid w:val="005F16A0"/>
    <w:rsid w:val="005F33A8"/>
    <w:rsid w:val="005F33AD"/>
    <w:rsid w:val="005F614E"/>
    <w:rsid w:val="0060127F"/>
    <w:rsid w:val="0060437D"/>
    <w:rsid w:val="00604B82"/>
    <w:rsid w:val="006137CC"/>
    <w:rsid w:val="00613A37"/>
    <w:rsid w:val="00615507"/>
    <w:rsid w:val="00615D5F"/>
    <w:rsid w:val="00616868"/>
    <w:rsid w:val="00617BF0"/>
    <w:rsid w:val="00620154"/>
    <w:rsid w:val="00621221"/>
    <w:rsid w:val="0062237F"/>
    <w:rsid w:val="00622A8A"/>
    <w:rsid w:val="006249A3"/>
    <w:rsid w:val="00630D6B"/>
    <w:rsid w:val="0063462E"/>
    <w:rsid w:val="006400A1"/>
    <w:rsid w:val="00640A3E"/>
    <w:rsid w:val="006440C2"/>
    <w:rsid w:val="00646965"/>
    <w:rsid w:val="00647B3C"/>
    <w:rsid w:val="00651906"/>
    <w:rsid w:val="0065233D"/>
    <w:rsid w:val="006534AC"/>
    <w:rsid w:val="006555C7"/>
    <w:rsid w:val="006576B6"/>
    <w:rsid w:val="0066253B"/>
    <w:rsid w:val="00663854"/>
    <w:rsid w:val="0066514B"/>
    <w:rsid w:val="00666663"/>
    <w:rsid w:val="006676DD"/>
    <w:rsid w:val="00667E2E"/>
    <w:rsid w:val="006708AD"/>
    <w:rsid w:val="00671121"/>
    <w:rsid w:val="006712C1"/>
    <w:rsid w:val="006717D3"/>
    <w:rsid w:val="00671C06"/>
    <w:rsid w:val="0067303A"/>
    <w:rsid w:val="0067512B"/>
    <w:rsid w:val="006760E9"/>
    <w:rsid w:val="0067760F"/>
    <w:rsid w:val="006824DF"/>
    <w:rsid w:val="006867DF"/>
    <w:rsid w:val="00687D00"/>
    <w:rsid w:val="00692D45"/>
    <w:rsid w:val="00692E10"/>
    <w:rsid w:val="00692F4C"/>
    <w:rsid w:val="006932F5"/>
    <w:rsid w:val="0069443F"/>
    <w:rsid w:val="006959B5"/>
    <w:rsid w:val="00695D10"/>
    <w:rsid w:val="00696579"/>
    <w:rsid w:val="00697381"/>
    <w:rsid w:val="00697766"/>
    <w:rsid w:val="006A3BBC"/>
    <w:rsid w:val="006B0592"/>
    <w:rsid w:val="006B3603"/>
    <w:rsid w:val="006B47BF"/>
    <w:rsid w:val="006B4AF3"/>
    <w:rsid w:val="006B5B2F"/>
    <w:rsid w:val="006B6132"/>
    <w:rsid w:val="006C11AE"/>
    <w:rsid w:val="006C3587"/>
    <w:rsid w:val="006C3969"/>
    <w:rsid w:val="006C3A7D"/>
    <w:rsid w:val="006C5B99"/>
    <w:rsid w:val="006C6475"/>
    <w:rsid w:val="006D0597"/>
    <w:rsid w:val="006D27B0"/>
    <w:rsid w:val="006D321A"/>
    <w:rsid w:val="006D4015"/>
    <w:rsid w:val="006D4EFA"/>
    <w:rsid w:val="006E14C9"/>
    <w:rsid w:val="006E3712"/>
    <w:rsid w:val="006E6628"/>
    <w:rsid w:val="006F1858"/>
    <w:rsid w:val="00704B89"/>
    <w:rsid w:val="00704E2C"/>
    <w:rsid w:val="00705D65"/>
    <w:rsid w:val="00707238"/>
    <w:rsid w:val="00711770"/>
    <w:rsid w:val="00712519"/>
    <w:rsid w:val="0071349A"/>
    <w:rsid w:val="00713518"/>
    <w:rsid w:val="00715752"/>
    <w:rsid w:val="00715AC3"/>
    <w:rsid w:val="007161CA"/>
    <w:rsid w:val="00717396"/>
    <w:rsid w:val="00717A55"/>
    <w:rsid w:val="00720049"/>
    <w:rsid w:val="007200DB"/>
    <w:rsid w:val="00721CD1"/>
    <w:rsid w:val="00722524"/>
    <w:rsid w:val="007229A9"/>
    <w:rsid w:val="007246DE"/>
    <w:rsid w:val="00724834"/>
    <w:rsid w:val="007259DB"/>
    <w:rsid w:val="00725DE9"/>
    <w:rsid w:val="00726AAD"/>
    <w:rsid w:val="00727EF6"/>
    <w:rsid w:val="00730751"/>
    <w:rsid w:val="00730939"/>
    <w:rsid w:val="00730B8C"/>
    <w:rsid w:val="0073327C"/>
    <w:rsid w:val="00733393"/>
    <w:rsid w:val="00736C56"/>
    <w:rsid w:val="007405FE"/>
    <w:rsid w:val="00740EB7"/>
    <w:rsid w:val="00740F5A"/>
    <w:rsid w:val="0074146E"/>
    <w:rsid w:val="00742D8A"/>
    <w:rsid w:val="00746D3E"/>
    <w:rsid w:val="00751347"/>
    <w:rsid w:val="00756811"/>
    <w:rsid w:val="00760BA4"/>
    <w:rsid w:val="0076145A"/>
    <w:rsid w:val="00763219"/>
    <w:rsid w:val="007649D7"/>
    <w:rsid w:val="007660FB"/>
    <w:rsid w:val="00766E5F"/>
    <w:rsid w:val="00770BFF"/>
    <w:rsid w:val="00770CD1"/>
    <w:rsid w:val="00776DD0"/>
    <w:rsid w:val="00777474"/>
    <w:rsid w:val="00782FD2"/>
    <w:rsid w:val="00783521"/>
    <w:rsid w:val="00783D10"/>
    <w:rsid w:val="0078512D"/>
    <w:rsid w:val="00785915"/>
    <w:rsid w:val="0078591B"/>
    <w:rsid w:val="0078661D"/>
    <w:rsid w:val="0078687A"/>
    <w:rsid w:val="007877E2"/>
    <w:rsid w:val="007907EB"/>
    <w:rsid w:val="00791BCB"/>
    <w:rsid w:val="007922E9"/>
    <w:rsid w:val="00792899"/>
    <w:rsid w:val="00794836"/>
    <w:rsid w:val="00794DA3"/>
    <w:rsid w:val="007A1374"/>
    <w:rsid w:val="007A5B56"/>
    <w:rsid w:val="007A5FA0"/>
    <w:rsid w:val="007A607B"/>
    <w:rsid w:val="007A7D0E"/>
    <w:rsid w:val="007B1D11"/>
    <w:rsid w:val="007B36C3"/>
    <w:rsid w:val="007B5965"/>
    <w:rsid w:val="007B5EB5"/>
    <w:rsid w:val="007B69F3"/>
    <w:rsid w:val="007C0951"/>
    <w:rsid w:val="007C2148"/>
    <w:rsid w:val="007C28DB"/>
    <w:rsid w:val="007C4133"/>
    <w:rsid w:val="007C50F4"/>
    <w:rsid w:val="007C599D"/>
    <w:rsid w:val="007D3997"/>
    <w:rsid w:val="007D3AD7"/>
    <w:rsid w:val="007D60A6"/>
    <w:rsid w:val="007D6C43"/>
    <w:rsid w:val="007D7772"/>
    <w:rsid w:val="007E1579"/>
    <w:rsid w:val="007E4927"/>
    <w:rsid w:val="007F0547"/>
    <w:rsid w:val="007F25D4"/>
    <w:rsid w:val="007F4C88"/>
    <w:rsid w:val="007F767F"/>
    <w:rsid w:val="0080030F"/>
    <w:rsid w:val="00802428"/>
    <w:rsid w:val="008032AB"/>
    <w:rsid w:val="008043D7"/>
    <w:rsid w:val="00805236"/>
    <w:rsid w:val="008052B1"/>
    <w:rsid w:val="0080562C"/>
    <w:rsid w:val="008062AA"/>
    <w:rsid w:val="008070BF"/>
    <w:rsid w:val="00810460"/>
    <w:rsid w:val="00810534"/>
    <w:rsid w:val="008121C6"/>
    <w:rsid w:val="008131BB"/>
    <w:rsid w:val="00814A7B"/>
    <w:rsid w:val="008161D5"/>
    <w:rsid w:val="008169DB"/>
    <w:rsid w:val="00816DAF"/>
    <w:rsid w:val="00821ADD"/>
    <w:rsid w:val="00822B1B"/>
    <w:rsid w:val="008254C8"/>
    <w:rsid w:val="008273D3"/>
    <w:rsid w:val="00830CFE"/>
    <w:rsid w:val="008315CC"/>
    <w:rsid w:val="00833B57"/>
    <w:rsid w:val="0083542E"/>
    <w:rsid w:val="00836304"/>
    <w:rsid w:val="008367DA"/>
    <w:rsid w:val="00836F36"/>
    <w:rsid w:val="00837151"/>
    <w:rsid w:val="00843023"/>
    <w:rsid w:val="00844A13"/>
    <w:rsid w:val="00845D7F"/>
    <w:rsid w:val="00853419"/>
    <w:rsid w:val="008623D8"/>
    <w:rsid w:val="00875753"/>
    <w:rsid w:val="00876030"/>
    <w:rsid w:val="0087672F"/>
    <w:rsid w:val="00877CFC"/>
    <w:rsid w:val="00881A47"/>
    <w:rsid w:val="00881ED8"/>
    <w:rsid w:val="008829EF"/>
    <w:rsid w:val="00884738"/>
    <w:rsid w:val="00885965"/>
    <w:rsid w:val="00885BAF"/>
    <w:rsid w:val="008871A7"/>
    <w:rsid w:val="0089000A"/>
    <w:rsid w:val="008915BD"/>
    <w:rsid w:val="00892B55"/>
    <w:rsid w:val="00892D96"/>
    <w:rsid w:val="00893BBA"/>
    <w:rsid w:val="00893BD1"/>
    <w:rsid w:val="00894292"/>
    <w:rsid w:val="0089526E"/>
    <w:rsid w:val="008A1FE4"/>
    <w:rsid w:val="008A24FC"/>
    <w:rsid w:val="008A2862"/>
    <w:rsid w:val="008A2D69"/>
    <w:rsid w:val="008A5230"/>
    <w:rsid w:val="008B0B5F"/>
    <w:rsid w:val="008B0E2A"/>
    <w:rsid w:val="008B0E7D"/>
    <w:rsid w:val="008B2399"/>
    <w:rsid w:val="008B4826"/>
    <w:rsid w:val="008B5619"/>
    <w:rsid w:val="008B740E"/>
    <w:rsid w:val="008C18FE"/>
    <w:rsid w:val="008C29B9"/>
    <w:rsid w:val="008C2D65"/>
    <w:rsid w:val="008C4308"/>
    <w:rsid w:val="008C4334"/>
    <w:rsid w:val="008C4501"/>
    <w:rsid w:val="008C45F4"/>
    <w:rsid w:val="008C5C7B"/>
    <w:rsid w:val="008C61D2"/>
    <w:rsid w:val="008C66C0"/>
    <w:rsid w:val="008C7BBB"/>
    <w:rsid w:val="008D2D06"/>
    <w:rsid w:val="008D4220"/>
    <w:rsid w:val="008D492A"/>
    <w:rsid w:val="008D516A"/>
    <w:rsid w:val="008D5783"/>
    <w:rsid w:val="008D5E2E"/>
    <w:rsid w:val="008E5A95"/>
    <w:rsid w:val="008E5FBD"/>
    <w:rsid w:val="008E7FCC"/>
    <w:rsid w:val="008F11B7"/>
    <w:rsid w:val="008F58E2"/>
    <w:rsid w:val="008F761F"/>
    <w:rsid w:val="008F7690"/>
    <w:rsid w:val="008F7CA2"/>
    <w:rsid w:val="00901B41"/>
    <w:rsid w:val="009028CB"/>
    <w:rsid w:val="00905C23"/>
    <w:rsid w:val="00905E32"/>
    <w:rsid w:val="00906FE5"/>
    <w:rsid w:val="009072F2"/>
    <w:rsid w:val="00910075"/>
    <w:rsid w:val="00913C03"/>
    <w:rsid w:val="0091418E"/>
    <w:rsid w:val="00914C74"/>
    <w:rsid w:val="00915123"/>
    <w:rsid w:val="0091540C"/>
    <w:rsid w:val="00917CB7"/>
    <w:rsid w:val="00920B2A"/>
    <w:rsid w:val="00920F9D"/>
    <w:rsid w:val="009231A6"/>
    <w:rsid w:val="00923BCC"/>
    <w:rsid w:val="00923FE3"/>
    <w:rsid w:val="00924635"/>
    <w:rsid w:val="009246E8"/>
    <w:rsid w:val="00924F63"/>
    <w:rsid w:val="00925119"/>
    <w:rsid w:val="009258E4"/>
    <w:rsid w:val="009267C6"/>
    <w:rsid w:val="00927A13"/>
    <w:rsid w:val="00927BE7"/>
    <w:rsid w:val="00933081"/>
    <w:rsid w:val="00933420"/>
    <w:rsid w:val="009369C5"/>
    <w:rsid w:val="00936B73"/>
    <w:rsid w:val="0094023B"/>
    <w:rsid w:val="009429B8"/>
    <w:rsid w:val="00945471"/>
    <w:rsid w:val="00946325"/>
    <w:rsid w:val="009468F9"/>
    <w:rsid w:val="00953CB3"/>
    <w:rsid w:val="00954B1E"/>
    <w:rsid w:val="009550DA"/>
    <w:rsid w:val="00956314"/>
    <w:rsid w:val="00956339"/>
    <w:rsid w:val="00956808"/>
    <w:rsid w:val="00956ECC"/>
    <w:rsid w:val="00960602"/>
    <w:rsid w:val="00964B84"/>
    <w:rsid w:val="00965171"/>
    <w:rsid w:val="00970728"/>
    <w:rsid w:val="00971A3B"/>
    <w:rsid w:val="0097388E"/>
    <w:rsid w:val="00981374"/>
    <w:rsid w:val="00991581"/>
    <w:rsid w:val="009938B7"/>
    <w:rsid w:val="00994013"/>
    <w:rsid w:val="0099586C"/>
    <w:rsid w:val="00995E6F"/>
    <w:rsid w:val="00997416"/>
    <w:rsid w:val="009A1826"/>
    <w:rsid w:val="009A19A6"/>
    <w:rsid w:val="009A4E3C"/>
    <w:rsid w:val="009A4F5F"/>
    <w:rsid w:val="009A5569"/>
    <w:rsid w:val="009A59D4"/>
    <w:rsid w:val="009A6546"/>
    <w:rsid w:val="009A6658"/>
    <w:rsid w:val="009B165E"/>
    <w:rsid w:val="009B3B40"/>
    <w:rsid w:val="009B63FE"/>
    <w:rsid w:val="009B72AD"/>
    <w:rsid w:val="009B7846"/>
    <w:rsid w:val="009C257F"/>
    <w:rsid w:val="009C2BF4"/>
    <w:rsid w:val="009C3198"/>
    <w:rsid w:val="009C409A"/>
    <w:rsid w:val="009C603B"/>
    <w:rsid w:val="009C6168"/>
    <w:rsid w:val="009D0542"/>
    <w:rsid w:val="009D7D60"/>
    <w:rsid w:val="009E1C81"/>
    <w:rsid w:val="009E3D85"/>
    <w:rsid w:val="009E649C"/>
    <w:rsid w:val="009F055D"/>
    <w:rsid w:val="009F0A00"/>
    <w:rsid w:val="009F2F6C"/>
    <w:rsid w:val="009F343B"/>
    <w:rsid w:val="009F7DF6"/>
    <w:rsid w:val="00A01B87"/>
    <w:rsid w:val="00A01C30"/>
    <w:rsid w:val="00A01E58"/>
    <w:rsid w:val="00A040B8"/>
    <w:rsid w:val="00A04B1A"/>
    <w:rsid w:val="00A05998"/>
    <w:rsid w:val="00A05E18"/>
    <w:rsid w:val="00A11F0F"/>
    <w:rsid w:val="00A14DB4"/>
    <w:rsid w:val="00A16D68"/>
    <w:rsid w:val="00A17BE4"/>
    <w:rsid w:val="00A21C89"/>
    <w:rsid w:val="00A22265"/>
    <w:rsid w:val="00A250A8"/>
    <w:rsid w:val="00A25F2A"/>
    <w:rsid w:val="00A265E8"/>
    <w:rsid w:val="00A27037"/>
    <w:rsid w:val="00A31156"/>
    <w:rsid w:val="00A3125F"/>
    <w:rsid w:val="00A31919"/>
    <w:rsid w:val="00A31B34"/>
    <w:rsid w:val="00A32927"/>
    <w:rsid w:val="00A3394E"/>
    <w:rsid w:val="00A3484F"/>
    <w:rsid w:val="00A3495E"/>
    <w:rsid w:val="00A34D16"/>
    <w:rsid w:val="00A4059D"/>
    <w:rsid w:val="00A42216"/>
    <w:rsid w:val="00A42FEC"/>
    <w:rsid w:val="00A454D7"/>
    <w:rsid w:val="00A4656B"/>
    <w:rsid w:val="00A538A1"/>
    <w:rsid w:val="00A542B2"/>
    <w:rsid w:val="00A55BE1"/>
    <w:rsid w:val="00A5693F"/>
    <w:rsid w:val="00A57DFF"/>
    <w:rsid w:val="00A600D0"/>
    <w:rsid w:val="00A60D84"/>
    <w:rsid w:val="00A63EB2"/>
    <w:rsid w:val="00A67D95"/>
    <w:rsid w:val="00A737A6"/>
    <w:rsid w:val="00A80DA3"/>
    <w:rsid w:val="00A826BB"/>
    <w:rsid w:val="00A82FEF"/>
    <w:rsid w:val="00A852C2"/>
    <w:rsid w:val="00A8650E"/>
    <w:rsid w:val="00A867FE"/>
    <w:rsid w:val="00A8779A"/>
    <w:rsid w:val="00A87E12"/>
    <w:rsid w:val="00A932D2"/>
    <w:rsid w:val="00A938DA"/>
    <w:rsid w:val="00A95600"/>
    <w:rsid w:val="00AA0C8D"/>
    <w:rsid w:val="00AA1B79"/>
    <w:rsid w:val="00AA27DA"/>
    <w:rsid w:val="00AA2F51"/>
    <w:rsid w:val="00AA6DF1"/>
    <w:rsid w:val="00AB246D"/>
    <w:rsid w:val="00AB4907"/>
    <w:rsid w:val="00AB4D7B"/>
    <w:rsid w:val="00AB54F3"/>
    <w:rsid w:val="00AB5EFD"/>
    <w:rsid w:val="00AB620C"/>
    <w:rsid w:val="00AB7D42"/>
    <w:rsid w:val="00AC2DF2"/>
    <w:rsid w:val="00AC33CD"/>
    <w:rsid w:val="00AC4B6E"/>
    <w:rsid w:val="00AC4C49"/>
    <w:rsid w:val="00AC5506"/>
    <w:rsid w:val="00AD014B"/>
    <w:rsid w:val="00AD072A"/>
    <w:rsid w:val="00AD22FC"/>
    <w:rsid w:val="00AD29AA"/>
    <w:rsid w:val="00AD3531"/>
    <w:rsid w:val="00AD4CCE"/>
    <w:rsid w:val="00AD5155"/>
    <w:rsid w:val="00AD523A"/>
    <w:rsid w:val="00AD542E"/>
    <w:rsid w:val="00AE0E55"/>
    <w:rsid w:val="00AE0F6E"/>
    <w:rsid w:val="00AE1C6D"/>
    <w:rsid w:val="00AE22ED"/>
    <w:rsid w:val="00AE3042"/>
    <w:rsid w:val="00AE3433"/>
    <w:rsid w:val="00AE6FB9"/>
    <w:rsid w:val="00AE7422"/>
    <w:rsid w:val="00AF0318"/>
    <w:rsid w:val="00AF1236"/>
    <w:rsid w:val="00AF294C"/>
    <w:rsid w:val="00AF2A1C"/>
    <w:rsid w:val="00AF2CBD"/>
    <w:rsid w:val="00AF3478"/>
    <w:rsid w:val="00AF372B"/>
    <w:rsid w:val="00AF5722"/>
    <w:rsid w:val="00AF6674"/>
    <w:rsid w:val="00AF7843"/>
    <w:rsid w:val="00AF7FD7"/>
    <w:rsid w:val="00B015D0"/>
    <w:rsid w:val="00B016BE"/>
    <w:rsid w:val="00B03130"/>
    <w:rsid w:val="00B05927"/>
    <w:rsid w:val="00B07C62"/>
    <w:rsid w:val="00B10A19"/>
    <w:rsid w:val="00B12EC4"/>
    <w:rsid w:val="00B143BE"/>
    <w:rsid w:val="00B14BF7"/>
    <w:rsid w:val="00B14C42"/>
    <w:rsid w:val="00B164AB"/>
    <w:rsid w:val="00B166B8"/>
    <w:rsid w:val="00B17B81"/>
    <w:rsid w:val="00B2037C"/>
    <w:rsid w:val="00B22C2C"/>
    <w:rsid w:val="00B23EE9"/>
    <w:rsid w:val="00B261C7"/>
    <w:rsid w:val="00B302FC"/>
    <w:rsid w:val="00B30AD2"/>
    <w:rsid w:val="00B3159D"/>
    <w:rsid w:val="00B32593"/>
    <w:rsid w:val="00B33E0B"/>
    <w:rsid w:val="00B37F39"/>
    <w:rsid w:val="00B37FAD"/>
    <w:rsid w:val="00B40366"/>
    <w:rsid w:val="00B40FEB"/>
    <w:rsid w:val="00B42B20"/>
    <w:rsid w:val="00B42E04"/>
    <w:rsid w:val="00B43AB4"/>
    <w:rsid w:val="00B4581C"/>
    <w:rsid w:val="00B46119"/>
    <w:rsid w:val="00B47503"/>
    <w:rsid w:val="00B51019"/>
    <w:rsid w:val="00B51178"/>
    <w:rsid w:val="00B520EB"/>
    <w:rsid w:val="00B53204"/>
    <w:rsid w:val="00B557DC"/>
    <w:rsid w:val="00B56F1C"/>
    <w:rsid w:val="00B5736D"/>
    <w:rsid w:val="00B575D7"/>
    <w:rsid w:val="00B57A84"/>
    <w:rsid w:val="00B60D69"/>
    <w:rsid w:val="00B61E7C"/>
    <w:rsid w:val="00B62014"/>
    <w:rsid w:val="00B6248C"/>
    <w:rsid w:val="00B63722"/>
    <w:rsid w:val="00B654B6"/>
    <w:rsid w:val="00B67378"/>
    <w:rsid w:val="00B71D76"/>
    <w:rsid w:val="00B74BC1"/>
    <w:rsid w:val="00B75B56"/>
    <w:rsid w:val="00B768C1"/>
    <w:rsid w:val="00B77A78"/>
    <w:rsid w:val="00B77E2B"/>
    <w:rsid w:val="00B80E8A"/>
    <w:rsid w:val="00B82910"/>
    <w:rsid w:val="00B8313A"/>
    <w:rsid w:val="00B85EF5"/>
    <w:rsid w:val="00B86EEB"/>
    <w:rsid w:val="00B90227"/>
    <w:rsid w:val="00B95943"/>
    <w:rsid w:val="00B965CB"/>
    <w:rsid w:val="00B971E8"/>
    <w:rsid w:val="00B97C93"/>
    <w:rsid w:val="00BA10F3"/>
    <w:rsid w:val="00BA19EE"/>
    <w:rsid w:val="00BA2532"/>
    <w:rsid w:val="00BA3C3B"/>
    <w:rsid w:val="00BA4D84"/>
    <w:rsid w:val="00BA6651"/>
    <w:rsid w:val="00BA6CC3"/>
    <w:rsid w:val="00BA79F0"/>
    <w:rsid w:val="00BB09D0"/>
    <w:rsid w:val="00BB2DF1"/>
    <w:rsid w:val="00BB3141"/>
    <w:rsid w:val="00BB591C"/>
    <w:rsid w:val="00BC2A2B"/>
    <w:rsid w:val="00BC6057"/>
    <w:rsid w:val="00BD12EB"/>
    <w:rsid w:val="00BD21DA"/>
    <w:rsid w:val="00BD2303"/>
    <w:rsid w:val="00BD3FD6"/>
    <w:rsid w:val="00BD47A4"/>
    <w:rsid w:val="00BD5614"/>
    <w:rsid w:val="00BD729E"/>
    <w:rsid w:val="00BD7ACD"/>
    <w:rsid w:val="00BE2043"/>
    <w:rsid w:val="00BE2765"/>
    <w:rsid w:val="00BE60D0"/>
    <w:rsid w:val="00BF053A"/>
    <w:rsid w:val="00BF3CE9"/>
    <w:rsid w:val="00BF3E57"/>
    <w:rsid w:val="00BF68F0"/>
    <w:rsid w:val="00C008C3"/>
    <w:rsid w:val="00C02192"/>
    <w:rsid w:val="00C03BEC"/>
    <w:rsid w:val="00C03C80"/>
    <w:rsid w:val="00C065FB"/>
    <w:rsid w:val="00C06711"/>
    <w:rsid w:val="00C10B42"/>
    <w:rsid w:val="00C1527F"/>
    <w:rsid w:val="00C17DF6"/>
    <w:rsid w:val="00C24511"/>
    <w:rsid w:val="00C27754"/>
    <w:rsid w:val="00C277B5"/>
    <w:rsid w:val="00C303AF"/>
    <w:rsid w:val="00C304CA"/>
    <w:rsid w:val="00C30CED"/>
    <w:rsid w:val="00C32C03"/>
    <w:rsid w:val="00C33705"/>
    <w:rsid w:val="00C3474E"/>
    <w:rsid w:val="00C3500A"/>
    <w:rsid w:val="00C351A4"/>
    <w:rsid w:val="00C3756A"/>
    <w:rsid w:val="00C37D7C"/>
    <w:rsid w:val="00C41115"/>
    <w:rsid w:val="00C42E35"/>
    <w:rsid w:val="00C43450"/>
    <w:rsid w:val="00C4606C"/>
    <w:rsid w:val="00C46E8E"/>
    <w:rsid w:val="00C4787F"/>
    <w:rsid w:val="00C47FFD"/>
    <w:rsid w:val="00C50931"/>
    <w:rsid w:val="00C51B29"/>
    <w:rsid w:val="00C51F3E"/>
    <w:rsid w:val="00C54D18"/>
    <w:rsid w:val="00C54DD1"/>
    <w:rsid w:val="00C56024"/>
    <w:rsid w:val="00C5763E"/>
    <w:rsid w:val="00C607C0"/>
    <w:rsid w:val="00C60F4D"/>
    <w:rsid w:val="00C61551"/>
    <w:rsid w:val="00C61F83"/>
    <w:rsid w:val="00C638B6"/>
    <w:rsid w:val="00C645A0"/>
    <w:rsid w:val="00C6545A"/>
    <w:rsid w:val="00C67653"/>
    <w:rsid w:val="00C6783C"/>
    <w:rsid w:val="00C70AEB"/>
    <w:rsid w:val="00C72C44"/>
    <w:rsid w:val="00C76E00"/>
    <w:rsid w:val="00C7713F"/>
    <w:rsid w:val="00C83EA1"/>
    <w:rsid w:val="00C8549C"/>
    <w:rsid w:val="00C854CD"/>
    <w:rsid w:val="00C85C9D"/>
    <w:rsid w:val="00C874B5"/>
    <w:rsid w:val="00C904BE"/>
    <w:rsid w:val="00C90B96"/>
    <w:rsid w:val="00C90C56"/>
    <w:rsid w:val="00C910D1"/>
    <w:rsid w:val="00C915E1"/>
    <w:rsid w:val="00C94875"/>
    <w:rsid w:val="00C949D9"/>
    <w:rsid w:val="00C9792A"/>
    <w:rsid w:val="00CA0EAF"/>
    <w:rsid w:val="00CA7628"/>
    <w:rsid w:val="00CB06AC"/>
    <w:rsid w:val="00CB2E8A"/>
    <w:rsid w:val="00CB2EE4"/>
    <w:rsid w:val="00CB46C4"/>
    <w:rsid w:val="00CB4CC6"/>
    <w:rsid w:val="00CB560C"/>
    <w:rsid w:val="00CB6195"/>
    <w:rsid w:val="00CB624E"/>
    <w:rsid w:val="00CC0261"/>
    <w:rsid w:val="00CC0C3D"/>
    <w:rsid w:val="00CC1640"/>
    <w:rsid w:val="00CC22D9"/>
    <w:rsid w:val="00CC5DB8"/>
    <w:rsid w:val="00CC5EAB"/>
    <w:rsid w:val="00CD0B97"/>
    <w:rsid w:val="00CD3612"/>
    <w:rsid w:val="00CE0C76"/>
    <w:rsid w:val="00CE0D00"/>
    <w:rsid w:val="00CE287A"/>
    <w:rsid w:val="00CE4BDF"/>
    <w:rsid w:val="00CE4CE4"/>
    <w:rsid w:val="00CF0889"/>
    <w:rsid w:val="00CF3C3F"/>
    <w:rsid w:val="00CF6045"/>
    <w:rsid w:val="00CF6BA5"/>
    <w:rsid w:val="00CF743B"/>
    <w:rsid w:val="00D023D8"/>
    <w:rsid w:val="00D03166"/>
    <w:rsid w:val="00D04B05"/>
    <w:rsid w:val="00D13A00"/>
    <w:rsid w:val="00D13F4C"/>
    <w:rsid w:val="00D172B7"/>
    <w:rsid w:val="00D17DD9"/>
    <w:rsid w:val="00D2195A"/>
    <w:rsid w:val="00D240C8"/>
    <w:rsid w:val="00D24C74"/>
    <w:rsid w:val="00D262F0"/>
    <w:rsid w:val="00D33F93"/>
    <w:rsid w:val="00D363A0"/>
    <w:rsid w:val="00D3665E"/>
    <w:rsid w:val="00D36926"/>
    <w:rsid w:val="00D4018E"/>
    <w:rsid w:val="00D40402"/>
    <w:rsid w:val="00D41656"/>
    <w:rsid w:val="00D469D1"/>
    <w:rsid w:val="00D479A0"/>
    <w:rsid w:val="00D50A1B"/>
    <w:rsid w:val="00D52CAF"/>
    <w:rsid w:val="00D53A52"/>
    <w:rsid w:val="00D56602"/>
    <w:rsid w:val="00D569DD"/>
    <w:rsid w:val="00D575A2"/>
    <w:rsid w:val="00D626D6"/>
    <w:rsid w:val="00D62F03"/>
    <w:rsid w:val="00D66139"/>
    <w:rsid w:val="00D66735"/>
    <w:rsid w:val="00D66A9C"/>
    <w:rsid w:val="00D66C1A"/>
    <w:rsid w:val="00D671C3"/>
    <w:rsid w:val="00D72E6C"/>
    <w:rsid w:val="00D74964"/>
    <w:rsid w:val="00D74E72"/>
    <w:rsid w:val="00D81E09"/>
    <w:rsid w:val="00D8259C"/>
    <w:rsid w:val="00D835B0"/>
    <w:rsid w:val="00D87798"/>
    <w:rsid w:val="00D87C5B"/>
    <w:rsid w:val="00D90B43"/>
    <w:rsid w:val="00D9428C"/>
    <w:rsid w:val="00D94458"/>
    <w:rsid w:val="00D95607"/>
    <w:rsid w:val="00D96302"/>
    <w:rsid w:val="00D9713D"/>
    <w:rsid w:val="00D9733F"/>
    <w:rsid w:val="00DA0804"/>
    <w:rsid w:val="00DA174B"/>
    <w:rsid w:val="00DA3933"/>
    <w:rsid w:val="00DA491B"/>
    <w:rsid w:val="00DA4BFE"/>
    <w:rsid w:val="00DA5D13"/>
    <w:rsid w:val="00DA6317"/>
    <w:rsid w:val="00DA6863"/>
    <w:rsid w:val="00DB19EE"/>
    <w:rsid w:val="00DB288C"/>
    <w:rsid w:val="00DB4EDE"/>
    <w:rsid w:val="00DB6E80"/>
    <w:rsid w:val="00DB7913"/>
    <w:rsid w:val="00DB7EC1"/>
    <w:rsid w:val="00DC0C7D"/>
    <w:rsid w:val="00DC44EE"/>
    <w:rsid w:val="00DC5CB0"/>
    <w:rsid w:val="00DD012B"/>
    <w:rsid w:val="00DD15D8"/>
    <w:rsid w:val="00DD1E32"/>
    <w:rsid w:val="00DD7785"/>
    <w:rsid w:val="00DD780D"/>
    <w:rsid w:val="00DE051F"/>
    <w:rsid w:val="00DE2F28"/>
    <w:rsid w:val="00DE46E8"/>
    <w:rsid w:val="00DE48BD"/>
    <w:rsid w:val="00DE7C4D"/>
    <w:rsid w:val="00DE7DFF"/>
    <w:rsid w:val="00DF02EC"/>
    <w:rsid w:val="00DF04ED"/>
    <w:rsid w:val="00DF1D6D"/>
    <w:rsid w:val="00DF4366"/>
    <w:rsid w:val="00DF613E"/>
    <w:rsid w:val="00DF6EEF"/>
    <w:rsid w:val="00DF7E1D"/>
    <w:rsid w:val="00E02364"/>
    <w:rsid w:val="00E0542A"/>
    <w:rsid w:val="00E064A5"/>
    <w:rsid w:val="00E06A5A"/>
    <w:rsid w:val="00E15BF4"/>
    <w:rsid w:val="00E16674"/>
    <w:rsid w:val="00E172E8"/>
    <w:rsid w:val="00E22026"/>
    <w:rsid w:val="00E254D2"/>
    <w:rsid w:val="00E26478"/>
    <w:rsid w:val="00E311BE"/>
    <w:rsid w:val="00E31A18"/>
    <w:rsid w:val="00E32623"/>
    <w:rsid w:val="00E36E07"/>
    <w:rsid w:val="00E37DD8"/>
    <w:rsid w:val="00E44523"/>
    <w:rsid w:val="00E44EB9"/>
    <w:rsid w:val="00E45118"/>
    <w:rsid w:val="00E45683"/>
    <w:rsid w:val="00E50BA3"/>
    <w:rsid w:val="00E51E3E"/>
    <w:rsid w:val="00E5334B"/>
    <w:rsid w:val="00E6002D"/>
    <w:rsid w:val="00E615F0"/>
    <w:rsid w:val="00E632A3"/>
    <w:rsid w:val="00E64CF9"/>
    <w:rsid w:val="00E658CF"/>
    <w:rsid w:val="00E66558"/>
    <w:rsid w:val="00E66C76"/>
    <w:rsid w:val="00E673CA"/>
    <w:rsid w:val="00E712BB"/>
    <w:rsid w:val="00E720FB"/>
    <w:rsid w:val="00E745CB"/>
    <w:rsid w:val="00E74817"/>
    <w:rsid w:val="00E754A5"/>
    <w:rsid w:val="00E800AB"/>
    <w:rsid w:val="00E83547"/>
    <w:rsid w:val="00E849C3"/>
    <w:rsid w:val="00E86CAB"/>
    <w:rsid w:val="00E8708F"/>
    <w:rsid w:val="00E876C5"/>
    <w:rsid w:val="00E92582"/>
    <w:rsid w:val="00E92D5F"/>
    <w:rsid w:val="00E93441"/>
    <w:rsid w:val="00E94FFA"/>
    <w:rsid w:val="00E95810"/>
    <w:rsid w:val="00E96C10"/>
    <w:rsid w:val="00EA335C"/>
    <w:rsid w:val="00EA67EC"/>
    <w:rsid w:val="00EA6CA1"/>
    <w:rsid w:val="00EA7516"/>
    <w:rsid w:val="00EB1304"/>
    <w:rsid w:val="00EB1C3A"/>
    <w:rsid w:val="00EB1F51"/>
    <w:rsid w:val="00EB2ECF"/>
    <w:rsid w:val="00EB60AE"/>
    <w:rsid w:val="00EB641D"/>
    <w:rsid w:val="00EC134C"/>
    <w:rsid w:val="00EC1984"/>
    <w:rsid w:val="00EC2C99"/>
    <w:rsid w:val="00EC3900"/>
    <w:rsid w:val="00EC4CC4"/>
    <w:rsid w:val="00EC57F5"/>
    <w:rsid w:val="00EC5CFD"/>
    <w:rsid w:val="00EC6FAA"/>
    <w:rsid w:val="00ED0910"/>
    <w:rsid w:val="00ED0FBC"/>
    <w:rsid w:val="00EE11B7"/>
    <w:rsid w:val="00EE2986"/>
    <w:rsid w:val="00EE2AC9"/>
    <w:rsid w:val="00EE3359"/>
    <w:rsid w:val="00EE3CD7"/>
    <w:rsid w:val="00EE4EBD"/>
    <w:rsid w:val="00EE4EDC"/>
    <w:rsid w:val="00EE7359"/>
    <w:rsid w:val="00EF029C"/>
    <w:rsid w:val="00EF4998"/>
    <w:rsid w:val="00EF4C8B"/>
    <w:rsid w:val="00EF626F"/>
    <w:rsid w:val="00F025C7"/>
    <w:rsid w:val="00F03DB1"/>
    <w:rsid w:val="00F04619"/>
    <w:rsid w:val="00F05757"/>
    <w:rsid w:val="00F0607F"/>
    <w:rsid w:val="00F1638D"/>
    <w:rsid w:val="00F24AF0"/>
    <w:rsid w:val="00F2668C"/>
    <w:rsid w:val="00F26975"/>
    <w:rsid w:val="00F26CD4"/>
    <w:rsid w:val="00F273C0"/>
    <w:rsid w:val="00F27C43"/>
    <w:rsid w:val="00F30343"/>
    <w:rsid w:val="00F31D26"/>
    <w:rsid w:val="00F32270"/>
    <w:rsid w:val="00F332DF"/>
    <w:rsid w:val="00F335B2"/>
    <w:rsid w:val="00F342E7"/>
    <w:rsid w:val="00F345DD"/>
    <w:rsid w:val="00F34916"/>
    <w:rsid w:val="00F425D5"/>
    <w:rsid w:val="00F42EC3"/>
    <w:rsid w:val="00F44640"/>
    <w:rsid w:val="00F452F7"/>
    <w:rsid w:val="00F47559"/>
    <w:rsid w:val="00F47E15"/>
    <w:rsid w:val="00F523E7"/>
    <w:rsid w:val="00F52836"/>
    <w:rsid w:val="00F53758"/>
    <w:rsid w:val="00F54C5C"/>
    <w:rsid w:val="00F563BF"/>
    <w:rsid w:val="00F60573"/>
    <w:rsid w:val="00F60E20"/>
    <w:rsid w:val="00F612F5"/>
    <w:rsid w:val="00F61D0C"/>
    <w:rsid w:val="00F62E19"/>
    <w:rsid w:val="00F63998"/>
    <w:rsid w:val="00F644AE"/>
    <w:rsid w:val="00F655E8"/>
    <w:rsid w:val="00F65A82"/>
    <w:rsid w:val="00F65B33"/>
    <w:rsid w:val="00F65C9A"/>
    <w:rsid w:val="00F65D8C"/>
    <w:rsid w:val="00F65FDD"/>
    <w:rsid w:val="00F662DC"/>
    <w:rsid w:val="00F66B1D"/>
    <w:rsid w:val="00F702E7"/>
    <w:rsid w:val="00F7166B"/>
    <w:rsid w:val="00F716DB"/>
    <w:rsid w:val="00F722B4"/>
    <w:rsid w:val="00F7368E"/>
    <w:rsid w:val="00F75ADA"/>
    <w:rsid w:val="00F76259"/>
    <w:rsid w:val="00F77E8E"/>
    <w:rsid w:val="00F82E95"/>
    <w:rsid w:val="00F83A59"/>
    <w:rsid w:val="00F84814"/>
    <w:rsid w:val="00F849C2"/>
    <w:rsid w:val="00F856B5"/>
    <w:rsid w:val="00F85BDD"/>
    <w:rsid w:val="00F86031"/>
    <w:rsid w:val="00F86388"/>
    <w:rsid w:val="00F90646"/>
    <w:rsid w:val="00F92D77"/>
    <w:rsid w:val="00F946C9"/>
    <w:rsid w:val="00F966E9"/>
    <w:rsid w:val="00F96F2B"/>
    <w:rsid w:val="00F97C92"/>
    <w:rsid w:val="00FA0ADE"/>
    <w:rsid w:val="00FA0FE2"/>
    <w:rsid w:val="00FA32B3"/>
    <w:rsid w:val="00FA4C68"/>
    <w:rsid w:val="00FA7930"/>
    <w:rsid w:val="00FB0EB1"/>
    <w:rsid w:val="00FB1E6E"/>
    <w:rsid w:val="00FB2759"/>
    <w:rsid w:val="00FB3D6F"/>
    <w:rsid w:val="00FB50C0"/>
    <w:rsid w:val="00FB556E"/>
    <w:rsid w:val="00FB5D71"/>
    <w:rsid w:val="00FB69E7"/>
    <w:rsid w:val="00FC2C87"/>
    <w:rsid w:val="00FC4014"/>
    <w:rsid w:val="00FC4992"/>
    <w:rsid w:val="00FC5604"/>
    <w:rsid w:val="00FC7D15"/>
    <w:rsid w:val="00FC7D29"/>
    <w:rsid w:val="00FD025A"/>
    <w:rsid w:val="00FD63AC"/>
    <w:rsid w:val="00FD7664"/>
    <w:rsid w:val="00FD7965"/>
    <w:rsid w:val="00FE0823"/>
    <w:rsid w:val="00FE3998"/>
    <w:rsid w:val="00FE3DA8"/>
    <w:rsid w:val="00FE43CD"/>
    <w:rsid w:val="00FE480E"/>
    <w:rsid w:val="00FE6F19"/>
    <w:rsid w:val="00FF16A9"/>
    <w:rsid w:val="00FF1AA6"/>
    <w:rsid w:val="00FF27F2"/>
    <w:rsid w:val="00FF3081"/>
    <w:rsid w:val="00FF3B66"/>
    <w:rsid w:val="00FF3BB0"/>
    <w:rsid w:val="00FF4AB1"/>
    <w:rsid w:val="00FF52FF"/>
    <w:rsid w:val="00FF5E88"/>
    <w:rsid w:val="00FF5F05"/>
    <w:rsid w:val="00FF61E4"/>
    <w:rsid w:val="00FF6BDA"/>
    <w:rsid w:val="012C2231"/>
    <w:rsid w:val="01DD0FF3"/>
    <w:rsid w:val="031D1306"/>
    <w:rsid w:val="032806EB"/>
    <w:rsid w:val="038D20B1"/>
    <w:rsid w:val="03AE260F"/>
    <w:rsid w:val="03F109DA"/>
    <w:rsid w:val="045F3550"/>
    <w:rsid w:val="051A614B"/>
    <w:rsid w:val="051C237F"/>
    <w:rsid w:val="055131B5"/>
    <w:rsid w:val="05C84CDF"/>
    <w:rsid w:val="05D359AE"/>
    <w:rsid w:val="05EE3218"/>
    <w:rsid w:val="062E2F55"/>
    <w:rsid w:val="065F2744"/>
    <w:rsid w:val="06972734"/>
    <w:rsid w:val="07C25DDF"/>
    <w:rsid w:val="07CE1C7C"/>
    <w:rsid w:val="08E81973"/>
    <w:rsid w:val="095A1137"/>
    <w:rsid w:val="09CC4458"/>
    <w:rsid w:val="0B540276"/>
    <w:rsid w:val="0BF32C92"/>
    <w:rsid w:val="0C20239D"/>
    <w:rsid w:val="0C823396"/>
    <w:rsid w:val="0D1C0B5F"/>
    <w:rsid w:val="0D306072"/>
    <w:rsid w:val="0DC4290C"/>
    <w:rsid w:val="0E0C10B5"/>
    <w:rsid w:val="0E555027"/>
    <w:rsid w:val="0F177612"/>
    <w:rsid w:val="0F670B47"/>
    <w:rsid w:val="10F821C9"/>
    <w:rsid w:val="11DE0E6B"/>
    <w:rsid w:val="12C75280"/>
    <w:rsid w:val="13BC1C3C"/>
    <w:rsid w:val="141E2336"/>
    <w:rsid w:val="16712E99"/>
    <w:rsid w:val="177233D9"/>
    <w:rsid w:val="18D60927"/>
    <w:rsid w:val="1A2C7057"/>
    <w:rsid w:val="1A3205A0"/>
    <w:rsid w:val="1A485BAD"/>
    <w:rsid w:val="1A682975"/>
    <w:rsid w:val="1C4133D9"/>
    <w:rsid w:val="1C6C659C"/>
    <w:rsid w:val="1CBE6496"/>
    <w:rsid w:val="1CFA78A6"/>
    <w:rsid w:val="1D00526B"/>
    <w:rsid w:val="1D2F69EC"/>
    <w:rsid w:val="1D5822CB"/>
    <w:rsid w:val="1E052521"/>
    <w:rsid w:val="1E701ADA"/>
    <w:rsid w:val="1F660D5C"/>
    <w:rsid w:val="201C6AEF"/>
    <w:rsid w:val="22170A79"/>
    <w:rsid w:val="226C6A75"/>
    <w:rsid w:val="22B552F9"/>
    <w:rsid w:val="23B52B0E"/>
    <w:rsid w:val="249E742F"/>
    <w:rsid w:val="24D25943"/>
    <w:rsid w:val="24EB38FB"/>
    <w:rsid w:val="26443D25"/>
    <w:rsid w:val="26F50426"/>
    <w:rsid w:val="275234A3"/>
    <w:rsid w:val="28BC21F6"/>
    <w:rsid w:val="292D6140"/>
    <w:rsid w:val="294E0F60"/>
    <w:rsid w:val="298C72DF"/>
    <w:rsid w:val="29CA3948"/>
    <w:rsid w:val="29DE78AB"/>
    <w:rsid w:val="2A285B6D"/>
    <w:rsid w:val="2B9B3B87"/>
    <w:rsid w:val="2C056B5B"/>
    <w:rsid w:val="2CD63B1F"/>
    <w:rsid w:val="2CFF6976"/>
    <w:rsid w:val="2E75551B"/>
    <w:rsid w:val="2EC61711"/>
    <w:rsid w:val="304E4EDE"/>
    <w:rsid w:val="31BB2AE6"/>
    <w:rsid w:val="32410137"/>
    <w:rsid w:val="32556CC9"/>
    <w:rsid w:val="33F30966"/>
    <w:rsid w:val="342216C0"/>
    <w:rsid w:val="352A58AF"/>
    <w:rsid w:val="361F5395"/>
    <w:rsid w:val="373210BC"/>
    <w:rsid w:val="37613015"/>
    <w:rsid w:val="37652227"/>
    <w:rsid w:val="37761BC6"/>
    <w:rsid w:val="38161F8F"/>
    <w:rsid w:val="385830BB"/>
    <w:rsid w:val="3905768B"/>
    <w:rsid w:val="39DE2979"/>
    <w:rsid w:val="39E06B5E"/>
    <w:rsid w:val="3A4079CE"/>
    <w:rsid w:val="3ADB7303"/>
    <w:rsid w:val="3B225E52"/>
    <w:rsid w:val="3B2C2249"/>
    <w:rsid w:val="3B67034F"/>
    <w:rsid w:val="3D0F0454"/>
    <w:rsid w:val="3E19360B"/>
    <w:rsid w:val="3F201921"/>
    <w:rsid w:val="3F330A75"/>
    <w:rsid w:val="40285EF0"/>
    <w:rsid w:val="40E74413"/>
    <w:rsid w:val="40FA15B5"/>
    <w:rsid w:val="415B798B"/>
    <w:rsid w:val="416D60B6"/>
    <w:rsid w:val="41B502D0"/>
    <w:rsid w:val="41D765F1"/>
    <w:rsid w:val="42D2174D"/>
    <w:rsid w:val="438A1D77"/>
    <w:rsid w:val="43B46543"/>
    <w:rsid w:val="44E70B71"/>
    <w:rsid w:val="46925098"/>
    <w:rsid w:val="46D43BBA"/>
    <w:rsid w:val="47396625"/>
    <w:rsid w:val="474555A4"/>
    <w:rsid w:val="47C64874"/>
    <w:rsid w:val="4824721E"/>
    <w:rsid w:val="48445AB9"/>
    <w:rsid w:val="485D7F67"/>
    <w:rsid w:val="4A6401E7"/>
    <w:rsid w:val="4A7950AC"/>
    <w:rsid w:val="4B66669B"/>
    <w:rsid w:val="4B68211C"/>
    <w:rsid w:val="4B8D4020"/>
    <w:rsid w:val="4B900A0C"/>
    <w:rsid w:val="4C045CDE"/>
    <w:rsid w:val="4C873A2B"/>
    <w:rsid w:val="4CDD30FE"/>
    <w:rsid w:val="4D9B090C"/>
    <w:rsid w:val="4FFE44D2"/>
    <w:rsid w:val="506F05C1"/>
    <w:rsid w:val="50B174F8"/>
    <w:rsid w:val="50DD1B9E"/>
    <w:rsid w:val="5156165A"/>
    <w:rsid w:val="51C27A15"/>
    <w:rsid w:val="51E626CD"/>
    <w:rsid w:val="5209697D"/>
    <w:rsid w:val="52352F42"/>
    <w:rsid w:val="52373D11"/>
    <w:rsid w:val="52AD1E57"/>
    <w:rsid w:val="537F4CAB"/>
    <w:rsid w:val="54234EE5"/>
    <w:rsid w:val="550F72E9"/>
    <w:rsid w:val="557D087D"/>
    <w:rsid w:val="55800000"/>
    <w:rsid w:val="572E5CE4"/>
    <w:rsid w:val="5730108D"/>
    <w:rsid w:val="577A254D"/>
    <w:rsid w:val="5796297E"/>
    <w:rsid w:val="57CF5881"/>
    <w:rsid w:val="58B210A8"/>
    <w:rsid w:val="590A44B4"/>
    <w:rsid w:val="59C87157"/>
    <w:rsid w:val="5A1939F7"/>
    <w:rsid w:val="5AFE5928"/>
    <w:rsid w:val="5B7D4DFA"/>
    <w:rsid w:val="5BF32032"/>
    <w:rsid w:val="5C0A6CD6"/>
    <w:rsid w:val="5C5D2726"/>
    <w:rsid w:val="5CA66F8E"/>
    <w:rsid w:val="5CF25928"/>
    <w:rsid w:val="5D1E3438"/>
    <w:rsid w:val="5D6279F7"/>
    <w:rsid w:val="5D6F3EA4"/>
    <w:rsid w:val="5DBA2A06"/>
    <w:rsid w:val="5E643B29"/>
    <w:rsid w:val="5EC4636D"/>
    <w:rsid w:val="5ECF0572"/>
    <w:rsid w:val="5F517040"/>
    <w:rsid w:val="5F7A5AB7"/>
    <w:rsid w:val="60B72150"/>
    <w:rsid w:val="60DA226A"/>
    <w:rsid w:val="610A7428"/>
    <w:rsid w:val="61472462"/>
    <w:rsid w:val="625E0A7A"/>
    <w:rsid w:val="63832BDC"/>
    <w:rsid w:val="63952930"/>
    <w:rsid w:val="65996321"/>
    <w:rsid w:val="65D160FC"/>
    <w:rsid w:val="663604B9"/>
    <w:rsid w:val="66DA3AF1"/>
    <w:rsid w:val="67C66699"/>
    <w:rsid w:val="67E52814"/>
    <w:rsid w:val="6A246331"/>
    <w:rsid w:val="6A286AB3"/>
    <w:rsid w:val="6A9E33CD"/>
    <w:rsid w:val="6B6A0CAB"/>
    <w:rsid w:val="6BE7AA84"/>
    <w:rsid w:val="6C0D6C0B"/>
    <w:rsid w:val="6C263116"/>
    <w:rsid w:val="6C8863F4"/>
    <w:rsid w:val="6CF67632"/>
    <w:rsid w:val="6D107A88"/>
    <w:rsid w:val="6D5F0D5E"/>
    <w:rsid w:val="6D9437E1"/>
    <w:rsid w:val="6DC108AA"/>
    <w:rsid w:val="6E9B1B04"/>
    <w:rsid w:val="6FD43AB2"/>
    <w:rsid w:val="71E60498"/>
    <w:rsid w:val="722473B7"/>
    <w:rsid w:val="72F92268"/>
    <w:rsid w:val="73E346D4"/>
    <w:rsid w:val="759A714C"/>
    <w:rsid w:val="75ED5DB7"/>
    <w:rsid w:val="76552C15"/>
    <w:rsid w:val="771A4481"/>
    <w:rsid w:val="77527CDD"/>
    <w:rsid w:val="77733183"/>
    <w:rsid w:val="77784807"/>
    <w:rsid w:val="77D92230"/>
    <w:rsid w:val="79EF67B7"/>
    <w:rsid w:val="79FE7117"/>
    <w:rsid w:val="7AFF4CF5"/>
    <w:rsid w:val="7BA23322"/>
    <w:rsid w:val="7C1A6FC9"/>
    <w:rsid w:val="7CAB53D2"/>
    <w:rsid w:val="7D3F45C0"/>
    <w:rsid w:val="7E820DD1"/>
    <w:rsid w:val="7EBF5E72"/>
    <w:rsid w:val="7EFCB0B8"/>
    <w:rsid w:val="7F8449AE"/>
    <w:rsid w:val="7F8468CE"/>
    <w:rsid w:val="7FA2374E"/>
    <w:rsid w:val="7FA503CA"/>
    <w:rsid w:val="7FC30F83"/>
    <w:rsid w:val="7FD300CA"/>
    <w:rsid w:val="7FFD2B09"/>
    <w:rsid w:val="BE492069"/>
    <w:rsid w:val="EFDB189C"/>
    <w:rsid w:val="FB3FEBB2"/>
    <w:rsid w:val="FBDEF860"/>
    <w:rsid w:val="FCFBA76F"/>
    <w:rsid w:val="FFFF982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仿宋_GB2312" w:cs="Times New Roman"/>
      <w:sz w:val="32"/>
      <w:lang w:val="en-US" w:eastAsia="zh-CN" w:bidi="ar-SA"/>
    </w:rPr>
  </w:style>
  <w:style w:type="paragraph" w:styleId="2">
    <w:name w:val="heading 2"/>
    <w:basedOn w:val="1"/>
    <w:next w:val="1"/>
    <w:link w:val="17"/>
    <w:unhideWhenUsed/>
    <w:qFormat/>
    <w:uiPriority w:val="0"/>
    <w:pPr>
      <w:keepNext/>
      <w:keepLines/>
      <w:widowControl w:val="0"/>
      <w:spacing w:before="260" w:after="260" w:line="416" w:lineRule="auto"/>
      <w:jc w:val="both"/>
      <w:outlineLvl w:val="1"/>
    </w:pPr>
    <w:rPr>
      <w:rFonts w:ascii="Cambria" w:hAnsi="Cambria"/>
      <w:b/>
      <w:bCs/>
      <w:kern w:val="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8"/>
    <w:qFormat/>
    <w:uiPriority w:val="0"/>
    <w:pPr>
      <w:widowControl w:val="0"/>
      <w:jc w:val="both"/>
    </w:pPr>
    <w:rPr>
      <w:rFonts w:eastAsia="文星仿宋"/>
      <w:kern w:val="2"/>
      <w:szCs w:val="24"/>
    </w:rPr>
  </w:style>
  <w:style w:type="paragraph" w:styleId="4">
    <w:name w:val="Date"/>
    <w:basedOn w:val="1"/>
    <w:next w:val="1"/>
    <w:link w:val="13"/>
    <w:semiHidden/>
    <w:unhideWhenUsed/>
    <w:qFormat/>
    <w:uiPriority w:val="99"/>
    <w:pPr>
      <w:ind w:left="100" w:leftChars="2500"/>
    </w:p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pPr>
    <w:rPr>
      <w:sz w:val="24"/>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customStyle="1" w:styleId="13">
    <w:name w:val="日期 Char"/>
    <w:basedOn w:val="11"/>
    <w:link w:val="4"/>
    <w:semiHidden/>
    <w:qFormat/>
    <w:uiPriority w:val="99"/>
    <w:rPr>
      <w:rFonts w:ascii="Times New Roman" w:hAnsi="Times New Roman" w:eastAsia="宋体" w:cs="Times New Roman"/>
      <w:kern w:val="0"/>
      <w:sz w:val="20"/>
      <w:szCs w:val="20"/>
    </w:rPr>
  </w:style>
  <w:style w:type="character" w:customStyle="1" w:styleId="14">
    <w:name w:val="批注框文本 Char"/>
    <w:basedOn w:val="11"/>
    <w:link w:val="5"/>
    <w:semiHidden/>
    <w:qFormat/>
    <w:uiPriority w:val="99"/>
    <w:rPr>
      <w:rFonts w:ascii="Times New Roman" w:hAnsi="Times New Roman" w:eastAsia="宋体" w:cs="Times New Roman"/>
      <w:kern w:val="0"/>
      <w:sz w:val="18"/>
      <w:szCs w:val="18"/>
    </w:rPr>
  </w:style>
  <w:style w:type="character" w:customStyle="1" w:styleId="15">
    <w:name w:val="页眉 Char"/>
    <w:basedOn w:val="11"/>
    <w:link w:val="7"/>
    <w:qFormat/>
    <w:uiPriority w:val="99"/>
    <w:rPr>
      <w:rFonts w:ascii="Times New Roman" w:hAnsi="Times New Roman" w:eastAsia="宋体" w:cs="Times New Roman"/>
      <w:kern w:val="0"/>
      <w:sz w:val="18"/>
      <w:szCs w:val="18"/>
    </w:rPr>
  </w:style>
  <w:style w:type="character" w:customStyle="1" w:styleId="16">
    <w:name w:val="页脚 Char"/>
    <w:basedOn w:val="11"/>
    <w:link w:val="6"/>
    <w:qFormat/>
    <w:uiPriority w:val="99"/>
    <w:rPr>
      <w:rFonts w:ascii="Times New Roman" w:hAnsi="Times New Roman" w:eastAsia="宋体" w:cs="Times New Roman"/>
      <w:kern w:val="0"/>
      <w:sz w:val="18"/>
      <w:szCs w:val="18"/>
    </w:rPr>
  </w:style>
  <w:style w:type="character" w:customStyle="1" w:styleId="17">
    <w:name w:val="标题 2 Char"/>
    <w:basedOn w:val="11"/>
    <w:link w:val="2"/>
    <w:qFormat/>
    <w:uiPriority w:val="0"/>
    <w:rPr>
      <w:rFonts w:ascii="Cambria" w:hAnsi="Cambria" w:eastAsia="宋体" w:cs="Times New Roman"/>
      <w:b/>
      <w:bCs/>
      <w:sz w:val="32"/>
      <w:szCs w:val="32"/>
    </w:rPr>
  </w:style>
  <w:style w:type="character" w:customStyle="1" w:styleId="18">
    <w:name w:val="正文文本 Char"/>
    <w:basedOn w:val="11"/>
    <w:link w:val="3"/>
    <w:qFormat/>
    <w:uiPriority w:val="0"/>
    <w:rPr>
      <w:rFonts w:ascii="Times New Roman" w:hAnsi="Times New Roman" w:eastAsia="文星仿宋" w:cs="Times New Roman"/>
      <w:sz w:val="32"/>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747</Words>
  <Characters>4263</Characters>
  <Lines>35</Lines>
  <Paragraphs>9</Paragraphs>
  <TotalTime>3</TotalTime>
  <ScaleCrop>false</ScaleCrop>
  <LinksUpToDate>false</LinksUpToDate>
  <CharactersWithSpaces>5001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2020-05-14T14:53:00Z</dcterms:created>
  <dc:creator>陈胜军</dc:creator>
  <cp:lastModifiedBy>tjrd</cp:lastModifiedBy>
  <cp:lastPrinted>2020-05-11T13:16:00Z</cp:lastPrinted>
  <dcterms:modified xsi:type="dcterms:W3CDTF">2020-06-15T07:23:26Z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