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Theme="minorEastAsia" w:hAnsiTheme="minorEastAsia" w:eastAsiaTheme="minorEastAsia" w:cstheme="minorEastAsia"/>
          <w:color w:val="auto"/>
          <w:sz w:val="32"/>
          <w:szCs w:val="32"/>
        </w:rPr>
      </w:pPr>
    </w:p>
    <w:p>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sz w:val="32"/>
          <w:szCs w:val="32"/>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jc w:val="center"/>
        <w:textAlignment w:val="auto"/>
        <w:rPr>
          <w:rFonts w:hint="eastAsia" w:ascii="宋体" w:hAnsi="宋体" w:eastAsia="宋体" w:cs="宋体"/>
          <w:color w:val="333333"/>
          <w:spacing w:val="-9"/>
          <w:w w:val="102"/>
          <w:kern w:val="0"/>
          <w:sz w:val="44"/>
          <w:szCs w:val="44"/>
          <w:lang w:eastAsia="zh-CN"/>
        </w:rPr>
      </w:pPr>
      <w:r>
        <w:rPr>
          <w:rFonts w:hint="eastAsia" w:ascii="宋体" w:hAnsi="宋体" w:eastAsia="宋体" w:cs="宋体"/>
          <w:color w:val="333333"/>
          <w:spacing w:val="-9"/>
          <w:w w:val="102"/>
          <w:kern w:val="0"/>
          <w:sz w:val="44"/>
          <w:szCs w:val="44"/>
        </w:rPr>
        <w:t>宁夏回族自治区乡镇人民代表大会工作条例</w:t>
      </w:r>
    </w:p>
    <w:p>
      <w:pPr>
        <w:pStyle w:val="4"/>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Theme="minorEastAsia" w:hAnsiTheme="minorEastAsia" w:eastAsiaTheme="minorEastAsia" w:cstheme="minorEastAsia"/>
          <w:color w:val="auto"/>
          <w:lang w:eastAsia="zh-CN"/>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exact"/>
        <w:ind w:left="630" w:leftChars="300" w:right="630" w:rightChars="300" w:firstLine="0" w:firstLineChars="0"/>
        <w:textAlignment w:val="auto"/>
        <w:rPr>
          <w:rFonts w:hint="eastAsia" w:ascii="楷体_GB2312" w:hAnsi="楷体_GB2312" w:eastAsia="楷体_GB2312" w:cs="楷体_GB2312"/>
          <w:color w:val="auto"/>
          <w:w w:val="102"/>
          <w:kern w:val="0"/>
          <w:sz w:val="32"/>
          <w:szCs w:val="32"/>
        </w:rPr>
      </w:pPr>
      <w:r>
        <w:rPr>
          <w:rFonts w:hint="eastAsia" w:ascii="楷体_GB2312" w:hAnsi="楷体_GB2312" w:eastAsia="楷体_GB2312" w:cs="楷体_GB2312"/>
          <w:color w:val="auto"/>
          <w:w w:val="102"/>
          <w:kern w:val="0"/>
          <w:sz w:val="32"/>
          <w:szCs w:val="32"/>
        </w:rPr>
        <w:t>(1990年12月28日</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回族自治区第六届人民代表大会常务委员会第十六次会议通过  根据1995年8月16日</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回族自治区第七届人民代表大会常务委员会第十四次会议《关于修改＜</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回族自治区乡镇人民代表大会工作暂行条例＞的决定》修正  根据2005年5月20日</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回族自治区第九届人民代表大会常务委员会第十六次会议《关于修改＜</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回族自治区乡镇人民代表大会工作条例＞的决定》第二次修正  根据2007年3月29日</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回族自治区第九届人民代表大会常务委员会第二十七次会议《关于修改＜</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回族自治区乡镇人民代表大会工作条例＞的决定》第三次修正  根据2016年5月27日</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回族自治区第十一届人民代表大会常务委员会第二十四次会议《关于修改＜</w:t>
      </w:r>
      <w:r>
        <w:rPr>
          <w:rFonts w:hint="eastAsia" w:ascii="楷体_GB2312" w:hAnsi="楷体_GB2312" w:eastAsia="楷体_GB2312" w:cs="楷体_GB2312"/>
          <w:color w:val="auto"/>
          <w:w w:val="102"/>
          <w:kern w:val="0"/>
          <w:sz w:val="32"/>
          <w:szCs w:val="32"/>
        </w:rPr>
        <w:fldChar w:fldCharType="begin"/>
      </w:r>
      <w:r>
        <w:rPr>
          <w:rFonts w:hint="eastAsia" w:ascii="楷体_GB2312" w:hAnsi="楷体_GB2312" w:eastAsia="楷体_GB2312" w:cs="楷体_GB2312"/>
          <w:color w:val="auto"/>
          <w:w w:val="102"/>
          <w:kern w:val="0"/>
          <w:sz w:val="32"/>
          <w:szCs w:val="32"/>
        </w:rPr>
        <w:instrText xml:space="preserve">HYPERLINK "http://nx.110.com/"</w:instrText>
      </w:r>
      <w:r>
        <w:rPr>
          <w:rFonts w:hint="eastAsia" w:ascii="楷体_GB2312" w:hAnsi="楷体_GB2312" w:eastAsia="楷体_GB2312" w:cs="楷体_GB2312"/>
          <w:color w:val="auto"/>
          <w:w w:val="102"/>
          <w:kern w:val="0"/>
          <w:sz w:val="32"/>
          <w:szCs w:val="32"/>
        </w:rPr>
        <w:fldChar w:fldCharType="separate"/>
      </w:r>
      <w:r>
        <w:rPr>
          <w:rFonts w:hint="eastAsia" w:ascii="楷体_GB2312" w:hAnsi="楷体_GB2312" w:eastAsia="楷体_GB2312" w:cs="楷体_GB2312"/>
          <w:color w:val="auto"/>
          <w:w w:val="102"/>
          <w:kern w:val="0"/>
          <w:sz w:val="32"/>
          <w:szCs w:val="32"/>
        </w:rPr>
        <w:t>宁夏</w:t>
      </w:r>
      <w:r>
        <w:rPr>
          <w:rFonts w:hint="eastAsia" w:ascii="楷体_GB2312" w:hAnsi="楷体_GB2312" w:eastAsia="楷体_GB2312" w:cs="楷体_GB2312"/>
          <w:color w:val="auto"/>
          <w:w w:val="102"/>
          <w:kern w:val="0"/>
          <w:sz w:val="32"/>
          <w:szCs w:val="32"/>
        </w:rPr>
        <w:fldChar w:fldCharType="end"/>
      </w:r>
      <w:r>
        <w:rPr>
          <w:rFonts w:hint="eastAsia" w:ascii="楷体_GB2312" w:hAnsi="楷体_GB2312" w:eastAsia="楷体_GB2312" w:cs="楷体_GB2312"/>
          <w:color w:val="auto"/>
          <w:w w:val="102"/>
          <w:kern w:val="0"/>
          <w:sz w:val="32"/>
          <w:szCs w:val="32"/>
        </w:rPr>
        <w:t>回族自治区乡镇人民代表大会工作条例＞的决定》第四次修正</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2022年7月29日</w:t>
      </w:r>
      <w:r>
        <w:rPr>
          <w:rFonts w:hint="eastAsia" w:ascii="楷体_GB2312" w:hAnsi="楷体_GB2312" w:eastAsia="楷体_GB2312" w:cs="楷体_GB2312"/>
          <w:sz w:val="32"/>
          <w:szCs w:val="32"/>
        </w:rPr>
        <w:t>宁夏回族自治区第</w:t>
      </w:r>
      <w:r>
        <w:rPr>
          <w:rFonts w:hint="eastAsia" w:ascii="楷体_GB2312" w:hAnsi="楷体_GB2312" w:eastAsia="楷体_GB2312" w:cs="楷体_GB2312"/>
          <w:sz w:val="32"/>
          <w:szCs w:val="32"/>
          <w:lang w:eastAsia="zh-CN"/>
        </w:rPr>
        <w:t>十二</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三十六</w:t>
      </w:r>
      <w:r>
        <w:rPr>
          <w:rFonts w:hint="eastAsia" w:ascii="楷体_GB2312" w:hAnsi="楷体_GB2312" w:eastAsia="楷体_GB2312" w:cs="楷体_GB2312"/>
          <w:sz w:val="32"/>
          <w:szCs w:val="32"/>
        </w:rPr>
        <w:t>次会议《关于修改&lt;宁夏回族自治区人民代表大会常务委员会议事规则&gt;等三件地方性法规的决定》</w:t>
      </w:r>
      <w:r>
        <w:rPr>
          <w:rFonts w:hint="eastAsia" w:ascii="楷体_GB2312" w:hAnsi="楷体_GB2312" w:eastAsia="楷体_GB2312" w:cs="楷体_GB2312"/>
          <w:sz w:val="32"/>
          <w:szCs w:val="32"/>
          <w:lang w:eastAsia="zh-CN"/>
        </w:rPr>
        <w:t>第五次修正</w:t>
      </w:r>
      <w:r>
        <w:rPr>
          <w:rFonts w:hint="eastAsia" w:ascii="楷体_GB2312" w:hAnsi="楷体_GB2312" w:eastAsia="楷体_GB2312" w:cs="楷体_GB2312"/>
          <w:color w:val="auto"/>
          <w:w w:val="102"/>
          <w:kern w:val="0"/>
          <w:sz w:val="32"/>
          <w:szCs w:val="32"/>
        </w:rPr>
        <w:t>)</w:t>
      </w:r>
    </w:p>
    <w:p>
      <w:pPr>
        <w:shd w:val="clear" w:color="auto" w:fill="FFFFFF"/>
        <w:adjustRightInd w:val="0"/>
        <w:snapToGrid w:val="0"/>
        <w:spacing w:line="580" w:lineRule="exact"/>
        <w:ind w:left="636" w:leftChars="303" w:right="863" w:rightChars="411" w:firstLine="652" w:firstLineChars="200"/>
        <w:jc w:val="left"/>
        <w:rPr>
          <w:rFonts w:hint="eastAsia" w:ascii="楷体_GB2312" w:hAnsi="楷体_GB2312" w:eastAsia="楷体_GB2312" w:cs="楷体_GB2312"/>
          <w:color w:val="333333"/>
          <w:w w:val="102"/>
          <w:kern w:val="0"/>
          <w:sz w:val="32"/>
          <w:szCs w:val="32"/>
        </w:rPr>
      </w:pPr>
    </w:p>
    <w:p>
      <w:pPr>
        <w:shd w:val="clear" w:color="auto" w:fill="FFFFFF"/>
        <w:adjustRightInd w:val="0"/>
        <w:snapToGrid w:val="0"/>
        <w:spacing w:line="580" w:lineRule="exact"/>
        <w:ind w:left="24" w:right="863" w:rightChars="411" w:hanging="26" w:hangingChars="8"/>
        <w:jc w:val="center"/>
        <w:rPr>
          <w:rFonts w:hint="eastAsia" w:ascii="楷体_GB2312" w:hAnsi="楷体_GB2312" w:eastAsia="楷体_GB2312" w:cs="楷体_GB2312"/>
          <w:color w:val="auto"/>
          <w:w w:val="102"/>
          <w:kern w:val="0"/>
          <w:sz w:val="32"/>
          <w:szCs w:val="32"/>
        </w:rPr>
      </w:pPr>
      <w:r>
        <w:rPr>
          <w:rFonts w:hint="eastAsia" w:ascii="楷体_GB2312" w:hAnsi="楷体_GB2312" w:eastAsia="楷体_GB2312" w:cs="楷体_GB2312"/>
          <w:color w:val="auto"/>
          <w:w w:val="102"/>
          <w:kern w:val="0"/>
          <w:sz w:val="32"/>
          <w:szCs w:val="32"/>
        </w:rPr>
        <w:t xml:space="preserve">    目</w:t>
      </w:r>
      <w:r>
        <w:rPr>
          <w:rFonts w:hint="eastAsia" w:ascii="楷体_GB2312" w:hAnsi="楷体_GB2312" w:eastAsia="楷体_GB2312" w:cs="楷体_GB2312"/>
          <w:color w:val="auto"/>
          <w:w w:val="102"/>
          <w:kern w:val="0"/>
          <w:sz w:val="32"/>
          <w:szCs w:val="32"/>
          <w:lang w:val="en-US" w:eastAsia="zh-CN"/>
        </w:rPr>
        <w:t xml:space="preserve">  </w:t>
      </w:r>
      <w:r>
        <w:rPr>
          <w:rFonts w:hint="eastAsia" w:ascii="楷体_GB2312" w:hAnsi="楷体_GB2312" w:eastAsia="楷体_GB2312" w:cs="楷体_GB2312"/>
          <w:color w:val="auto"/>
          <w:w w:val="102"/>
          <w:kern w:val="0"/>
          <w:sz w:val="32"/>
          <w:szCs w:val="32"/>
        </w:rPr>
        <w:t>录</w:t>
      </w:r>
    </w:p>
    <w:p>
      <w:pPr>
        <w:shd w:val="clear" w:color="auto" w:fill="FFFFFF"/>
        <w:adjustRightInd w:val="0"/>
        <w:snapToGrid w:val="0"/>
        <w:spacing w:line="580" w:lineRule="exact"/>
        <w:ind w:left="630" w:leftChars="300" w:right="863" w:rightChars="411" w:firstLine="7"/>
        <w:jc w:val="left"/>
        <w:rPr>
          <w:rFonts w:hint="eastAsia" w:ascii="楷体_GB2312" w:hAnsi="楷体_GB2312" w:eastAsia="楷体_GB2312" w:cs="楷体_GB2312"/>
          <w:color w:val="auto"/>
          <w:w w:val="102"/>
          <w:kern w:val="0"/>
          <w:sz w:val="32"/>
          <w:szCs w:val="32"/>
        </w:rPr>
      </w:pPr>
      <w:r>
        <w:rPr>
          <w:rFonts w:hint="eastAsia" w:ascii="楷体_GB2312" w:hAnsi="楷体_GB2312" w:eastAsia="楷体_GB2312" w:cs="楷体_GB2312"/>
          <w:color w:val="auto"/>
          <w:w w:val="102"/>
          <w:kern w:val="0"/>
          <w:sz w:val="32"/>
          <w:szCs w:val="32"/>
        </w:rPr>
        <w:t>第一章</w:t>
      </w:r>
      <w:r>
        <w:rPr>
          <w:rFonts w:hint="eastAsia" w:ascii="楷体_GB2312" w:hAnsi="楷体_GB2312" w:eastAsia="楷体_GB2312" w:cs="楷体_GB2312"/>
          <w:color w:val="auto"/>
          <w:w w:val="102"/>
          <w:kern w:val="0"/>
          <w:sz w:val="32"/>
          <w:szCs w:val="32"/>
          <w:lang w:val="en-US" w:eastAsia="zh-CN"/>
        </w:rPr>
        <w:t xml:space="preserve">  </w:t>
      </w:r>
      <w:r>
        <w:rPr>
          <w:rFonts w:hint="eastAsia" w:ascii="楷体_GB2312" w:hAnsi="楷体_GB2312" w:eastAsia="楷体_GB2312" w:cs="楷体_GB2312"/>
          <w:color w:val="auto"/>
          <w:w w:val="102"/>
          <w:kern w:val="0"/>
          <w:sz w:val="32"/>
          <w:szCs w:val="32"/>
        </w:rPr>
        <w:t>总则</w:t>
      </w:r>
    </w:p>
    <w:p>
      <w:pPr>
        <w:shd w:val="clear" w:color="auto" w:fill="FFFFFF"/>
        <w:adjustRightInd w:val="0"/>
        <w:snapToGrid w:val="0"/>
        <w:spacing w:line="580" w:lineRule="exact"/>
        <w:ind w:left="630" w:leftChars="300" w:right="863" w:rightChars="411" w:firstLine="7"/>
        <w:rPr>
          <w:rFonts w:hint="eastAsia" w:ascii="楷体_GB2312" w:hAnsi="楷体_GB2312" w:eastAsia="楷体_GB2312" w:cs="楷体_GB2312"/>
          <w:color w:val="auto"/>
          <w:w w:val="102"/>
          <w:kern w:val="0"/>
          <w:sz w:val="32"/>
          <w:szCs w:val="32"/>
        </w:rPr>
      </w:pPr>
      <w:r>
        <w:rPr>
          <w:rFonts w:hint="eastAsia" w:ascii="楷体_GB2312" w:hAnsi="楷体_GB2312" w:eastAsia="楷体_GB2312" w:cs="楷体_GB2312"/>
          <w:color w:val="auto"/>
          <w:w w:val="102"/>
          <w:kern w:val="0"/>
          <w:sz w:val="32"/>
          <w:szCs w:val="32"/>
        </w:rPr>
        <w:t>第二章</w:t>
      </w:r>
      <w:r>
        <w:rPr>
          <w:rFonts w:hint="eastAsia" w:ascii="楷体_GB2312" w:hAnsi="楷体_GB2312" w:eastAsia="楷体_GB2312" w:cs="楷体_GB2312"/>
          <w:color w:val="auto"/>
          <w:w w:val="102"/>
          <w:kern w:val="0"/>
          <w:sz w:val="32"/>
          <w:szCs w:val="32"/>
          <w:lang w:val="en-US" w:eastAsia="zh-CN"/>
        </w:rPr>
        <w:t xml:space="preserve">  </w:t>
      </w:r>
      <w:r>
        <w:rPr>
          <w:rFonts w:hint="eastAsia" w:ascii="楷体_GB2312" w:hAnsi="楷体_GB2312" w:eastAsia="楷体_GB2312" w:cs="楷体_GB2312"/>
          <w:color w:val="auto"/>
          <w:w w:val="102"/>
          <w:kern w:val="0"/>
          <w:sz w:val="32"/>
          <w:szCs w:val="32"/>
        </w:rPr>
        <w:t>乡、镇人民代表大会</w:t>
      </w:r>
    </w:p>
    <w:p>
      <w:pPr>
        <w:shd w:val="clear" w:color="auto" w:fill="FFFFFF"/>
        <w:adjustRightInd w:val="0"/>
        <w:snapToGrid w:val="0"/>
        <w:spacing w:line="580" w:lineRule="exact"/>
        <w:ind w:left="630" w:leftChars="300" w:firstLine="7"/>
        <w:jc w:val="left"/>
        <w:outlineLvl w:val="1"/>
        <w:rPr>
          <w:rFonts w:hint="eastAsia" w:ascii="楷体_GB2312" w:hAnsi="楷体_GB2312" w:eastAsia="楷体_GB2312" w:cs="楷体_GB2312"/>
          <w:color w:val="auto"/>
          <w:spacing w:val="-12"/>
          <w:w w:val="102"/>
          <w:kern w:val="0"/>
          <w:sz w:val="32"/>
          <w:szCs w:val="32"/>
        </w:rPr>
      </w:pPr>
      <w:r>
        <w:rPr>
          <w:rFonts w:hint="eastAsia" w:ascii="楷体_GB2312" w:hAnsi="楷体_GB2312" w:eastAsia="楷体_GB2312" w:cs="楷体_GB2312"/>
          <w:color w:val="auto"/>
          <w:spacing w:val="-12"/>
          <w:w w:val="102"/>
          <w:kern w:val="0"/>
          <w:sz w:val="32"/>
          <w:szCs w:val="32"/>
        </w:rPr>
        <w:t>第三章</w:t>
      </w:r>
      <w:r>
        <w:rPr>
          <w:rFonts w:hint="eastAsia" w:ascii="楷体_GB2312" w:hAnsi="楷体_GB2312" w:eastAsia="楷体_GB2312" w:cs="楷体_GB2312"/>
          <w:color w:val="auto"/>
          <w:spacing w:val="-12"/>
          <w:w w:val="102"/>
          <w:kern w:val="0"/>
          <w:sz w:val="32"/>
          <w:szCs w:val="32"/>
          <w:lang w:val="en-US" w:eastAsia="zh-CN"/>
        </w:rPr>
        <w:t xml:space="preserve">   </w:t>
      </w:r>
      <w:r>
        <w:rPr>
          <w:rFonts w:hint="eastAsia" w:ascii="楷体_GB2312" w:hAnsi="楷体_GB2312" w:eastAsia="楷体_GB2312" w:cs="楷体_GB2312"/>
          <w:color w:val="auto"/>
          <w:spacing w:val="-23"/>
          <w:w w:val="102"/>
          <w:kern w:val="0"/>
          <w:sz w:val="32"/>
          <w:szCs w:val="32"/>
        </w:rPr>
        <w:t>乡、镇人民代表大会主席团和乡、镇人民代表大会主席</w:t>
      </w:r>
    </w:p>
    <w:p>
      <w:pPr>
        <w:shd w:val="clear" w:color="auto" w:fill="FFFFFF"/>
        <w:adjustRightInd w:val="0"/>
        <w:snapToGrid w:val="0"/>
        <w:spacing w:line="580" w:lineRule="exact"/>
        <w:ind w:left="630" w:leftChars="300" w:firstLine="7"/>
        <w:jc w:val="left"/>
        <w:outlineLvl w:val="1"/>
        <w:rPr>
          <w:rFonts w:hint="eastAsia" w:ascii="楷体_GB2312" w:hAnsi="楷体_GB2312" w:eastAsia="楷体_GB2312" w:cs="楷体_GB2312"/>
          <w:color w:val="auto"/>
          <w:spacing w:val="0"/>
          <w:w w:val="102"/>
          <w:kern w:val="0"/>
          <w:sz w:val="32"/>
          <w:szCs w:val="32"/>
        </w:rPr>
      </w:pPr>
      <w:r>
        <w:rPr>
          <w:rFonts w:hint="eastAsia" w:ascii="楷体_GB2312" w:hAnsi="楷体_GB2312" w:eastAsia="楷体_GB2312" w:cs="楷体_GB2312"/>
          <w:color w:val="auto"/>
          <w:spacing w:val="0"/>
          <w:w w:val="102"/>
          <w:kern w:val="0"/>
          <w:sz w:val="32"/>
          <w:szCs w:val="32"/>
        </w:rPr>
        <w:t>第四章  乡、镇人民代表大会代表</w:t>
      </w:r>
    </w:p>
    <w:p>
      <w:pPr>
        <w:shd w:val="clear" w:color="auto" w:fill="FFFFFF"/>
        <w:adjustRightInd w:val="0"/>
        <w:snapToGrid w:val="0"/>
        <w:spacing w:line="580" w:lineRule="exact"/>
        <w:ind w:left="630" w:leftChars="300" w:firstLine="7"/>
        <w:jc w:val="left"/>
        <w:outlineLvl w:val="1"/>
        <w:rPr>
          <w:rFonts w:hint="eastAsia" w:ascii="楷体_GB2312" w:hAnsi="楷体_GB2312" w:eastAsia="楷体_GB2312" w:cs="楷体_GB2312"/>
          <w:color w:val="auto"/>
          <w:spacing w:val="0"/>
          <w:w w:val="102"/>
          <w:kern w:val="0"/>
          <w:sz w:val="32"/>
          <w:szCs w:val="32"/>
          <w:lang w:eastAsia="zh-CN"/>
        </w:rPr>
      </w:pPr>
      <w:r>
        <w:rPr>
          <w:rFonts w:hint="eastAsia" w:ascii="楷体_GB2312" w:hAnsi="楷体_GB2312" w:eastAsia="楷体_GB2312" w:cs="楷体_GB2312"/>
          <w:color w:val="auto"/>
          <w:spacing w:val="0"/>
          <w:w w:val="102"/>
          <w:kern w:val="0"/>
          <w:sz w:val="32"/>
          <w:szCs w:val="32"/>
        </w:rPr>
        <w:t>第五章  乡、镇人民代表大会代表</w:t>
      </w:r>
      <w:r>
        <w:rPr>
          <w:rFonts w:hint="eastAsia" w:ascii="楷体_GB2312" w:hAnsi="楷体_GB2312" w:eastAsia="楷体_GB2312" w:cs="楷体_GB2312"/>
          <w:color w:val="auto"/>
          <w:spacing w:val="0"/>
          <w:w w:val="102"/>
          <w:kern w:val="0"/>
          <w:sz w:val="32"/>
          <w:szCs w:val="32"/>
          <w:lang w:eastAsia="zh-CN"/>
        </w:rPr>
        <w:t>资格审查委员会</w:t>
      </w:r>
    </w:p>
    <w:p>
      <w:pPr>
        <w:shd w:val="clear" w:color="auto" w:fill="FFFFFF"/>
        <w:adjustRightInd w:val="0"/>
        <w:snapToGrid w:val="0"/>
        <w:spacing w:line="580" w:lineRule="exact"/>
        <w:ind w:left="630" w:leftChars="300" w:firstLine="7"/>
        <w:jc w:val="left"/>
        <w:outlineLvl w:val="1"/>
        <w:rPr>
          <w:rFonts w:hint="eastAsia" w:ascii="楷体_GB2312" w:hAnsi="楷体_GB2312" w:eastAsia="楷体_GB2312" w:cs="楷体_GB2312"/>
          <w:color w:val="auto"/>
          <w:w w:val="102"/>
          <w:kern w:val="0"/>
          <w:sz w:val="32"/>
          <w:szCs w:val="32"/>
        </w:rPr>
      </w:pPr>
      <w:r>
        <w:rPr>
          <w:rFonts w:hint="eastAsia" w:ascii="楷体_GB2312" w:hAnsi="楷体_GB2312" w:eastAsia="楷体_GB2312" w:cs="楷体_GB2312"/>
          <w:color w:val="auto"/>
          <w:w w:val="102"/>
          <w:kern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12" w:leftChars="6" w:firstLine="652" w:firstLineChars="200"/>
        <w:jc w:val="center"/>
        <w:textAlignment w:val="auto"/>
        <w:rPr>
          <w:rFonts w:hint="eastAsia" w:ascii="仿宋_GB2312" w:hAnsi="仿宋_GB2312" w:eastAsia="仿宋_GB2312" w:cs="Arial"/>
          <w:color w:val="333333"/>
          <w:w w:val="102"/>
          <w:kern w:val="0"/>
          <w:sz w:val="32"/>
          <w:szCs w:val="32"/>
        </w:rPr>
      </w:pP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第一章  总则</w:t>
      </w: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第一条</w:t>
      </w:r>
      <w:r>
        <w:rPr>
          <w:rFonts w:hint="eastAsia" w:ascii="仿宋_GB2312" w:hAnsi="仿宋_GB2312" w:eastAsia="仿宋_GB2312" w:cs="仿宋_GB2312"/>
          <w:color w:val="auto"/>
          <w:sz w:val="32"/>
          <w:szCs w:val="32"/>
          <w:lang w:val="en-US" w:eastAsia="zh-CN"/>
        </w:rPr>
        <w:t>　为完善人民代表大会制度，加强乡、镇人民代表大会的工作，根据《中华人民共和国地方各级人民代表大会和地方各级人民政府组织法》(以下简称《地方组织法》)，结合本自治区的实际，制定本条例。</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第二条</w:t>
      </w:r>
      <w:r>
        <w:rPr>
          <w:rFonts w:hint="eastAsia" w:ascii="仿宋_GB2312" w:hAnsi="仿宋_GB2312" w:eastAsia="仿宋_GB2312" w:cs="仿宋_GB2312"/>
          <w:color w:val="auto"/>
          <w:sz w:val="32"/>
          <w:szCs w:val="32"/>
          <w:lang w:val="en-US" w:eastAsia="zh-CN"/>
        </w:rPr>
        <w:t xml:space="preserve">  乡、镇人民代表大会是基层地方国家权力机关，坚持中国共产党的领导，坚持以马克思列宁主义、毛泽东思想、邓小平理论、“三个代表”重要思想、科学发展观、习近平新时代中国特色社会主义思想为指导，依照宪法、有关法律法规行使职权。</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第三条</w:t>
      </w:r>
      <w:r>
        <w:rPr>
          <w:rFonts w:hint="eastAsia" w:ascii="仿宋_GB2312" w:hAnsi="仿宋_GB2312" w:eastAsia="仿宋_GB2312" w:cs="仿宋_GB2312"/>
          <w:color w:val="auto"/>
          <w:sz w:val="32"/>
          <w:szCs w:val="32"/>
          <w:lang w:val="en-US" w:eastAsia="zh-CN"/>
        </w:rPr>
        <w:t xml:space="preserve">　乡、镇人民代表大会坚持以人民为中心，坚持和发展全过程人民民主，始终同人民保持密切联系，倾听人民的意见和建议，为人民服务，对人民负责，受人民监督。 </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第四条</w:t>
      </w:r>
      <w:r>
        <w:rPr>
          <w:rFonts w:hint="eastAsia" w:ascii="仿宋_GB2312" w:hAnsi="仿宋_GB2312" w:eastAsia="仿宋_GB2312" w:cs="仿宋_GB2312"/>
          <w:color w:val="auto"/>
          <w:sz w:val="32"/>
          <w:szCs w:val="32"/>
          <w:lang w:val="en-US" w:eastAsia="zh-CN"/>
        </w:rPr>
        <w:t>　乡、镇人民代表大会主席团，依照《地方组织法》和本条例开展工作。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乡镇人民代表大会设主席，并可以设副主席一人至二人。主席、副主席由本级人民代表大会从代表中选出，任期同本级人民代表大会每届任期相同。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乡、镇人民代表大会主席、副主席为主席团成员。</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第五条</w:t>
      </w:r>
      <w:r>
        <w:rPr>
          <w:rFonts w:hint="eastAsia" w:ascii="仿宋_GB2312" w:hAnsi="仿宋_GB2312" w:eastAsia="仿宋_GB2312" w:cs="仿宋_GB2312"/>
          <w:color w:val="auto"/>
          <w:sz w:val="32"/>
          <w:szCs w:val="32"/>
          <w:lang w:val="en-US" w:eastAsia="zh-CN"/>
        </w:rPr>
        <w:t xml:space="preserve">  乡、镇人民代表大会及其主席团应当维护社会主义法治统一，保证国家政令畅通，保证宪法、法律和法规在本行政区域的实施。</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12" w:leftChars="6" w:firstLine="652" w:firstLineChars="200"/>
        <w:jc w:val="center"/>
        <w:textAlignment w:val="auto"/>
        <w:rPr>
          <w:rFonts w:hint="eastAsia" w:ascii="仿宋_GB2312" w:hAnsi="仿宋_GB2312" w:eastAsia="仿宋_GB2312" w:cs="Arial"/>
          <w:color w:val="333333"/>
          <w:w w:val="102"/>
          <w:kern w:val="0"/>
          <w:sz w:val="32"/>
          <w:szCs w:val="32"/>
          <w:lang w:val="en-US" w:eastAsia="zh-CN"/>
        </w:rPr>
      </w:pP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12" w:leftChars="6" w:firstLine="652" w:firstLineChars="200"/>
        <w:jc w:val="center"/>
        <w:textAlignment w:val="auto"/>
        <w:rPr>
          <w:rFonts w:hint="eastAsia" w:ascii="黑体" w:hAnsi="黑体" w:eastAsia="黑体" w:cs="黑体"/>
          <w:color w:val="333333"/>
          <w:w w:val="102"/>
          <w:kern w:val="0"/>
          <w:sz w:val="32"/>
          <w:szCs w:val="32"/>
          <w:lang w:val="en-US" w:eastAsia="zh-CN"/>
        </w:rPr>
      </w:pPr>
      <w:r>
        <w:rPr>
          <w:rFonts w:hint="eastAsia" w:ascii="黑体" w:hAnsi="黑体" w:eastAsia="黑体" w:cs="黑体"/>
          <w:color w:val="333333"/>
          <w:w w:val="102"/>
          <w:kern w:val="0"/>
          <w:sz w:val="32"/>
          <w:szCs w:val="32"/>
          <w:lang w:val="en-US" w:eastAsia="zh-CN"/>
        </w:rPr>
        <w:t>第二章  乡、镇人民代表大会</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12" w:leftChars="6" w:firstLine="652" w:firstLineChars="200"/>
        <w:jc w:val="center"/>
        <w:textAlignment w:val="auto"/>
        <w:rPr>
          <w:rFonts w:hint="eastAsia" w:ascii="仿宋_GB2312" w:hAnsi="仿宋_GB2312" w:eastAsia="仿宋_GB2312" w:cs="Arial"/>
          <w:color w:val="333333"/>
          <w:w w:val="102"/>
          <w:kern w:val="0"/>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第六条</w:t>
      </w:r>
      <w:r>
        <w:rPr>
          <w:rFonts w:hint="eastAsia" w:ascii="仿宋_GB2312" w:hAnsi="仿宋_GB2312" w:eastAsia="仿宋_GB2312" w:cs="仿宋_GB2312"/>
          <w:color w:val="auto"/>
          <w:sz w:val="32"/>
          <w:szCs w:val="32"/>
          <w:lang w:val="en-US" w:eastAsia="zh-CN"/>
        </w:rPr>
        <w:t>　乡、镇人民代表大会每届任期五年。</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第七条</w:t>
      </w:r>
      <w:r>
        <w:rPr>
          <w:rFonts w:hint="eastAsia" w:ascii="仿宋_GB2312" w:hAnsi="仿宋_GB2312" w:eastAsia="仿宋_GB2312" w:cs="仿宋_GB2312"/>
          <w:color w:val="auto"/>
          <w:sz w:val="32"/>
          <w:szCs w:val="32"/>
          <w:lang w:val="en-US" w:eastAsia="zh-CN"/>
        </w:rPr>
        <w:t>　乡、镇人民代表大会行使下列职权：</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（一）在本行政区域内，保证宪法、法律、法规、规章和上级人民代表大会及其常务委员会决议、决定的遵守和执行；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(二)在职权范围内通过和发布决议；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(三)审查、决定本行政区域内的社会和经济发展计划和项目；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(四)审查和批准本行政区域内的预算和预算执行情况的报告，监督本级预算的执行，审查和批准本级预算的调整方案，审查和批准本级决算；</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(五)选举本级人民代表大会主席、副主席；</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(六)选举乡长、副乡长，镇长、副镇长；</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(七)听取和审议本级人民代表大会主席团的工作报告；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(八)听取和审议乡、镇人民政府的工作报告；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(九)撤销乡、镇人民政府的不适当的决定和命令；</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(十)保护社会主义的全民所有的财产和劳动群众集体所有的财产，保护公民私人所有的合法财产，维护社会秩序，保障公民的人身权利、民主权利和其他权利；</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(十一)保护各种经济组织的合法权益；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(十二)铸牢中华民族共同体意识，促进各民族广泛交往交流交融，保障少数民族的合法权利和利益；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(十三)保障宪法和法律赋予妇女的男女平等、同工同酬和婚姻自主等各项权利。</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第八条</w:t>
      </w:r>
      <w:r>
        <w:rPr>
          <w:rFonts w:hint="eastAsia" w:ascii="仿宋_GB2312" w:hAnsi="仿宋_GB2312" w:eastAsia="仿宋_GB2312" w:cs="仿宋_GB2312"/>
          <w:color w:val="auto"/>
          <w:sz w:val="32"/>
          <w:szCs w:val="32"/>
          <w:lang w:val="en-US" w:eastAsia="zh-CN"/>
        </w:rPr>
        <w:t xml:space="preserve">  乡、镇人民代表大会会议一般每年举行两次。会议召开的日期由本级人民代表大会主席团决定，并予以公布。</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遇有特殊情况，乡、镇人民代表大会主席团可以决定适当提前或者推迟召开会议。提前或者推迟召开会议的日期未能在当次会议上决定的，乡、镇人民代表大会主席团可以另行决定，并予以公布。</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乡、镇人民代表大会主席团认为必要，或者经过五分之一以上的代表提议，可以临时召集本级人民代表大会会议。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人民代表大会会议有三分之二以上的代表出席，始得举行。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第九条</w:t>
      </w:r>
      <w:r>
        <w:rPr>
          <w:rFonts w:hint="eastAsia" w:ascii="仿宋_GB2312" w:hAnsi="仿宋_GB2312" w:eastAsia="仿宋_GB2312" w:cs="仿宋_GB2312"/>
          <w:color w:val="auto"/>
          <w:sz w:val="32"/>
          <w:szCs w:val="32"/>
          <w:lang w:val="en-US" w:eastAsia="zh-CN"/>
        </w:rPr>
        <w:t>　乡、镇人民代表大会每届第一次会议，在本届人民代表大会代表选举完成后的两个月内举行。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第十条</w:t>
      </w:r>
      <w:r>
        <w:rPr>
          <w:rFonts w:hint="eastAsia" w:ascii="仿宋_GB2312" w:hAnsi="仿宋_GB2312" w:eastAsia="仿宋_GB2312" w:cs="仿宋_GB2312"/>
          <w:color w:val="auto"/>
          <w:sz w:val="32"/>
          <w:szCs w:val="32"/>
          <w:lang w:val="en-US" w:eastAsia="zh-CN"/>
        </w:rPr>
        <w:t>　乡、镇人民代表大会会议，由主席团召集并主持。每届乡、镇人民代表大会第一次会议，由上届人民代表大会主席团召集。</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第十一条</w:t>
      </w:r>
      <w:r>
        <w:rPr>
          <w:rFonts w:hint="eastAsia" w:ascii="仿宋_GB2312" w:hAnsi="仿宋_GB2312" w:eastAsia="仿宋_GB2312" w:cs="仿宋_GB2312"/>
          <w:color w:val="auto"/>
          <w:sz w:val="32"/>
          <w:szCs w:val="32"/>
          <w:lang w:val="en-US" w:eastAsia="zh-CN"/>
        </w:rPr>
        <w:t>　乡、镇人民代表大会每次会议举行预备会议，由主席团主持，通过本次会议的议程和其他准备事项的决定。</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每届乡镇人民代表大会第一次会议的预备会议，由上届人民代表大会主席团主持。</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乡、镇人民代表大会主席团，由每届人民代表大会第一次会议的预备会议选举产生，对本级人民代表大会负责并报告工作。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第十三条</w:t>
      </w:r>
      <w:r>
        <w:rPr>
          <w:rFonts w:hint="eastAsia" w:ascii="仿宋_GB2312" w:hAnsi="仿宋_GB2312" w:eastAsia="仿宋_GB2312" w:cs="仿宋_GB2312"/>
          <w:color w:val="auto"/>
          <w:sz w:val="32"/>
          <w:szCs w:val="32"/>
          <w:lang w:val="en-US" w:eastAsia="zh-CN"/>
        </w:rPr>
        <w:t>　乡、镇人民代表大会举行会议的时候，不是代表的乡长、副乡长，镇长、副镇长列席会议。其他有关机关、团体负责人，经主席团决定，可以列席会议。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第十四条</w:t>
      </w:r>
      <w:r>
        <w:rPr>
          <w:rFonts w:hint="eastAsia" w:ascii="仿宋_GB2312" w:hAnsi="仿宋_GB2312" w:eastAsia="仿宋_GB2312" w:cs="仿宋_GB2312"/>
          <w:color w:val="auto"/>
          <w:sz w:val="32"/>
          <w:szCs w:val="32"/>
          <w:lang w:val="en-US" w:eastAsia="zh-CN"/>
        </w:rPr>
        <w:t>　乡、镇人民代表大会举行会议的时候，主席团和乡、镇人民政府可以提出属于乡、镇人民代表大会职权范围内的议案，由主席团决定提交大会审议。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乡、镇人民代表大会代表五人以上联名，可以向本级人民代表大会提出属于本级人民代表大会职权范围内的议案，由主席团决定是否列入大会议程。</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向人民代表大会提出的议案，在交付大会表决前，提案人要求撤回的，对该项议案的审议即行终止。</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第十五条</w:t>
      </w:r>
      <w:r>
        <w:rPr>
          <w:rFonts w:hint="eastAsia" w:ascii="仿宋_GB2312" w:hAnsi="仿宋_GB2312" w:eastAsia="仿宋_GB2312" w:cs="仿宋_GB2312"/>
          <w:color w:val="auto"/>
          <w:sz w:val="32"/>
          <w:szCs w:val="32"/>
          <w:lang w:val="en-US" w:eastAsia="zh-CN"/>
        </w:rPr>
        <w:t>　乡、镇人民代表大会代表向代表大会提出的建议、批评和意见，由主席团交有关机关和单位研究办理并负责答复。</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第十六条</w:t>
      </w:r>
      <w:r>
        <w:rPr>
          <w:rFonts w:hint="eastAsia" w:ascii="仿宋_GB2312" w:hAnsi="仿宋_GB2312" w:eastAsia="仿宋_GB2312" w:cs="仿宋_GB2312"/>
          <w:color w:val="auto"/>
          <w:sz w:val="32"/>
          <w:szCs w:val="32"/>
          <w:lang w:val="en-US" w:eastAsia="zh-CN"/>
        </w:rPr>
        <w:t>　乡、镇人民代表大会进行选举和通过决议、决定，以全体代表的过半数通过。</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第十七条</w:t>
      </w:r>
      <w:r>
        <w:rPr>
          <w:rFonts w:hint="eastAsia" w:ascii="仿宋_GB2312" w:hAnsi="仿宋_GB2312" w:eastAsia="仿宋_GB2312" w:cs="仿宋_GB2312"/>
          <w:color w:val="auto"/>
          <w:sz w:val="32"/>
          <w:szCs w:val="32"/>
          <w:lang w:val="en-US" w:eastAsia="zh-CN"/>
        </w:rPr>
        <w:t>　乡、镇人民代表大会主席、副主席，乡长、副乡长，镇长、副镇长的人选，由主席团或者十人以上代表联合提名。主席团提名的候选人人数，每一代表与其他代表联合提名的候选人人数，均不得超过应选名额。</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主席、乡长、镇长的候选人数可以多一人，进行差额选举；如果提名的候选人只有一人，也可以等额选举。乡、镇人民代表大会副主席、副乡长、副镇长的候选人数应比应选人数多一至二人，由本级人民代表大会根据应选人数在选举办法中规定具体差额数，进行差额选举。如果提名的候选人数超过选举办法规定的差额数，由主席团将全部候选人名单提交全体代表酝酿、讨论后，进行预选，根据在预选中得票多少的顺序，按照选举办法规定的差额数，确定正式候选人名单，进行选举。</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选举采用无记名投票方式。代表对于确定的候选人，可以投赞成票，可以投反对票，可以另选其他任何代表或者选民，也可以弃权。</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乡、镇人民代表大会补选本级人民代表大会主席、副主席，乡长、副乡长，镇长、副镇长时，候选人数可以多于应选人数，也可以同应选人数相等。选举办法，由乡、镇人民代表大会决定。</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第十八条</w:t>
      </w:r>
      <w:r>
        <w:rPr>
          <w:rFonts w:hint="eastAsia" w:ascii="仿宋_GB2312" w:hAnsi="仿宋_GB2312" w:eastAsia="仿宋_GB2312" w:cs="仿宋_GB2312"/>
          <w:color w:val="auto"/>
          <w:sz w:val="32"/>
          <w:szCs w:val="32"/>
          <w:lang w:val="en-US" w:eastAsia="zh-CN"/>
        </w:rPr>
        <w:t>　乡、镇人民代表大会举行会议的时候，主席团或者五分之一以上代表联名，可以提出对主席、副主席和主席团其他成员，乡长、副乡长，镇长、副镇长的罢免案，由主席团提请大会审议、决定。</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罢免案应当写明罢免理由。</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被提出罢免的人员有权在主席团会议或者大会全体会议上提出申辩意见，或者书面提出申辩意见。由主席团印发会议。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第十九条</w:t>
      </w:r>
      <w:r>
        <w:rPr>
          <w:rFonts w:hint="eastAsia" w:ascii="仿宋_GB2312" w:hAnsi="仿宋_GB2312" w:eastAsia="仿宋_GB2312" w:cs="仿宋_GB2312"/>
          <w:color w:val="auto"/>
          <w:sz w:val="32"/>
          <w:szCs w:val="32"/>
          <w:lang w:val="en-US" w:eastAsia="zh-CN"/>
        </w:rPr>
        <w:t>　乡、镇人民代表大会举行会议的时候，主席、副主席和主席团其他成员，乡长、副乡长，镇长、副镇长可以向大会提出辞职，由大会决定是否接受辞职。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第二十条</w:t>
      </w:r>
      <w:r>
        <w:rPr>
          <w:rFonts w:hint="eastAsia" w:ascii="仿宋_GB2312" w:hAnsi="仿宋_GB2312" w:eastAsia="仿宋_GB2312" w:cs="仿宋_GB2312"/>
          <w:color w:val="auto"/>
          <w:sz w:val="32"/>
          <w:szCs w:val="32"/>
          <w:lang w:val="en-US" w:eastAsia="zh-CN"/>
        </w:rPr>
        <w:t>　乡、镇人民代表大会举行会议的时候，代表十人以上联名可以书面提出对本级人民政府的质询案，由主席团决定交乡、镇人民政府。乡、镇人民政府必须在会议中答复。</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第二十一条</w:t>
      </w:r>
      <w:r>
        <w:rPr>
          <w:rFonts w:hint="eastAsia" w:ascii="仿宋_GB2312" w:hAnsi="仿宋_GB2312" w:eastAsia="仿宋_GB2312" w:cs="仿宋_GB2312"/>
          <w:color w:val="auto"/>
          <w:sz w:val="32"/>
          <w:szCs w:val="32"/>
          <w:lang w:val="en-US" w:eastAsia="zh-CN"/>
        </w:rPr>
        <w:t>　在乡、镇人民代表大会审议议案的时候，代表可以向乡、镇人民政府提出询问，由乡、镇人民政府派人说明。</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12" w:leftChars="6" w:firstLine="652" w:firstLineChars="200"/>
        <w:jc w:val="center"/>
        <w:textAlignment w:val="auto"/>
        <w:rPr>
          <w:rFonts w:hint="eastAsia" w:ascii="仿宋_GB2312" w:hAnsi="仿宋_GB2312" w:eastAsia="仿宋_GB2312" w:cs="Arial"/>
          <w:color w:val="333333"/>
          <w:w w:val="102"/>
          <w:kern w:val="0"/>
          <w:sz w:val="32"/>
          <w:szCs w:val="32"/>
          <w:lang w:val="en-US" w:eastAsia="zh-CN"/>
        </w:rPr>
      </w:pPr>
      <w:r>
        <w:rPr>
          <w:rFonts w:hint="eastAsia" w:ascii="仿宋_GB2312" w:hAnsi="仿宋_GB2312" w:eastAsia="仿宋_GB2312" w:cs="Arial"/>
          <w:color w:val="333333"/>
          <w:w w:val="102"/>
          <w:kern w:val="0"/>
          <w:sz w:val="32"/>
          <w:szCs w:val="32"/>
          <w:lang w:val="en-US" w:eastAsia="zh-CN"/>
        </w:rPr>
        <w:t xml:space="preserve"> </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jc w:val="center"/>
        <w:textAlignment w:val="auto"/>
        <w:rPr>
          <w:rFonts w:hint="eastAsia" w:ascii="黑体" w:hAnsi="黑体" w:eastAsia="黑体" w:cs="黑体"/>
          <w:color w:val="333333"/>
          <w:spacing w:val="-6"/>
          <w:w w:val="100"/>
          <w:kern w:val="0"/>
          <w:sz w:val="32"/>
          <w:szCs w:val="32"/>
          <w:lang w:val="en-US" w:eastAsia="zh-CN"/>
        </w:rPr>
      </w:pPr>
      <w:r>
        <w:rPr>
          <w:rFonts w:hint="eastAsia" w:ascii="黑体" w:hAnsi="黑体" w:eastAsia="黑体" w:cs="黑体"/>
          <w:color w:val="333333"/>
          <w:w w:val="102"/>
          <w:kern w:val="0"/>
          <w:sz w:val="32"/>
          <w:szCs w:val="32"/>
          <w:lang w:val="en-US" w:eastAsia="zh-CN"/>
        </w:rPr>
        <w:t xml:space="preserve">第三章  </w:t>
      </w:r>
      <w:r>
        <w:rPr>
          <w:rFonts w:hint="eastAsia" w:ascii="黑体" w:hAnsi="黑体" w:eastAsia="黑体" w:cs="黑体"/>
          <w:color w:val="333333"/>
          <w:spacing w:val="-6"/>
          <w:w w:val="100"/>
          <w:kern w:val="0"/>
          <w:sz w:val="32"/>
          <w:szCs w:val="32"/>
          <w:lang w:val="en-US" w:eastAsia="zh-CN"/>
        </w:rPr>
        <w:t>乡、镇人民代表大会主席团和乡、镇人民代表大会主席</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12" w:leftChars="6" w:firstLine="652" w:firstLineChars="200"/>
        <w:jc w:val="center"/>
        <w:textAlignment w:val="auto"/>
        <w:rPr>
          <w:rFonts w:hint="eastAsia" w:ascii="仿宋_GB2312" w:hAnsi="仿宋_GB2312" w:eastAsia="仿宋_GB2312" w:cs="Arial"/>
          <w:color w:val="333333"/>
          <w:w w:val="102"/>
          <w:kern w:val="0"/>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第二十二条</w:t>
      </w:r>
      <w:r>
        <w:rPr>
          <w:rFonts w:hint="eastAsia" w:ascii="仿宋_GB2312" w:hAnsi="仿宋_GB2312" w:eastAsia="仿宋_GB2312" w:cs="仿宋_GB2312"/>
          <w:color w:val="auto"/>
          <w:sz w:val="32"/>
          <w:szCs w:val="32"/>
          <w:lang w:val="en-US" w:eastAsia="zh-CN"/>
        </w:rPr>
        <w:t>　乡、镇人民代表大会主席团由五至九人组成。</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主席团成员的人选，由召集会议的上一届人民代表大会主席团提出，代表大会预备会议通过。</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第二十三条</w:t>
      </w:r>
      <w:r>
        <w:rPr>
          <w:rFonts w:hint="eastAsia" w:ascii="仿宋_GB2312" w:hAnsi="仿宋_GB2312" w:eastAsia="仿宋_GB2312" w:cs="仿宋_GB2312"/>
          <w:color w:val="auto"/>
          <w:sz w:val="32"/>
          <w:szCs w:val="32"/>
          <w:lang w:val="en-US" w:eastAsia="zh-CN"/>
        </w:rPr>
        <w:t>　乡、镇人民代表大会主席、副主席和主席团其他成员不得担任乡、镇人民政府的职务；如果担任上述职务，必须辞去主席、副主席和主席团成员的职务。</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第二十四条</w:t>
      </w:r>
      <w:r>
        <w:rPr>
          <w:rFonts w:hint="eastAsia" w:ascii="仿宋_GB2312" w:hAnsi="仿宋_GB2312" w:eastAsia="仿宋_GB2312" w:cs="仿宋_GB2312"/>
          <w:color w:val="auto"/>
          <w:sz w:val="32"/>
          <w:szCs w:val="32"/>
          <w:lang w:val="en-US" w:eastAsia="zh-CN"/>
        </w:rPr>
        <w:t>　乡、镇人民代表大会主席团的职责是：</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（一）保证宪法、法律、法规、规章和上级人民代表大会及其常务委员会的决议、决定在本行政区域内的遵守和执行，有计划地组织代表对法律、法规实施情况进行检查；</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（二）确定召开本级人民代表大会会议的日期和议程草案，主持人民代表大会会议，召集下一次人民代表大会会议，做好下一届人民代表大会第一次会议的筹备工作；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（三）向本级人民代表大会报告闭会期间的工作；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（四）主持本级人民代表大会会议的选举工作；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（五）监督本级人民代表大会决议、决定的执行情况；</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（六）负责向有关机关和单位转交代表在本级人民代表大会会议期间提出的建议、批评和意见，督促、检查其办理和答复代表的情况；</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（七）向本级人民代表大会报告代表建议、批评和意见的办理情况，并予以公开；</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（八）在本级人民代表大会闭会期间，每年选择若干关系本地区群众切身利益和社会普遍关注的问题，有计划地安排代表听取和讨论本级人民政府的专项工作报告；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（九）联系本级人民代表大会代表，组织代表开展视察、调研等活动，听取、反映代表和群众对本级人民政府工作的建议、批评和意见，交有关机关和组织研究处理；</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（十）在本行政区域内，协助县级人大代表选区和组织、指导本级人大代表选区依法罢免和补选代表；</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（十一）审议代表资格审查委员会对代表资格的审查报告，经审议通过后予以公布；</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（十二）办理本级人民代表大会交付的其他工作。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第二十五条</w:t>
      </w:r>
      <w:r>
        <w:rPr>
          <w:rFonts w:hint="eastAsia" w:ascii="仿宋_GB2312" w:hAnsi="仿宋_GB2312" w:eastAsia="仿宋_GB2312" w:cs="仿宋_GB2312"/>
          <w:color w:val="auto"/>
          <w:sz w:val="32"/>
          <w:szCs w:val="32"/>
          <w:lang w:val="en-US" w:eastAsia="zh-CN"/>
        </w:rPr>
        <w:t>　乡、镇人民代表大会闭会期间，主席团每季度至少召开一次会议。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根据工作需要，主席团可以邀请乡长、副乡长，镇长、副镇长及有关部门、有关代表和有关人员列席主席团会议。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第二十六条</w:t>
      </w:r>
      <w:r>
        <w:rPr>
          <w:rFonts w:hint="eastAsia" w:ascii="仿宋_GB2312" w:hAnsi="仿宋_GB2312" w:eastAsia="仿宋_GB2312" w:cs="仿宋_GB2312"/>
          <w:color w:val="auto"/>
          <w:sz w:val="32"/>
          <w:szCs w:val="32"/>
          <w:lang w:val="en-US" w:eastAsia="zh-CN"/>
        </w:rPr>
        <w:t>　主席团工作中的重大问题须经主席团会议讨论。主席团决定问题以全体成员的过半数通过。</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第二十七条</w:t>
      </w:r>
      <w:r>
        <w:rPr>
          <w:rFonts w:hint="eastAsia" w:ascii="仿宋_GB2312" w:hAnsi="仿宋_GB2312" w:eastAsia="仿宋_GB2312" w:cs="仿宋_GB2312"/>
          <w:color w:val="auto"/>
          <w:sz w:val="32"/>
          <w:szCs w:val="32"/>
          <w:lang w:val="en-US" w:eastAsia="zh-CN"/>
        </w:rPr>
        <w:t>　主席团受上一级人民代表大会常务委员会的委托，联系居住在本行政区域内的上级人民代表大会代表，并办理有关事项。</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第二十八条</w:t>
      </w:r>
      <w:r>
        <w:rPr>
          <w:rFonts w:hint="eastAsia" w:ascii="仿宋_GB2312" w:hAnsi="仿宋_GB2312" w:eastAsia="仿宋_GB2312" w:cs="仿宋_GB2312"/>
          <w:color w:val="auto"/>
          <w:sz w:val="32"/>
          <w:szCs w:val="32"/>
          <w:lang w:val="en-US" w:eastAsia="zh-CN"/>
        </w:rPr>
        <w:t>　主席团支持村（居）民委员会依法开展工作，维护村（居）民的合法权益。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第二十九条</w:t>
      </w:r>
      <w:r>
        <w:rPr>
          <w:rFonts w:hint="eastAsia" w:ascii="仿宋_GB2312" w:hAnsi="仿宋_GB2312" w:eastAsia="仿宋_GB2312" w:cs="仿宋_GB2312"/>
          <w:color w:val="auto"/>
          <w:sz w:val="32"/>
          <w:szCs w:val="32"/>
          <w:lang w:val="en-US" w:eastAsia="zh-CN"/>
        </w:rPr>
        <w:t>　乡、镇人民代表大会主席的职责是：</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(一)负责召集和主持人民代表大会闭会期间的主席团会议；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(二)了解代表开展活动的情况，总结交流代表和代表小组活动的经验；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(三)联系代表和选民，对本行政区域内人民群众切身利益的重大问题进行调查研究，向主席团报告；</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(四)接受代表和群众的来信来访，向主席团或者人民政府及有关部门反映代表和群众的意见和要求；</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(五)应邀列席本级人民政府的有关会议；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(六)根据县级人民代表大会常务委员会主任会议决定，列席县级人民代表大会常务委员会会议；</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(七)检查、督促本级人民政府办理代表提出的议案及建议、批评和意见；</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(八)协调有关部门，做好召开下一次人民代表大会会议的筹备工作；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(九)办理主席团交付的其他事项。</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乡、镇人民代表大会副主席协助主席开展工作。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第三十条</w:t>
      </w:r>
      <w:r>
        <w:rPr>
          <w:rFonts w:hint="eastAsia" w:ascii="仿宋_GB2312" w:hAnsi="仿宋_GB2312" w:eastAsia="仿宋_GB2312" w:cs="仿宋_GB2312"/>
          <w:color w:val="auto"/>
          <w:sz w:val="32"/>
          <w:szCs w:val="32"/>
          <w:lang w:val="en-US" w:eastAsia="zh-CN"/>
        </w:rPr>
        <w:t>　乡、镇人民代表大会主席因故不能担任职务时，由副主席代理，没有副主席的，由主席团在其成员中推选代理人，直到主席能担任职务时或者人民代表大会会议选出新的主席时为止。</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第三十一条</w:t>
      </w:r>
      <w:r>
        <w:rPr>
          <w:rFonts w:hint="eastAsia" w:ascii="仿宋_GB2312" w:hAnsi="仿宋_GB2312" w:eastAsia="仿宋_GB2312" w:cs="仿宋_GB2312"/>
          <w:color w:val="auto"/>
          <w:sz w:val="32"/>
          <w:szCs w:val="32"/>
          <w:lang w:val="en-US" w:eastAsia="zh-CN"/>
        </w:rPr>
        <w:t>　乡、镇人民代表大会主席、副主席和主席团其他成员受本级人民代表大会和代表的监督。</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第三十二条</w:t>
      </w:r>
      <w:r>
        <w:rPr>
          <w:rFonts w:hint="eastAsia" w:ascii="仿宋_GB2312" w:hAnsi="仿宋_GB2312" w:eastAsia="仿宋_GB2312" w:cs="仿宋_GB2312"/>
          <w:color w:val="auto"/>
          <w:sz w:val="32"/>
          <w:szCs w:val="32"/>
          <w:lang w:val="en-US" w:eastAsia="zh-CN"/>
        </w:rPr>
        <w:t>　乡、镇人民代表大会主席、副主席和主席团其他成员可以向本级人民代表大会提出辞职。主席、副主席出缺后，由代表大会补选。主席团其他成员出缺后的补选，由代表大会预备会议决定。</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firstLine="0" w:firstLineChars="0"/>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第四章  乡、镇人民代表大会代表</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第三十三条</w:t>
      </w:r>
      <w:r>
        <w:rPr>
          <w:rFonts w:hint="eastAsia" w:ascii="仿宋_GB2312" w:hAnsi="仿宋_GB2312" w:eastAsia="仿宋_GB2312" w:cs="仿宋_GB2312"/>
          <w:color w:val="auto"/>
          <w:sz w:val="32"/>
          <w:szCs w:val="32"/>
          <w:lang w:val="en-US" w:eastAsia="zh-CN"/>
        </w:rPr>
        <w:t>　乡、镇人民代表大会代表依法由选民直接选举。</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第三十四条</w:t>
      </w:r>
      <w:r>
        <w:rPr>
          <w:rFonts w:hint="eastAsia" w:ascii="仿宋_GB2312" w:hAnsi="仿宋_GB2312" w:eastAsia="仿宋_GB2312" w:cs="仿宋_GB2312"/>
          <w:color w:val="auto"/>
          <w:sz w:val="32"/>
          <w:szCs w:val="32"/>
          <w:lang w:val="en-US" w:eastAsia="zh-CN"/>
        </w:rPr>
        <w:t>　乡、镇人民代表大会代表任期，从每届本级人民代表大会举行第一次会议开始，到下届本级人民代表大会举行第一次会议为止。</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第三十五条</w:t>
      </w:r>
      <w:r>
        <w:rPr>
          <w:rFonts w:hint="eastAsia" w:ascii="仿宋_GB2312" w:hAnsi="仿宋_GB2312" w:eastAsia="仿宋_GB2312" w:cs="仿宋_GB2312"/>
          <w:color w:val="auto"/>
          <w:sz w:val="32"/>
          <w:szCs w:val="32"/>
          <w:lang w:val="en-US" w:eastAsia="zh-CN"/>
        </w:rPr>
        <w:t>　乡、镇人民代表大会代表，在人民代表大会会议上的发言和表决，不受法律追究。</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第三十六条</w:t>
      </w:r>
      <w:r>
        <w:rPr>
          <w:rFonts w:hint="eastAsia" w:ascii="仿宋_GB2312" w:hAnsi="仿宋_GB2312" w:eastAsia="仿宋_GB2312" w:cs="仿宋_GB2312"/>
          <w:color w:val="auto"/>
          <w:sz w:val="32"/>
          <w:szCs w:val="32"/>
          <w:lang w:val="en-US" w:eastAsia="zh-CN"/>
        </w:rPr>
        <w:t>　乡、镇人民代表大会代表，如果被逮捕、受刑事审判、或者被采取法律规定的其他限制人身自由的措施，执行机关应当立即报告乡、镇人民代表大会。在乡、镇人民代表大会闭会期间，向乡、镇人民代表大会主席团报告，乡、镇人民代表大会主席团报人民代表大会备案。</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第三十七条</w:t>
      </w:r>
      <w:r>
        <w:rPr>
          <w:rFonts w:hint="eastAsia" w:ascii="仿宋_GB2312" w:hAnsi="仿宋_GB2312" w:eastAsia="仿宋_GB2312" w:cs="仿宋_GB2312"/>
          <w:color w:val="auto"/>
          <w:sz w:val="32"/>
          <w:szCs w:val="32"/>
          <w:lang w:val="en-US" w:eastAsia="zh-CN"/>
        </w:rPr>
        <w:t>　乡、镇人民代表大会代表应当与原选区人民群众保持密切联系，听取和反映群众的意见和要求，向原选区选民报告履职情况，充分发挥在发展全过程人民民主中的作用。</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第三十八条</w:t>
      </w:r>
      <w:r>
        <w:rPr>
          <w:rFonts w:hint="eastAsia" w:ascii="仿宋_GB2312" w:hAnsi="仿宋_GB2312" w:eastAsia="仿宋_GB2312" w:cs="仿宋_GB2312"/>
          <w:color w:val="auto"/>
          <w:sz w:val="32"/>
          <w:szCs w:val="32"/>
          <w:lang w:val="en-US" w:eastAsia="zh-CN"/>
        </w:rPr>
        <w:t>　乡、镇人民代表大会代表分工联系选民，有代表三人以上的村(居)民委员会或者生产单位可以组织代表小组；代表不足三人的，可以联合编组。代表小组由代表推选组长一人，负责组织代表的学习和开展工作。</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第三十九条</w:t>
      </w:r>
      <w:r>
        <w:rPr>
          <w:rFonts w:hint="eastAsia" w:ascii="仿宋_GB2312" w:hAnsi="仿宋_GB2312" w:eastAsia="仿宋_GB2312" w:cs="仿宋_GB2312"/>
          <w:color w:val="auto"/>
          <w:sz w:val="32"/>
          <w:szCs w:val="32"/>
          <w:lang w:val="en-US" w:eastAsia="zh-CN"/>
        </w:rPr>
        <w:t>　乡、镇人民代表大会代表受选民监督。选民有权罢免自己选出的代表。代表的罢免必须以原选区选民的过半数通过。</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第四十条</w:t>
      </w:r>
      <w:r>
        <w:rPr>
          <w:rFonts w:hint="eastAsia" w:ascii="仿宋_GB2312" w:hAnsi="仿宋_GB2312" w:eastAsia="仿宋_GB2312" w:cs="仿宋_GB2312"/>
          <w:color w:val="auto"/>
          <w:sz w:val="32"/>
          <w:szCs w:val="32"/>
          <w:lang w:val="en-US" w:eastAsia="zh-CN"/>
        </w:rPr>
        <w:t>　乡、镇的人民代表大会代表出缺时，由原选区补选。</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第五章  乡、镇人民代表大会代表资格审查委员会</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第四十一条</w:t>
      </w:r>
      <w:r>
        <w:rPr>
          <w:rFonts w:hint="eastAsia" w:ascii="仿宋_GB2312" w:hAnsi="仿宋_GB2312" w:eastAsia="仿宋_GB2312" w:cs="仿宋_GB2312"/>
          <w:color w:val="auto"/>
          <w:sz w:val="32"/>
          <w:szCs w:val="32"/>
          <w:lang w:val="en-US" w:eastAsia="zh-CN"/>
        </w:rPr>
        <w:t>　乡、镇人民代表大会设立代表资格审查委员会。</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代表资格审查委员会由主任委员一人、副主任委员一人、委员若干人组成，由主席团在本届人民代表大会代表中提名，经人民代表大会第一次会议通过，行使职权至本届人民代表大会任期届满为止。</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第四十二条</w:t>
      </w:r>
      <w:r>
        <w:rPr>
          <w:rFonts w:hint="eastAsia" w:ascii="仿宋_GB2312" w:hAnsi="仿宋_GB2312" w:eastAsia="仿宋_GB2312" w:cs="仿宋_GB2312"/>
          <w:color w:val="auto"/>
          <w:sz w:val="32"/>
          <w:szCs w:val="32"/>
          <w:lang w:val="en-US" w:eastAsia="zh-CN"/>
        </w:rPr>
        <w:t>　代表资格审查委员会负责对补选的本届人民代表大会代表和当选的下届人民代表大会代表的资格进行审查。</w:t>
      </w:r>
    </w:p>
    <w:p>
      <w:pPr>
        <w:shd w:val="clear" w:color="auto" w:fill="FFFFFF"/>
        <w:adjustRightInd w:val="0"/>
        <w:snapToGrid w:val="0"/>
        <w:spacing w:line="580" w:lineRule="exact"/>
        <w:ind w:left="12" w:leftChars="6" w:firstLine="652" w:firstLineChars="200"/>
        <w:jc w:val="left"/>
        <w:rPr>
          <w:rFonts w:hint="eastAsia" w:ascii="仿宋_GB2312" w:hAnsi="仿宋_GB2312" w:eastAsia="仿宋_GB2312" w:cs="Arial"/>
          <w:color w:val="auto"/>
          <w:w w:val="102"/>
          <w:kern w:val="0"/>
          <w:sz w:val="32"/>
          <w:szCs w:val="32"/>
        </w:rPr>
      </w:pPr>
      <w:r>
        <w:rPr>
          <w:rFonts w:hint="eastAsia" w:ascii="仿宋_GB2312" w:hAnsi="仿宋_GB2312" w:eastAsia="仿宋_GB2312" w:cs="Arial"/>
          <w:color w:val="auto"/>
          <w:w w:val="102"/>
          <w:kern w:val="0"/>
          <w:sz w:val="32"/>
          <w:szCs w:val="32"/>
        </w:rPr>
        <w:t>代表资格审查委员会对代表资格的审查，主要是审查当选代表是否符合宪法、法律规定的代表的基本条件，选举是否符合法律规定的程序，以及是否存在破坏选举和其他当选无效的违法行为，提出代表当选是否有效的意见。</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第四十三条</w:t>
      </w:r>
      <w:r>
        <w:rPr>
          <w:rFonts w:hint="eastAsia" w:ascii="仿宋_GB2312" w:hAnsi="仿宋_GB2312" w:eastAsia="仿宋_GB2312" w:cs="仿宋_GB2312"/>
          <w:color w:val="auto"/>
          <w:sz w:val="32"/>
          <w:szCs w:val="32"/>
          <w:lang w:val="en-US" w:eastAsia="zh-CN"/>
        </w:rPr>
        <w:t>　代表资格审查委员会将代表资格审查的结果，报告本级人民代表大会主席团。</w:t>
      </w: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val="en-US" w:eastAsia="zh-CN"/>
        </w:rPr>
        <w:t>第六章　附则</w:t>
      </w:r>
    </w:p>
    <w:p>
      <w:pPr>
        <w:pStyle w:val="3"/>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仿宋_GB2312" w:hAnsi="仿宋_GB2312" w:eastAsia="仿宋_GB2312" w:cs="仿宋_GB2312"/>
          <w:color w:val="auto"/>
          <w:sz w:val="32"/>
          <w:szCs w:val="32"/>
          <w:lang w:val="en-US" w:eastAsia="zh-CN"/>
        </w:rPr>
      </w:pP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第四十四条</w:t>
      </w:r>
      <w:r>
        <w:rPr>
          <w:rFonts w:hint="eastAsia" w:ascii="仿宋_GB2312" w:hAnsi="仿宋_GB2312" w:eastAsia="仿宋_GB2312" w:cs="仿宋_GB2312"/>
          <w:color w:val="auto"/>
          <w:sz w:val="32"/>
          <w:szCs w:val="32"/>
          <w:lang w:val="en-US" w:eastAsia="zh-CN"/>
        </w:rPr>
        <w:t>　乡、镇人民代表大会主席团的行政经费，代表活动经费，列入本级财政预算。没有建立乡一级财政的，列入上一级财政预算。</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第四十五条</w:t>
      </w:r>
      <w:r>
        <w:rPr>
          <w:rFonts w:hint="eastAsia" w:ascii="仿宋_GB2312" w:hAnsi="仿宋_GB2312" w:eastAsia="仿宋_GB2312" w:cs="仿宋_GB2312"/>
          <w:color w:val="auto"/>
          <w:sz w:val="32"/>
          <w:szCs w:val="32"/>
          <w:lang w:val="en-US" w:eastAsia="zh-CN"/>
        </w:rPr>
        <w:t>　建立代表履职补贴制度，对无固定收入的代表执行代表职务，由财政给予补贴。</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r>
        <w:rPr>
          <w:rFonts w:hint="eastAsia" w:ascii="黑体" w:hAnsi="黑体" w:eastAsia="黑体" w:cs="黑体"/>
          <w:color w:val="auto"/>
          <w:sz w:val="32"/>
          <w:szCs w:val="32"/>
          <w:lang w:val="en-US" w:eastAsia="zh-CN"/>
        </w:rPr>
        <w:t>第四十六条</w:t>
      </w:r>
      <w:r>
        <w:rPr>
          <w:rFonts w:hint="eastAsia" w:ascii="仿宋_GB2312" w:hAnsi="仿宋_GB2312" w:eastAsia="仿宋_GB2312" w:cs="仿宋_GB2312"/>
          <w:color w:val="auto"/>
          <w:sz w:val="32"/>
          <w:szCs w:val="32"/>
          <w:lang w:val="en-US" w:eastAsia="zh-CN"/>
        </w:rPr>
        <w:t>　本条例自公布之日起施行。</w:t>
      </w:r>
    </w:p>
    <w:p>
      <w:pPr>
        <w:pStyle w:val="3"/>
        <w:keepNext w:val="0"/>
        <w:keepLines w:val="0"/>
        <w:pageBreakBefore w:val="0"/>
        <w:widowControl w:val="0"/>
        <w:kinsoku/>
        <w:wordWrap/>
        <w:overflowPunct/>
        <w:topLinePunct w:val="0"/>
        <w:autoSpaceDE/>
        <w:autoSpaceDN/>
        <w:bidi w:val="0"/>
        <w:adjustRightInd/>
        <w:snapToGrid w:val="0"/>
        <w:spacing w:line="620" w:lineRule="exact"/>
        <w:textAlignment w:val="auto"/>
        <w:rPr>
          <w:rFonts w:hint="eastAsia" w:ascii="仿宋_GB2312" w:hAnsi="仿宋_GB2312" w:eastAsia="仿宋_GB2312" w:cs="仿宋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exact"/>
        <w:ind w:right="0" w:rightChars="0"/>
        <w:jc w:val="both"/>
        <w:textAlignment w:val="auto"/>
        <w:outlineLvl w:val="9"/>
        <w:rPr>
          <w:rFonts w:hint="eastAsia" w:ascii="仿宋_GB2312" w:hAnsi="仿宋_GB2312" w:eastAsia="仿宋_GB2312" w:cs="仿宋_GB2312"/>
          <w:color w:val="auto"/>
          <w:sz w:val="32"/>
          <w:szCs w:val="32"/>
          <w:lang w:val="en-US" w:eastAsia="zh-CN"/>
        </w:rPr>
      </w:pPr>
      <w:bookmarkStart w:id="0" w:name="_GoBack"/>
      <w:bookmarkEnd w:id="0"/>
    </w:p>
    <w:sectPr>
      <w:footerReference r:id="rId3" w:type="default"/>
      <w:pgSz w:w="11906" w:h="16838"/>
      <w:pgMar w:top="1984" w:right="1587" w:bottom="1474" w:left="1587" w:header="851" w:footer="1247"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PMingLiU">
    <w:altName w:val="Droid Sans Fallback"/>
    <w:panose1 w:val="02020500000000000000"/>
    <w:charset w:val="88"/>
    <w:family w:val="decorative"/>
    <w:pitch w:val="default"/>
    <w:sig w:usb0="00000000" w:usb1="00000000" w:usb2="00000016" w:usb3="00000000" w:csb0="00100001" w:csb1="00000000"/>
  </w:font>
  <w:font w:name="楷体_GB2312">
    <w:altName w:val="楷体"/>
    <w:panose1 w:val="02010609030101010101"/>
    <w:charset w:val="00"/>
    <w:family w:val="roma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anchorCtr="false" upright="false">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M6pebnPAAAABQEAAA8AAAAAAAAAAQAg&#10;AAAAOAAAAGRycy9kb3ducmV2LnhtbFBLAQIUABQAAAAIAIdO4kBdSIr0yAEAAHsDAAAOAAAAAAAA&#10;AAEAIAAAADQBAABkcnMvZTJvRG9jLnhtbFBLBQYAAAAABgAGAFkBAABuBQAAAAA=&#10;">
              <v:fill on="f" focussize="0,0"/>
              <v:stroke on="f"/>
              <v:imagedata o:title=""/>
              <o:lock v:ext="edit" aspectratio="f"/>
              <v:textbox inset="0mm,0mm,0mm,0mm" style="mso-fit-shape-to-text:t;">
                <w:txbxContent>
                  <w:p>
                    <w:pPr>
                      <w:pStyle w:val="9"/>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2ZmU1MmE0MDZlOTJlYzEzNzk1ZTc2MWQwODdmOWQifQ=="/>
  </w:docVars>
  <w:rsids>
    <w:rsidRoot w:val="00000000"/>
    <w:rsid w:val="077E2697"/>
    <w:rsid w:val="0EF1F000"/>
    <w:rsid w:val="0F7B9965"/>
    <w:rsid w:val="15C92229"/>
    <w:rsid w:val="1D770871"/>
    <w:rsid w:val="1E3B9767"/>
    <w:rsid w:val="1F737D5E"/>
    <w:rsid w:val="1FFF5B04"/>
    <w:rsid w:val="1FFF7C0C"/>
    <w:rsid w:val="21EF33A3"/>
    <w:rsid w:val="2A7D236E"/>
    <w:rsid w:val="2FBBC987"/>
    <w:rsid w:val="39FFD5F7"/>
    <w:rsid w:val="3BFDA0B9"/>
    <w:rsid w:val="3EAB0813"/>
    <w:rsid w:val="3EEF1312"/>
    <w:rsid w:val="3FBE1282"/>
    <w:rsid w:val="3FBE4390"/>
    <w:rsid w:val="3FDD5542"/>
    <w:rsid w:val="3FFFE38A"/>
    <w:rsid w:val="47FF23D7"/>
    <w:rsid w:val="4C682604"/>
    <w:rsid w:val="4FA77F1C"/>
    <w:rsid w:val="4FB3AE9F"/>
    <w:rsid w:val="51FFB55B"/>
    <w:rsid w:val="53FF390F"/>
    <w:rsid w:val="547F73F9"/>
    <w:rsid w:val="57FFCAEA"/>
    <w:rsid w:val="58DF2A02"/>
    <w:rsid w:val="58F3687A"/>
    <w:rsid w:val="59D210B7"/>
    <w:rsid w:val="5DDF854D"/>
    <w:rsid w:val="5F7A3738"/>
    <w:rsid w:val="5FBFD29B"/>
    <w:rsid w:val="67FE77BE"/>
    <w:rsid w:val="6BFBB4C2"/>
    <w:rsid w:val="6DFB4BF6"/>
    <w:rsid w:val="6EFB340F"/>
    <w:rsid w:val="6EFF50DC"/>
    <w:rsid w:val="6F6BE641"/>
    <w:rsid w:val="6F6F7A25"/>
    <w:rsid w:val="6F9C59D0"/>
    <w:rsid w:val="6FFEB2BF"/>
    <w:rsid w:val="755D9235"/>
    <w:rsid w:val="759B6BE7"/>
    <w:rsid w:val="75A60A86"/>
    <w:rsid w:val="75CF7F87"/>
    <w:rsid w:val="75D3C335"/>
    <w:rsid w:val="75EA1D9D"/>
    <w:rsid w:val="75F35879"/>
    <w:rsid w:val="76FADCB4"/>
    <w:rsid w:val="76FF9204"/>
    <w:rsid w:val="777B9863"/>
    <w:rsid w:val="77EE977F"/>
    <w:rsid w:val="799B27EF"/>
    <w:rsid w:val="7AF74DAB"/>
    <w:rsid w:val="7AF75D66"/>
    <w:rsid w:val="7AFE2BF6"/>
    <w:rsid w:val="7BFB667B"/>
    <w:rsid w:val="7BFF39F4"/>
    <w:rsid w:val="7C968539"/>
    <w:rsid w:val="7CD6A6C7"/>
    <w:rsid w:val="7CE974E9"/>
    <w:rsid w:val="7D3FC1EF"/>
    <w:rsid w:val="7D7F123D"/>
    <w:rsid w:val="7DB619F1"/>
    <w:rsid w:val="7DD9FA8E"/>
    <w:rsid w:val="7DFB1EA7"/>
    <w:rsid w:val="7DFC0F5A"/>
    <w:rsid w:val="7F5DC451"/>
    <w:rsid w:val="7F7F0E6B"/>
    <w:rsid w:val="7F9548AF"/>
    <w:rsid w:val="7FDE5444"/>
    <w:rsid w:val="7FDF51BB"/>
    <w:rsid w:val="7FFB28C1"/>
    <w:rsid w:val="7FFD46DF"/>
    <w:rsid w:val="7FFEB69E"/>
    <w:rsid w:val="7FFFA73D"/>
    <w:rsid w:val="7FFFC05B"/>
    <w:rsid w:val="7FFFF451"/>
    <w:rsid w:val="8CEFB3DC"/>
    <w:rsid w:val="9785E002"/>
    <w:rsid w:val="9F7EF1F3"/>
    <w:rsid w:val="ABD1182F"/>
    <w:rsid w:val="B33E7F4E"/>
    <w:rsid w:val="BD5CA375"/>
    <w:rsid w:val="BE4F700B"/>
    <w:rsid w:val="BEBE1AC9"/>
    <w:rsid w:val="BF7F0530"/>
    <w:rsid w:val="BFFD6551"/>
    <w:rsid w:val="BFFF6173"/>
    <w:rsid w:val="CCF15D29"/>
    <w:rsid w:val="D2AF8FC2"/>
    <w:rsid w:val="D3D316FA"/>
    <w:rsid w:val="D3DFC916"/>
    <w:rsid w:val="D7BE6068"/>
    <w:rsid w:val="D7F6C883"/>
    <w:rsid w:val="D7FF26C5"/>
    <w:rsid w:val="DB751311"/>
    <w:rsid w:val="DBF7D2CA"/>
    <w:rsid w:val="DDBD42F0"/>
    <w:rsid w:val="DDFF973A"/>
    <w:rsid w:val="DFB9CB12"/>
    <w:rsid w:val="DFFBD885"/>
    <w:rsid w:val="E66FEA36"/>
    <w:rsid w:val="E6EF85DE"/>
    <w:rsid w:val="E7DF9F8A"/>
    <w:rsid w:val="EB9A623C"/>
    <w:rsid w:val="EBFF66EA"/>
    <w:rsid w:val="F1EF823C"/>
    <w:rsid w:val="F3EEB017"/>
    <w:rsid w:val="F7DA039B"/>
    <w:rsid w:val="F7E6CB94"/>
    <w:rsid w:val="F7E714C5"/>
    <w:rsid w:val="F7F3B404"/>
    <w:rsid w:val="F7FFF7C3"/>
    <w:rsid w:val="F8FDA429"/>
    <w:rsid w:val="F99FB40C"/>
    <w:rsid w:val="F9F7311C"/>
    <w:rsid w:val="FBB99286"/>
    <w:rsid w:val="FBF3C3AC"/>
    <w:rsid w:val="FBF9275E"/>
    <w:rsid w:val="FBFFDC85"/>
    <w:rsid w:val="FCB7001A"/>
    <w:rsid w:val="FCED11D7"/>
    <w:rsid w:val="FCF50257"/>
    <w:rsid w:val="FCFBFC9A"/>
    <w:rsid w:val="FCFF31C3"/>
    <w:rsid w:val="FDEC15F3"/>
    <w:rsid w:val="FE66985E"/>
    <w:rsid w:val="FEF9CC97"/>
    <w:rsid w:val="FEFFDC65"/>
    <w:rsid w:val="FEFFEC70"/>
    <w:rsid w:val="FF3B1F84"/>
    <w:rsid w:val="FF3D5E47"/>
    <w:rsid w:val="FF5DF026"/>
    <w:rsid w:val="FF7A6A33"/>
    <w:rsid w:val="FF7D86A0"/>
    <w:rsid w:val="FFD22535"/>
    <w:rsid w:val="FFD7FD9A"/>
    <w:rsid w:val="FFEB2BBA"/>
    <w:rsid w:val="FFF97C3E"/>
    <w:rsid w:val="FFFDF73C"/>
    <w:rsid w:val="FFFE3DC2"/>
    <w:rsid w:val="FFFF7F3B"/>
    <w:rsid w:val="FFFF87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2"/>
    </w:rPr>
  </w:style>
  <w:style w:type="paragraph" w:styleId="3">
    <w:name w:val="Normal Indent"/>
    <w:basedOn w:val="1"/>
    <w:next w:val="1"/>
    <w:qFormat/>
    <w:uiPriority w:val="0"/>
    <w:pPr>
      <w:ind w:firstLine="200" w:firstLineChars="200"/>
    </w:pPr>
    <w:rPr>
      <w:rFonts w:ascii="Times New Roman" w:hAnsi="Times New Roman"/>
    </w:rPr>
  </w:style>
  <w:style w:type="paragraph" w:styleId="4">
    <w:name w:val="Body Text"/>
    <w:basedOn w:val="1"/>
    <w:next w:val="5"/>
    <w:qFormat/>
    <w:uiPriority w:val="0"/>
    <w:pPr>
      <w:jc w:val="center"/>
    </w:pPr>
    <w:rPr>
      <w:rFonts w:ascii="Calibri" w:hAnsi="Calibri" w:eastAsia="宋体" w:cs="Times New Roman"/>
      <w:sz w:val="32"/>
    </w:rPr>
  </w:style>
  <w:style w:type="paragraph" w:styleId="5">
    <w:name w:val="Body Text First Indent"/>
    <w:basedOn w:val="4"/>
    <w:next w:val="6"/>
    <w:qFormat/>
    <w:uiPriority w:val="0"/>
    <w:pPr>
      <w:ind w:firstLine="420" w:firstLineChars="100"/>
    </w:pPr>
  </w:style>
  <w:style w:type="paragraph" w:styleId="6">
    <w:name w:val="Body Text First Indent 2"/>
    <w:basedOn w:val="7"/>
    <w:next w:val="5"/>
    <w:qFormat/>
    <w:uiPriority w:val="0"/>
    <w:pPr>
      <w:spacing w:after="120"/>
      <w:ind w:leftChars="200" w:firstLine="420" w:firstLineChars="200"/>
    </w:pPr>
    <w:rPr>
      <w:rFonts w:ascii="Times New Roman" w:eastAsia="宋体"/>
      <w:sz w:val="21"/>
    </w:rPr>
  </w:style>
  <w:style w:type="paragraph" w:styleId="7">
    <w:name w:val="Body Text Indent"/>
    <w:basedOn w:val="1"/>
    <w:next w:val="8"/>
    <w:qFormat/>
    <w:uiPriority w:val="0"/>
    <w:pPr>
      <w:ind w:left="420"/>
    </w:pPr>
    <w:rPr>
      <w:rFonts w:ascii="仿宋_GB2312" w:hAnsi="Calibri" w:eastAsia="仿宋_GB2312" w:cs="Times New Roman"/>
      <w:sz w:val="32"/>
    </w:rPr>
  </w:style>
  <w:style w:type="paragraph" w:styleId="8">
    <w:name w:val="footnote text"/>
    <w:qFormat/>
    <w:uiPriority w:val="0"/>
    <w:pPr>
      <w:widowControl w:val="0"/>
    </w:pPr>
    <w:rPr>
      <w:rFonts w:ascii="Times New Roman" w:hAnsi="Times New Roman" w:eastAsia="PMingLiU" w:cs="Arial"/>
      <w:color w:val="000000"/>
      <w:kern w:val="2"/>
      <w:sz w:val="18"/>
      <w:szCs w:val="24"/>
      <w:lang w:val="en-US" w:eastAsia="zh-CN" w:bidi="ar-SA"/>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4">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161</Words>
  <Characters>169</Characters>
  <Lines>0</Lines>
  <Paragraphs>0</Paragraphs>
  <TotalTime>12</TotalTime>
  <ScaleCrop>false</ScaleCrop>
  <LinksUpToDate>false</LinksUpToDate>
  <CharactersWithSpaces>212</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2014-11-06T20:08:00Z</dcterms:created>
  <dc:creator>Administrator</dc:creator>
  <cp:lastModifiedBy>蘑菇汤和栗子</cp:lastModifiedBy>
  <cp:lastPrinted>2022-08-04T01:21:00Z</cp:lastPrinted>
  <dcterms:modified xsi:type="dcterms:W3CDTF">2022-08-05T17:51:59Z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4BE416F0E66E4EBFA3E6CE076DBF401E</vt:lpwstr>
  </property>
</Properties>
</file>