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880" w:firstLineChars="20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sz w:val="44"/>
          <w:szCs w:val="44"/>
        </w:rPr>
      </w:pPr>
      <w:r>
        <w:rPr>
          <w:rFonts w:hint="eastAsia" w:ascii="宋体" w:hAnsi="宋体" w:eastAsia="宋体" w:cs="宋体"/>
          <w:spacing w:val="0"/>
          <w:w w:val="100"/>
          <w:sz w:val="44"/>
          <w:szCs w:val="44"/>
          <w:lang w:eastAsia="zh-CN"/>
        </w:rPr>
        <w:t>宁夏回族</w:t>
      </w:r>
      <w:r>
        <w:rPr>
          <w:rFonts w:hint="eastAsia" w:ascii="宋体" w:hAnsi="宋体" w:eastAsia="宋体" w:cs="宋体"/>
          <w:spacing w:val="0"/>
          <w:w w:val="100"/>
          <w:sz w:val="44"/>
          <w:szCs w:val="44"/>
        </w:rPr>
        <w:t>自治区人民代表大会常务委员会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880" w:firstLineChars="20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spacing w:val="0"/>
          <w:w w:val="100"/>
          <w:sz w:val="44"/>
          <w:szCs w:val="44"/>
        </w:rPr>
        <w:t>关于修改《</w:t>
      </w:r>
      <w:r>
        <w:rPr>
          <w:rFonts w:hint="eastAsia" w:ascii="宋体" w:hAnsi="宋体" w:eastAsia="宋体" w:cs="宋体"/>
          <w:spacing w:val="0"/>
          <w:w w:val="100"/>
          <w:sz w:val="44"/>
          <w:szCs w:val="44"/>
          <w:lang w:eastAsia="zh-CN"/>
        </w:rPr>
        <w:t>宁夏回族自治区城市绿化管理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240" w:lineRule="auto"/>
        <w:ind w:left="0" w:leftChars="0" w:right="0" w:rightChars="0" w:firstLine="880" w:firstLineChars="200"/>
        <w:jc w:val="center"/>
        <w:textAlignment w:val="auto"/>
        <w:outlineLvl w:val="9"/>
        <w:rPr>
          <w:rFonts w:hint="eastAsia" w:ascii="宋体" w:hAnsi="宋体" w:eastAsia="宋体" w:cs="宋体"/>
          <w:spacing w:val="0"/>
          <w:w w:val="100"/>
          <w:sz w:val="44"/>
          <w:szCs w:val="44"/>
        </w:rPr>
      </w:pPr>
      <w:r>
        <w:rPr>
          <w:rFonts w:hint="eastAsia" w:ascii="宋体" w:hAnsi="宋体" w:eastAsia="宋体" w:cs="宋体"/>
          <w:spacing w:val="0"/>
          <w:w w:val="100"/>
          <w:sz w:val="44"/>
          <w:szCs w:val="44"/>
        </w:rPr>
        <w:t>条例》等</w:t>
      </w:r>
      <w:r>
        <w:rPr>
          <w:rFonts w:hint="eastAsia" w:ascii="宋体" w:hAnsi="宋体" w:eastAsia="宋体" w:cs="宋体"/>
          <w:spacing w:val="0"/>
          <w:w w:val="100"/>
          <w:sz w:val="44"/>
          <w:szCs w:val="44"/>
          <w:lang w:val="en-US" w:eastAsia="zh-CN"/>
        </w:rPr>
        <w:t>四</w:t>
      </w:r>
      <w:r>
        <w:rPr>
          <w:rFonts w:hint="eastAsia" w:ascii="宋体" w:hAnsi="宋体" w:eastAsia="宋体" w:cs="宋体"/>
          <w:spacing w:val="0"/>
          <w:w w:val="100"/>
          <w:sz w:val="44"/>
          <w:szCs w:val="44"/>
        </w:rPr>
        <w:t>件地方性法规的决定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楷体_GB2312" w:eastAsia="楷体_GB2312"/>
          <w:bCs/>
          <w:spacing w:val="0"/>
          <w:w w:val="100"/>
          <w:sz w:val="32"/>
          <w:szCs w:val="32"/>
        </w:rPr>
      </w:pP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eastAsia="zh-CN"/>
        </w:rPr>
        <w:t>（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20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val="en-US" w:eastAsia="zh-CN"/>
        </w:rPr>
        <w:t>21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年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val="en-US" w:eastAsia="zh-CN"/>
        </w:rPr>
        <w:t>7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月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val="en-US" w:eastAsia="zh-CN"/>
        </w:rPr>
        <w:t>30日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eastAsia="zh-CN"/>
        </w:rPr>
        <w:t>宁夏回族自治区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第十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eastAsia="zh-CN"/>
        </w:rPr>
        <w:t>二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560" w:lineRule="exact"/>
        <w:ind w:left="0" w:leftChars="0" w:right="0" w:rightChars="0" w:firstLine="640" w:firstLineChars="200"/>
        <w:jc w:val="center"/>
        <w:textAlignment w:val="auto"/>
        <w:outlineLvl w:val="9"/>
        <w:rPr>
          <w:rFonts w:hint="eastAsia" w:ascii="楷体_GB2312" w:eastAsia="楷体_GB2312"/>
          <w:bCs/>
          <w:spacing w:val="0"/>
          <w:w w:val="100"/>
          <w:sz w:val="32"/>
          <w:szCs w:val="32"/>
          <w:lang w:eastAsia="zh-CN"/>
        </w:rPr>
      </w:pP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val="en-US" w:eastAsia="zh-CN"/>
        </w:rPr>
        <w:t xml:space="preserve">  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人民代表大会常务委员会第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eastAsia="zh-CN"/>
        </w:rPr>
        <w:t>二十八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</w:rPr>
        <w:t>次会议通过</w:t>
      </w:r>
      <w:r>
        <w:rPr>
          <w:rFonts w:hint="eastAsia" w:ascii="楷体_GB2312" w:eastAsia="楷体_GB2312"/>
          <w:bCs/>
          <w:spacing w:val="0"/>
          <w:w w:val="100"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pacing w:val="0"/>
          <w:w w:val="100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eastAsia="仿宋_GB2312"/>
          <w:bCs/>
          <w:color w:val="auto"/>
          <w:spacing w:val="0"/>
          <w:w w:val="100"/>
          <w:sz w:val="32"/>
          <w:szCs w:val="32"/>
        </w:rPr>
      </w:pPr>
      <w:r>
        <w:rPr>
          <w:rFonts w:hint="eastAsia" w:ascii="仿宋_GB2312" w:hAnsi="黑体" w:eastAsia="仿宋_GB2312"/>
          <w:color w:val="auto"/>
          <w:spacing w:val="0"/>
          <w:w w:val="100"/>
          <w:sz w:val="32"/>
          <w:szCs w:val="32"/>
          <w:lang w:eastAsia="zh-CN"/>
        </w:rPr>
        <w:t>宁夏回族自治区</w:t>
      </w:r>
      <w:r>
        <w:rPr>
          <w:rFonts w:hint="eastAsia" w:ascii="仿宋_GB2312" w:hAnsi="黑体" w:eastAsia="仿宋_GB2312"/>
          <w:color w:val="auto"/>
          <w:spacing w:val="0"/>
          <w:w w:val="100"/>
          <w:sz w:val="32"/>
          <w:szCs w:val="32"/>
        </w:rPr>
        <w:t>第十</w:t>
      </w:r>
      <w:r>
        <w:rPr>
          <w:rFonts w:hint="eastAsia" w:ascii="仿宋_GB2312" w:hAnsi="黑体" w:eastAsia="仿宋_GB2312"/>
          <w:color w:val="auto"/>
          <w:spacing w:val="0"/>
          <w:w w:val="100"/>
          <w:sz w:val="32"/>
          <w:szCs w:val="32"/>
          <w:lang w:eastAsia="zh-CN"/>
        </w:rPr>
        <w:t>二</w:t>
      </w:r>
      <w:r>
        <w:rPr>
          <w:rFonts w:hint="eastAsia" w:ascii="仿宋_GB2312" w:hAnsi="黑体" w:eastAsia="仿宋_GB2312"/>
          <w:color w:val="auto"/>
          <w:spacing w:val="0"/>
          <w:w w:val="100"/>
          <w:sz w:val="32"/>
          <w:szCs w:val="32"/>
        </w:rPr>
        <w:t>届人民代表大会常务委员会第</w:t>
      </w:r>
      <w:r>
        <w:rPr>
          <w:rFonts w:hint="eastAsia" w:ascii="仿宋_GB2312" w:hAnsi="黑体" w:eastAsia="仿宋_GB2312"/>
          <w:color w:val="auto"/>
          <w:spacing w:val="0"/>
          <w:w w:val="100"/>
          <w:sz w:val="32"/>
          <w:szCs w:val="32"/>
          <w:lang w:eastAsia="zh-CN"/>
        </w:rPr>
        <w:t>二十八</w:t>
      </w:r>
      <w:r>
        <w:rPr>
          <w:rFonts w:hint="eastAsia" w:ascii="仿宋_GB2312" w:hAnsi="黑体" w:eastAsia="仿宋_GB2312"/>
          <w:color w:val="auto"/>
          <w:spacing w:val="0"/>
          <w:w w:val="100"/>
          <w:sz w:val="32"/>
          <w:szCs w:val="32"/>
        </w:rPr>
        <w:t>次会议决定</w:t>
      </w:r>
      <w:r>
        <w:rPr>
          <w:rFonts w:hint="eastAsia" w:ascii="仿宋_GB2312" w:eastAsia="仿宋_GB2312"/>
          <w:bCs/>
          <w:color w:val="auto"/>
          <w:spacing w:val="0"/>
          <w:w w:val="100"/>
          <w:sz w:val="32"/>
          <w:szCs w:val="32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eastAsia="黑体"/>
          <w:spacing w:val="0"/>
          <w:w w:val="100"/>
          <w:sz w:val="32"/>
          <w:szCs w:val="32"/>
        </w:rPr>
      </w:pPr>
      <w:r>
        <w:rPr>
          <w:rFonts w:hint="eastAsia" w:ascii="黑体" w:eastAsia="黑体"/>
          <w:spacing w:val="0"/>
          <w:w w:val="100"/>
          <w:sz w:val="32"/>
          <w:szCs w:val="32"/>
          <w:lang w:eastAsia="zh-CN"/>
        </w:rPr>
        <w:t>对《</w:t>
      </w:r>
      <w:r>
        <w:rPr>
          <w:rFonts w:hint="eastAsia" w:ascii="黑体" w:eastAsia="黑体"/>
          <w:spacing w:val="0"/>
          <w:w w:val="100"/>
          <w:sz w:val="32"/>
          <w:szCs w:val="32"/>
        </w:rPr>
        <w:t>宁夏回族自治区城市绿化管理条例</w:t>
      </w:r>
      <w:r>
        <w:rPr>
          <w:rFonts w:hint="eastAsia" w:ascii="黑体" w:eastAsia="黑体"/>
          <w:spacing w:val="0"/>
          <w:w w:val="100"/>
          <w:sz w:val="32"/>
          <w:szCs w:val="32"/>
          <w:lang w:eastAsia="zh-CN"/>
        </w:rPr>
        <w:t>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（一）删去第四条第二款。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（二）删去第十四条中的“体现民族风格和地方特色”。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（三）将第三十七条中的“由其所在单位或者上级主管机关给予行政处分”修改为“由相关有权机关给予处分”，“由司法机关依法追究刑事责任”修改为“依法追究刑事责任”。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四）将第三十八条中的“城市规划、绿化行政主管部门及其”修改为“城市绿化行政主管部门和绿地管理单位的”，“由其所在单位或者上级主管机关给予行政处分”修改为“由相关有权机关给予处分”，“由司法机关依法追究刑事责任”修改为“依法追究刑事责任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（五）将第三十九条中的“申请人民法院强制执行”修改为“依照《中华人民共和国行政处罚法》的规定执行”。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eastAsia="黑体"/>
          <w:spacing w:val="0"/>
          <w:w w:val="100"/>
          <w:sz w:val="32"/>
          <w:szCs w:val="32"/>
        </w:rPr>
      </w:pPr>
      <w:r>
        <w:rPr>
          <w:rFonts w:hint="eastAsia" w:ascii="黑体" w:eastAsia="黑体"/>
          <w:spacing w:val="0"/>
          <w:w w:val="100"/>
          <w:sz w:val="32"/>
          <w:szCs w:val="32"/>
          <w:lang w:eastAsia="zh-CN"/>
        </w:rPr>
        <w:t>对《</w:t>
      </w:r>
      <w:r>
        <w:rPr>
          <w:rFonts w:hint="eastAsia" w:ascii="黑体" w:eastAsia="黑体"/>
          <w:spacing w:val="0"/>
          <w:w w:val="100"/>
          <w:sz w:val="32"/>
          <w:szCs w:val="32"/>
        </w:rPr>
        <w:t>宁夏回族自治区建筑管理条例</w:t>
      </w:r>
      <w:r>
        <w:rPr>
          <w:rFonts w:hint="eastAsia" w:ascii="黑体" w:eastAsia="黑体"/>
          <w:spacing w:val="0"/>
          <w:w w:val="100"/>
          <w:sz w:val="32"/>
          <w:szCs w:val="32"/>
          <w:lang w:eastAsia="zh-CN"/>
        </w:rPr>
        <w:t>》作出修改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</w:rPr>
        <w:t>（一</w:t>
      </w: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）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将第三条第二款中的“交通”修改为“交通运输”。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二）将第七条中的“建筑科学技术和民族地方特色建筑设计研究”修改为“建筑科学技术、建筑设计研究”，“民族地方建筑设计”修改为“建筑设计”。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（三）删去第十一条、第二十一条。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（四）第十七条改为第十六条，删去第二项；第十八条改为第十七条，删去第一项。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（五）第二十八条改为第二十六条，删去其中的“造价咨询”。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（六）第四十条改为第三十八条，将其中的“装修装饰工程”修改为“装修工程”。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（七）第五十八条改为第五十六条，将第一款修改为：“有下列行为之一的，责令改正或停止违法行为，依照《中华人民共和国建筑法》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《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建设工程质量管理条例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的相关规定进行处罚</w:t>
      </w: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”。删去第七项中的“或以带资、垫款作为竞争手段承揽工程的”和第二款。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八）第五十九条改为第五十七条，修改为：“施工单位对建筑安全事故隐患未采取措施予以消除的，责令改正，处五万元以下的罚款；情节严重的，责令停业整顿、依法降低资质等级或吊销资质证书；构成犯罪的，依法追究刑事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“施工单位不履行保修义务或者拖延履行保修义务的，责令改正，处十万元以上二十万元以下的罚款，并对在保修期内因质量缺陷造成的损失承担赔偿责任。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“建设单位要求建筑设计单位或施工单位违反工程建设强制性标准，降低工程质量的，责令改正，处二十万元以上五十万元以下的罚款；构成犯罪的，依法追究刑事责任。”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（九）第六十一条改为第五十九条，将其中的“降低资质等级”修改为“依法降低资质等级”，“吊销其资质证书”修改为“依法吊销其资质证书”。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（十）第六十二条改为第六十条，将其中的“由上级主管部门给予行政处分”修改为“由相关有权机关给予处分”。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（十一）第六十四条改为第六十二条，将其中的“由其所在单位或上级行政主管部门给予行政处分”修改为“由相关有权机关给予处分”。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（十二）第六十六条、第六十七条分别改为第六十四条、第六十五条，将其中的“行政处分”修改为“处分”。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eastAsia="zh-CN"/>
        </w:rPr>
        <w:t>对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val="en-US" w:eastAsia="zh-CN"/>
        </w:rPr>
        <w:t>《宁夏回族自治区实施</w:t>
      </w:r>
      <w:r>
        <w:rPr>
          <w:rFonts w:hint="eastAsia" w:ascii="方正黑体_GBK" w:hAnsi="方正黑体_GBK" w:eastAsia="方正黑体_GBK"/>
          <w:spacing w:val="0"/>
          <w:w w:val="100"/>
          <w:sz w:val="32"/>
          <w:szCs w:val="32"/>
          <w:lang w:val="en-US" w:eastAsia="zh-CN"/>
        </w:rPr>
        <w:t>&lt;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val="en-US" w:eastAsia="zh-CN"/>
        </w:rPr>
        <w:t>中华人民共和国文物保护法</w:t>
      </w:r>
      <w:r>
        <w:rPr>
          <w:rFonts w:hint="eastAsia" w:ascii="方正黑体_GBK" w:hAnsi="方正黑体_GBK" w:eastAsia="方正黑体_GBK"/>
          <w:spacing w:val="0"/>
          <w:w w:val="100"/>
          <w:sz w:val="32"/>
          <w:szCs w:val="32"/>
          <w:lang w:val="en-US" w:eastAsia="zh-CN"/>
        </w:rPr>
        <w:t>&gt;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val="en-US" w:eastAsia="zh-CN"/>
        </w:rPr>
        <w:t>办法》作出修改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（一）将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  <w:t>第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十七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修改为：“宗教活动场所经依法批准为文物保护单位的，应当遵守文物保护法律法规的规定，接受文物行政主管部门和宗教事务管理部门的指导和监督”。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spacing w:val="0"/>
          <w:w w:val="100"/>
          <w:kern w:val="2"/>
          <w:sz w:val="32"/>
          <w:szCs w:val="32"/>
          <w:lang w:eastAsia="zh-CN"/>
        </w:rPr>
        <w:t>（二）将第三十五条第一款中的“行政处分”修改为“处分”，第二款中的“由其所在单位或者上级主管机关给予行政处分”修改为“由相关有权机关给予处分”。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ascii="黑体" w:hAnsi="黑体" w:eastAsia="黑体" w:cs="黑体"/>
          <w:color w:val="000000"/>
          <w:spacing w:val="0"/>
          <w:w w:val="1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eastAsia="zh-CN"/>
        </w:rPr>
        <w:t>对《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</w:rPr>
        <w:t>宁夏回族自治区公共卫生服务促进条例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eastAsia="zh-CN"/>
        </w:rPr>
        <w:t>》作出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</w:rPr>
        <w:t>修</w:t>
      </w:r>
      <w:r>
        <w:rPr>
          <w:rFonts w:hint="eastAsia" w:ascii="黑体" w:hAnsi="黑体" w:eastAsia="黑体" w:cs="黑体"/>
          <w:color w:val="000000"/>
          <w:spacing w:val="0"/>
          <w:w w:val="100"/>
          <w:sz w:val="32"/>
          <w:szCs w:val="32"/>
          <w:lang w:eastAsia="zh-CN"/>
        </w:rPr>
        <w:t>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一）将第四条第二款中的“卫生计生主管部门”修改为“卫生健康行政部门”，第三款中的“发展改革、教育、农牧、财政、食品药品监督等部门”修改为“发展和改革、教育、农业农村、财政、药品监督管理等部门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（二）将第十三条、第十六条、第二十四条、第二十七条、第二十九条、第三十二条、第三十三条、第三十七条中的“卫生计生主管部门”修改为“卫生健康行政部门”。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（三）将第十四条、第三十五条中的“卫生计生等”修改为“卫生健康等”。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eastAsia="仿宋_GB2312"/>
          <w:spacing w:val="0"/>
          <w:w w:val="100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（四）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  <w:t>删去第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十七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  <w:t>条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第二款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  <w:t>中的“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（民族医药）</w:t>
      </w: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</w:rPr>
        <w:t>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（五）将第十八条中的“环境保护主管部门”修改为“生态环境主管部门”，“农牧主管部门”修改为“农业农村主管部门”。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（六）将第十九条中的“环境保护主管部门”修改为“生态环境主管部门”，“卫生计生主管部门”修改为“卫生健康行政部门”。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七）将第三十条中的“卫生计生、农牧、林业等主管部门”修改为“卫生健康、农业农村、林业和草原等主管部门”，“卫生计生、水利、农牧、环保、教育、食品药品监督、安全生产监督等主管部门”修改为“卫生健康、水利、农业农村、生态环境、教育、药品监督管理、应急管理等主管部门”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spacing w:val="0"/>
          <w:w w:val="100"/>
          <w:sz w:val="32"/>
          <w:szCs w:val="32"/>
          <w:lang w:eastAsia="zh-CN"/>
        </w:rPr>
        <w:t>（八）将第三十六条中的“由其上级机关或者监察机关”修改为“由相关有权机关”。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</w:pP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600" w:lineRule="atLeas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方正小标宋简体" w:hAnsi="方正小标宋简体" w:eastAsia="方正小标宋简体" w:cs="方正小标宋简体"/>
          <w:spacing w:val="0"/>
          <w:w w:val="100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《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宁夏回族自治区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城市绿化管理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条例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》《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宁夏回族自治区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建筑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管理条例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》《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宁夏回族自治区实施〈中华人民共和国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文物保护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法〉办法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》《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宁夏回族自治区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公共卫生服务促进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条例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  <w:lang w:eastAsia="zh-CN"/>
        </w:rPr>
        <w:t>》</w:t>
      </w:r>
      <w:r>
        <w:rPr>
          <w:rFonts w:hint="eastAsia" w:ascii="仿宋_GB2312" w:hAnsi="仿宋_GB2312" w:eastAsia="仿宋_GB2312" w:cs="仿宋_GB2312"/>
          <w:spacing w:val="0"/>
          <w:w w:val="100"/>
          <w:sz w:val="32"/>
          <w:szCs w:val="32"/>
        </w:rPr>
        <w:t>根据本决定作相应修改，重新公布。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600" w:lineRule="exact"/>
        <w:ind w:firstLine="880" w:firstLineChars="200"/>
        <w:jc w:val="center"/>
        <w:textAlignment w:val="auto"/>
        <w:rPr>
          <w:rFonts w:hint="eastAsia" w:ascii="方正小标宋简体" w:hAnsi="方正小标宋简体" w:eastAsia="方正小标宋简体" w:cs="方正小标宋简体"/>
          <w:spacing w:val="0"/>
          <w:w w:val="10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600" w:lineRule="exact"/>
        <w:ind w:firstLine="880" w:firstLineChars="200"/>
        <w:jc w:val="center"/>
        <w:textAlignment w:val="auto"/>
        <w:rPr>
          <w:rFonts w:hint="eastAsia" w:ascii="方正小标宋简体" w:hAnsi="方正小标宋简体" w:eastAsia="方正小标宋简体" w:cs="方正小标宋简体"/>
          <w:spacing w:val="0"/>
          <w:w w:val="100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spacing w:val="0"/>
          <w:w w:val="1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ind w:firstLine="420" w:firstLineChars="200"/>
        <w:textAlignment w:val="auto"/>
        <w:rPr>
          <w:rFonts w:hint="eastAsia"/>
          <w:spacing w:val="0"/>
          <w:w w:val="100"/>
          <w:lang w:val="en-US" w:eastAsia="zh-CN"/>
        </w:rPr>
      </w:pPr>
    </w:p>
    <w:sectPr>
      <w:footerReference r:id="rId5" w:type="first"/>
      <w:headerReference r:id="rId3" w:type="default"/>
      <w:footerReference r:id="rId4" w:type="default"/>
      <w:pgSz w:w="11906" w:h="16838"/>
      <w:pgMar w:top="1984" w:right="1531" w:bottom="1417" w:left="1531" w:header="851" w:footer="1134" w:gutter="0"/>
      <w:pgNumType w:fmt="numberInDash"/>
      <w:cols w:space="720" w:num="1"/>
      <w:rtlGutter w:val="0"/>
      <w:docGrid w:linePitch="5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黑体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小标宋简体">
    <w:altName w:val="方正舒体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4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7gYFtMkBAACaAwAADgAAAGRycy9lMm9Eb2MueG1srVPNjtMwEL4j8Q6W&#10;79Rph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rFTaDEcYsDv3z/dvnx6/LzK1m+&#10;zvr0AWpMewiYmIY7P+TcyQ/ozLQHFW3+IiGCcVT3fFVXDomI/Gi9Wq8rDAmMzRfEYY/PQ4T0VnpL&#10;stHQiOMrqvLTe0hj6pySqzl/r41BP6+N+8uBmNnDcu9jj9lKw36YGt/79ox8epx8Qx0uOiXmnUNh&#10;85LMRpyN/WwcQ9SHrmxRrgfh9piwidJbrjDCToVxZIXdtF55J/68l6zHX2r7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DuBgW0yQEAAJo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</w:rPr>
                            <w:t>- 1 -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5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BVLp0ryQEAAJo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</w:rPr>
                      <w:t>- 1 -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1C3E81"/>
    <w:multiLevelType w:val="singleLevel"/>
    <w:tmpl w:val="C91C3E81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210"/>
  <w:drawingGridVerticalSpacing w:val="299"/>
  <w:displayHorizontalDrawingGridEvery w:val="1"/>
  <w:displayVerticalDrawingGridEvery w:val="1"/>
  <w:doNotShadeFormData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7E5F"/>
    <w:rsid w:val="00721A4F"/>
    <w:rsid w:val="007E75E6"/>
    <w:rsid w:val="01191E03"/>
    <w:rsid w:val="0194261C"/>
    <w:rsid w:val="019C0876"/>
    <w:rsid w:val="019E0182"/>
    <w:rsid w:val="028E752C"/>
    <w:rsid w:val="040D3139"/>
    <w:rsid w:val="05957674"/>
    <w:rsid w:val="07152B8F"/>
    <w:rsid w:val="0B993F29"/>
    <w:rsid w:val="0C351023"/>
    <w:rsid w:val="0DD002DB"/>
    <w:rsid w:val="0E695E40"/>
    <w:rsid w:val="0F9A5B01"/>
    <w:rsid w:val="0FA77F56"/>
    <w:rsid w:val="109F5D66"/>
    <w:rsid w:val="11174C78"/>
    <w:rsid w:val="15144D2F"/>
    <w:rsid w:val="176C7889"/>
    <w:rsid w:val="192A23B8"/>
    <w:rsid w:val="19810487"/>
    <w:rsid w:val="198549D1"/>
    <w:rsid w:val="1B982628"/>
    <w:rsid w:val="1B98531B"/>
    <w:rsid w:val="1CBA5F67"/>
    <w:rsid w:val="1D155B33"/>
    <w:rsid w:val="1E0834E3"/>
    <w:rsid w:val="20A33A0C"/>
    <w:rsid w:val="21755303"/>
    <w:rsid w:val="241D14B3"/>
    <w:rsid w:val="245A370F"/>
    <w:rsid w:val="264C5416"/>
    <w:rsid w:val="26AB0BE6"/>
    <w:rsid w:val="26E86D04"/>
    <w:rsid w:val="2723359F"/>
    <w:rsid w:val="276C13D8"/>
    <w:rsid w:val="281779DF"/>
    <w:rsid w:val="2BAA143E"/>
    <w:rsid w:val="2C052B75"/>
    <w:rsid w:val="2C351D74"/>
    <w:rsid w:val="2ED92335"/>
    <w:rsid w:val="30E907D9"/>
    <w:rsid w:val="31D32F33"/>
    <w:rsid w:val="34A8088B"/>
    <w:rsid w:val="38AA1CA0"/>
    <w:rsid w:val="39215525"/>
    <w:rsid w:val="393B10B0"/>
    <w:rsid w:val="3A415874"/>
    <w:rsid w:val="3C1E079F"/>
    <w:rsid w:val="3C424B1A"/>
    <w:rsid w:val="3C576063"/>
    <w:rsid w:val="3C5B0E6B"/>
    <w:rsid w:val="3D8A76BD"/>
    <w:rsid w:val="3E7D24A2"/>
    <w:rsid w:val="3EBD53D5"/>
    <w:rsid w:val="40C22BDB"/>
    <w:rsid w:val="426A7101"/>
    <w:rsid w:val="429567AC"/>
    <w:rsid w:val="44DA4C97"/>
    <w:rsid w:val="45FC4830"/>
    <w:rsid w:val="4C251DA4"/>
    <w:rsid w:val="4C906417"/>
    <w:rsid w:val="4DAB004F"/>
    <w:rsid w:val="4E89761D"/>
    <w:rsid w:val="4F315FFB"/>
    <w:rsid w:val="4F9841F6"/>
    <w:rsid w:val="4FFF295A"/>
    <w:rsid w:val="512B0CE0"/>
    <w:rsid w:val="5142133D"/>
    <w:rsid w:val="51650D6D"/>
    <w:rsid w:val="516D2181"/>
    <w:rsid w:val="51CA4C9F"/>
    <w:rsid w:val="52F26E3F"/>
    <w:rsid w:val="5402507B"/>
    <w:rsid w:val="54294138"/>
    <w:rsid w:val="56544079"/>
    <w:rsid w:val="5655677C"/>
    <w:rsid w:val="5668644C"/>
    <w:rsid w:val="590D50E6"/>
    <w:rsid w:val="5B436820"/>
    <w:rsid w:val="5B821A86"/>
    <w:rsid w:val="5C51404B"/>
    <w:rsid w:val="5D2D6A8E"/>
    <w:rsid w:val="5D547893"/>
    <w:rsid w:val="5D714965"/>
    <w:rsid w:val="613D31AA"/>
    <w:rsid w:val="61793218"/>
    <w:rsid w:val="62DF113C"/>
    <w:rsid w:val="63F90239"/>
    <w:rsid w:val="64374502"/>
    <w:rsid w:val="643756B3"/>
    <w:rsid w:val="67AA4B81"/>
    <w:rsid w:val="683E617B"/>
    <w:rsid w:val="68692EF7"/>
    <w:rsid w:val="69BB4115"/>
    <w:rsid w:val="6A0C0D26"/>
    <w:rsid w:val="6AFC7C56"/>
    <w:rsid w:val="6D9C0A54"/>
    <w:rsid w:val="6F8375CA"/>
    <w:rsid w:val="722E1C57"/>
    <w:rsid w:val="734E25BE"/>
    <w:rsid w:val="73BF501D"/>
    <w:rsid w:val="77729849"/>
    <w:rsid w:val="77F96291"/>
    <w:rsid w:val="78233CDA"/>
    <w:rsid w:val="78AA3E3E"/>
    <w:rsid w:val="79561EA9"/>
    <w:rsid w:val="7B6D6A4E"/>
    <w:rsid w:val="7BDA66B7"/>
    <w:rsid w:val="7BF367A0"/>
    <w:rsid w:val="7D5364F3"/>
    <w:rsid w:val="7DAD7B96"/>
    <w:rsid w:val="7FED6532"/>
    <w:rsid w:val="EDFD03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200" w:firstLineChars="200"/>
    </w:pPr>
    <w:rPr>
      <w:rFonts w:ascii="Times New Roman" w:hAnsi="Times New Roman"/>
    </w:rPr>
  </w:style>
  <w:style w:type="paragraph" w:styleId="3">
    <w:name w:val="Date"/>
    <w:basedOn w:val="1"/>
    <w:next w:val="1"/>
    <w:qFormat/>
    <w:uiPriority w:val="0"/>
    <w:pPr>
      <w:snapToGrid w:val="0"/>
      <w:spacing w:line="300" w:lineRule="auto"/>
    </w:pPr>
    <w:rPr>
      <w:rFonts w:ascii="Calibri" w:hAnsi="Calibri" w:eastAsia="楷体_GB2312" w:cs="Times New Roman"/>
      <w:szCs w:val="22"/>
    </w:rPr>
  </w:style>
  <w:style w:type="paragraph" w:styleId="4">
    <w:name w:val="footer"/>
    <w:basedOn w:val="1"/>
    <w:next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9">
    <w:name w:val="Strong"/>
    <w:qFormat/>
    <w:uiPriority w:val="0"/>
    <w:rPr>
      <w:b/>
      <w:bCs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Date"/>
    <w:basedOn w:val="1"/>
    <w:next w:val="1"/>
    <w:qFormat/>
    <w:uiPriority w:val="0"/>
    <w:pPr>
      <w:snapToGrid w:val="0"/>
      <w:spacing w:line="300" w:lineRule="auto"/>
    </w:pPr>
    <w:rPr>
      <w:rFonts w:ascii="Times New Roman" w:hAnsi="Times New Roman" w:eastAsia="楷体_GB2312" w:cs="Times New Roman"/>
      <w:sz w:val="32"/>
      <w:szCs w:val="20"/>
    </w:rPr>
  </w:style>
  <w:style w:type="paragraph" w:customStyle="1" w:styleId="12">
    <w:name w:val="HTML 预设格式 Char"/>
    <w:basedOn w:val="1"/>
    <w:qFormat/>
    <w:uiPriority w:val="0"/>
    <w:pPr>
      <w:widowControl/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2016-12-29T07:37:00Z</dcterms:created>
  <dc:creator>Win</dc:creator>
  <cp:lastModifiedBy>湖人进季后赛了吗</cp:lastModifiedBy>
  <cp:lastPrinted>2021-08-04T23:53:00Z</cp:lastPrinted>
  <dcterms:modified xsi:type="dcterms:W3CDTF">2021-08-19T02:08:23Z</dcterms:modified>
  <dc:title>Win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113B6C90412946DFB43610C11E242F5B</vt:lpwstr>
  </property>
</Properties>
</file>