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val="0"/>
        <w:snapToGrid w:val="0"/>
        <w:spacing w:line="240" w:lineRule="auto"/>
        <w:jc w:val="center"/>
        <w:textAlignment w:val="auto"/>
        <w:rPr>
          <w:rFonts w:hint="eastAsia" w:ascii="宋体" w:hAnsi="宋体" w:eastAsia="宋体" w:cs="宋体"/>
          <w:sz w:val="32"/>
          <w:szCs w:val="32"/>
        </w:rPr>
      </w:pPr>
    </w:p>
    <w:p>
      <w:pPr>
        <w:pStyle w:val="2"/>
        <w:keepNext w:val="0"/>
        <w:keepLines w:val="0"/>
        <w:pageBreakBefore w:val="0"/>
        <w:widowControl w:val="0"/>
        <w:kinsoku/>
        <w:wordWrap/>
        <w:overflowPunct/>
        <w:topLinePunct w:val="0"/>
        <w:autoSpaceDE/>
        <w:autoSpaceDN/>
        <w:bidi w:val="0"/>
        <w:textAlignment w:val="auto"/>
        <w:rPr>
          <w:rFonts w:hint="eastAsia"/>
          <w:sz w:val="32"/>
          <w:szCs w:val="32"/>
        </w:rPr>
      </w:pPr>
    </w:p>
    <w:p>
      <w:pPr>
        <w:keepNext w:val="0"/>
        <w:keepLines w:val="0"/>
        <w:pageBreakBefore w:val="0"/>
        <w:widowControl w:val="0"/>
        <w:kinsoku/>
        <w:wordWrap/>
        <w:overflowPunct/>
        <w:topLinePunct w:val="0"/>
        <w:autoSpaceDE/>
        <w:autoSpaceDN/>
        <w:bidi w:val="0"/>
        <w:adjustRightInd w:val="0"/>
        <w:snapToGrid w:val="0"/>
        <w:spacing w:line="240" w:lineRule="auto"/>
        <w:jc w:val="center"/>
        <w:textAlignment w:val="auto"/>
        <w:outlineLvl w:val="1"/>
        <w:rPr>
          <w:rFonts w:hint="eastAsia" w:ascii="宋体" w:hAnsi="宋体" w:eastAsia="宋体" w:cs="宋体"/>
          <w:sz w:val="44"/>
          <w:szCs w:val="44"/>
          <w:lang w:eastAsia="zh-CN"/>
        </w:rPr>
      </w:pPr>
      <w:r>
        <w:rPr>
          <w:rFonts w:hint="eastAsia" w:ascii="宋体" w:hAnsi="宋体" w:eastAsia="宋体" w:cs="宋体"/>
          <w:sz w:val="44"/>
          <w:szCs w:val="44"/>
        </w:rPr>
        <w:t>宁夏回族自治区</w:t>
      </w:r>
      <w:r>
        <w:rPr>
          <w:rFonts w:hint="eastAsia" w:ascii="宋体" w:hAnsi="宋体" w:eastAsia="宋体" w:cs="宋体"/>
          <w:sz w:val="44"/>
          <w:szCs w:val="44"/>
          <w:lang w:eastAsia="zh-CN"/>
        </w:rPr>
        <w:t>公证</w:t>
      </w:r>
      <w:r>
        <w:rPr>
          <w:rFonts w:hint="eastAsia" w:ascii="宋体" w:hAnsi="宋体" w:eastAsia="宋体" w:cs="宋体"/>
          <w:sz w:val="44"/>
          <w:szCs w:val="44"/>
        </w:rPr>
        <w:t>条例</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107" w:rightChars="51" w:firstLine="536" w:firstLineChars="200"/>
        <w:jc w:val="both"/>
        <w:textAlignment w:val="auto"/>
        <w:outlineLvl w:val="9"/>
        <w:rPr>
          <w:rFonts w:hint="eastAsia" w:ascii="方正小标宋简体" w:hAnsi="方正小标宋简体" w:eastAsia="方正小标宋简体" w:cs="方正小标宋简体"/>
          <w:b w:val="0"/>
          <w:bCs w:val="0"/>
          <w:spacing w:val="-6"/>
          <w:sz w:val="28"/>
          <w:szCs w:val="28"/>
          <w:lang w:val="en-US" w:eastAsia="zh-CN"/>
        </w:rPr>
      </w:pPr>
    </w:p>
    <w:p>
      <w:pPr>
        <w:keepNext w:val="0"/>
        <w:keepLines w:val="0"/>
        <w:pageBreakBefore w:val="0"/>
        <w:widowControl w:val="0"/>
        <w:kinsoku/>
        <w:wordWrap/>
        <w:overflowPunct/>
        <w:topLinePunct w:val="0"/>
        <w:autoSpaceDE/>
        <w:autoSpaceDN/>
        <w:bidi w:val="0"/>
        <w:adjustRightInd w:val="0"/>
        <w:snapToGrid w:val="0"/>
        <w:spacing w:line="560" w:lineRule="exact"/>
        <w:ind w:left="420" w:leftChars="200" w:right="420" w:rightChars="200" w:firstLine="0" w:firstLineChars="0"/>
        <w:jc w:val="both"/>
        <w:textAlignment w:val="auto"/>
        <w:outlineLvl w:val="9"/>
        <w:rPr>
          <w:rFonts w:hint="eastAsia" w:ascii="楷体" w:hAnsi="楷体" w:eastAsia="楷体" w:cs="楷体"/>
          <w:spacing w:val="-6"/>
          <w:sz w:val="32"/>
          <w:szCs w:val="32"/>
          <w:lang w:val="en-US" w:eastAsia="zh-CN"/>
        </w:rPr>
      </w:pPr>
      <w:r>
        <w:rPr>
          <w:rFonts w:hint="eastAsia" w:ascii="楷体" w:hAnsi="楷体" w:eastAsia="楷体" w:cs="楷体"/>
          <w:b w:val="0"/>
          <w:bCs w:val="0"/>
          <w:spacing w:val="-6"/>
          <w:sz w:val="32"/>
          <w:szCs w:val="32"/>
          <w:lang w:val="en-US" w:eastAsia="zh-CN"/>
        </w:rPr>
        <w:t>（</w:t>
      </w:r>
      <w:r>
        <w:rPr>
          <w:rFonts w:hint="eastAsia" w:ascii="楷体" w:hAnsi="楷体" w:eastAsia="楷体" w:cs="楷体"/>
          <w:w w:val="102"/>
          <w:sz w:val="32"/>
          <w:szCs w:val="32"/>
        </w:rPr>
        <w:t>1995年10月19日宁夏回族自治区第七届人民代表大会常务委员会第十五次会议通过</w:t>
      </w:r>
      <w:r>
        <w:rPr>
          <w:rFonts w:hint="eastAsia" w:ascii="楷体" w:hAnsi="楷体" w:eastAsia="楷体" w:cs="楷体"/>
          <w:w w:val="102"/>
          <w:sz w:val="32"/>
          <w:szCs w:val="32"/>
          <w:lang w:val="en-US" w:eastAsia="zh-CN"/>
        </w:rPr>
        <w:t xml:space="preserve">  </w:t>
      </w:r>
      <w:r>
        <w:rPr>
          <w:rFonts w:hint="eastAsia" w:ascii="楷体" w:hAnsi="楷体" w:eastAsia="楷体" w:cs="楷体"/>
          <w:spacing w:val="-6"/>
          <w:sz w:val="32"/>
          <w:szCs w:val="32"/>
          <w:lang w:val="en-US" w:eastAsia="zh-CN"/>
        </w:rPr>
        <w:t>2021</w:t>
      </w:r>
      <w:r>
        <w:rPr>
          <w:rFonts w:hint="eastAsia" w:ascii="楷体" w:hAnsi="楷体" w:eastAsia="楷体" w:cs="楷体"/>
          <w:spacing w:val="-6"/>
          <w:sz w:val="32"/>
          <w:szCs w:val="32"/>
        </w:rPr>
        <w:t>年</w:t>
      </w:r>
      <w:r>
        <w:rPr>
          <w:rFonts w:hint="eastAsia" w:ascii="楷体" w:hAnsi="楷体" w:eastAsia="楷体" w:cs="楷体"/>
          <w:spacing w:val="-6"/>
          <w:sz w:val="32"/>
          <w:szCs w:val="32"/>
          <w:lang w:val="en-US" w:eastAsia="zh-CN"/>
        </w:rPr>
        <w:t>9</w:t>
      </w:r>
      <w:r>
        <w:rPr>
          <w:rFonts w:hint="eastAsia" w:ascii="楷体" w:hAnsi="楷体" w:eastAsia="楷体" w:cs="楷体"/>
          <w:spacing w:val="-6"/>
          <w:sz w:val="32"/>
          <w:szCs w:val="32"/>
        </w:rPr>
        <w:t>月</w:t>
      </w:r>
      <w:r>
        <w:rPr>
          <w:rFonts w:hint="eastAsia" w:ascii="楷体" w:hAnsi="楷体" w:eastAsia="楷体" w:cs="楷体"/>
          <w:spacing w:val="-6"/>
          <w:sz w:val="32"/>
          <w:szCs w:val="32"/>
          <w:lang w:val="en-US" w:eastAsia="zh-CN"/>
        </w:rPr>
        <w:t>24</w:t>
      </w:r>
      <w:r>
        <w:rPr>
          <w:rFonts w:hint="eastAsia" w:ascii="楷体" w:hAnsi="楷体" w:eastAsia="楷体" w:cs="楷体"/>
          <w:spacing w:val="-6"/>
          <w:sz w:val="32"/>
          <w:szCs w:val="32"/>
        </w:rPr>
        <w:t>日宁夏回族自治区第</w:t>
      </w:r>
      <w:r>
        <w:rPr>
          <w:rFonts w:hint="eastAsia" w:ascii="楷体" w:hAnsi="楷体" w:eastAsia="楷体" w:cs="楷体"/>
          <w:spacing w:val="-6"/>
          <w:sz w:val="32"/>
          <w:szCs w:val="32"/>
          <w:lang w:eastAsia="zh-CN"/>
        </w:rPr>
        <w:t>十二</w:t>
      </w:r>
      <w:r>
        <w:rPr>
          <w:rFonts w:hint="eastAsia" w:ascii="楷体" w:hAnsi="楷体" w:eastAsia="楷体" w:cs="楷体"/>
          <w:spacing w:val="-6"/>
          <w:sz w:val="32"/>
          <w:szCs w:val="32"/>
        </w:rPr>
        <w:t>届人民代表大会常务委员会第</w:t>
      </w:r>
      <w:r>
        <w:rPr>
          <w:rFonts w:hint="eastAsia" w:ascii="楷体" w:hAnsi="楷体" w:eastAsia="楷体" w:cs="楷体"/>
          <w:spacing w:val="-6"/>
          <w:sz w:val="32"/>
          <w:szCs w:val="32"/>
          <w:lang w:eastAsia="zh-CN"/>
        </w:rPr>
        <w:t>二十九</w:t>
      </w:r>
      <w:r>
        <w:rPr>
          <w:rFonts w:hint="eastAsia" w:ascii="楷体" w:hAnsi="楷体" w:eastAsia="楷体" w:cs="楷体"/>
          <w:spacing w:val="-6"/>
          <w:sz w:val="32"/>
          <w:szCs w:val="32"/>
        </w:rPr>
        <w:t>次会议</w:t>
      </w:r>
      <w:r>
        <w:rPr>
          <w:rFonts w:hint="eastAsia" w:ascii="楷体" w:hAnsi="楷体" w:eastAsia="楷体" w:cs="楷体"/>
          <w:spacing w:val="-6"/>
          <w:sz w:val="32"/>
          <w:szCs w:val="32"/>
          <w:lang w:eastAsia="zh-CN"/>
        </w:rPr>
        <w:t>修订</w:t>
      </w:r>
      <w:r>
        <w:rPr>
          <w:rFonts w:hint="eastAsia" w:ascii="楷体" w:hAnsi="楷体" w:eastAsia="楷体" w:cs="楷体"/>
          <w:spacing w:val="-6"/>
          <w:sz w:val="32"/>
          <w:szCs w:val="32"/>
          <w:lang w:val="en-US" w:eastAsia="zh-CN"/>
        </w:rPr>
        <w:t>）</w:t>
      </w:r>
    </w:p>
    <w:p>
      <w:pPr>
        <w:pStyle w:val="2"/>
        <w:keepNext w:val="0"/>
        <w:keepLines w:val="0"/>
        <w:pageBreakBefore w:val="0"/>
        <w:widowControl w:val="0"/>
        <w:kinsoku/>
        <w:wordWrap/>
        <w:overflowPunct/>
        <w:topLinePunct w:val="0"/>
        <w:autoSpaceDE/>
        <w:autoSpaceDN/>
        <w:bidi w:val="0"/>
        <w:adjustRightInd/>
        <w:snapToGrid w:val="0"/>
        <w:textAlignment w:val="auto"/>
        <w:rPr>
          <w:rFonts w:hint="eastAsia" w:ascii="楷体" w:hAnsi="楷体" w:eastAsia="楷体" w:cs="楷体"/>
          <w:spacing w:val="-6"/>
          <w:sz w:val="32"/>
          <w:szCs w:val="32"/>
          <w:lang w:val="en-US" w:eastAsia="zh-CN"/>
        </w:rPr>
      </w:pPr>
    </w:p>
    <w:p>
      <w:pPr>
        <w:pStyle w:val="2"/>
        <w:keepNext w:val="0"/>
        <w:keepLines w:val="0"/>
        <w:pageBreakBefore w:val="0"/>
        <w:widowControl w:val="0"/>
        <w:kinsoku/>
        <w:wordWrap/>
        <w:overflowPunct/>
        <w:topLinePunct w:val="0"/>
        <w:autoSpaceDE/>
        <w:autoSpaceDN/>
        <w:bidi w:val="0"/>
        <w:spacing w:line="560" w:lineRule="atLeast"/>
        <w:ind w:left="0" w:leftChars="0" w:firstLine="0" w:firstLineChars="0"/>
        <w:jc w:val="center"/>
        <w:textAlignment w:val="auto"/>
        <w:outlineLvl w:val="0"/>
        <w:rPr>
          <w:rFonts w:hint="eastAsia" w:ascii="楷体" w:hAnsi="楷体" w:eastAsia="楷体" w:cs="楷体"/>
          <w:spacing w:val="-6"/>
          <w:sz w:val="32"/>
          <w:szCs w:val="32"/>
          <w:lang w:val="en-US" w:eastAsia="zh-CN"/>
        </w:rPr>
      </w:pPr>
      <w:r>
        <w:rPr>
          <w:rFonts w:hint="eastAsia" w:ascii="楷体" w:hAnsi="楷体" w:eastAsia="楷体" w:cs="楷体"/>
          <w:spacing w:val="-6"/>
          <w:sz w:val="32"/>
          <w:szCs w:val="32"/>
          <w:lang w:val="en-US" w:eastAsia="zh-CN"/>
        </w:rPr>
        <w:t>目  录</w:t>
      </w:r>
    </w:p>
    <w:p>
      <w:pPr>
        <w:pStyle w:val="2"/>
        <w:keepNext w:val="0"/>
        <w:keepLines w:val="0"/>
        <w:pageBreakBefore w:val="0"/>
        <w:widowControl w:val="0"/>
        <w:kinsoku/>
        <w:wordWrap/>
        <w:overflowPunct/>
        <w:topLinePunct w:val="0"/>
        <w:autoSpaceDE/>
        <w:autoSpaceDN/>
        <w:bidi w:val="0"/>
        <w:adjustRightInd w:val="0"/>
        <w:snapToGrid w:val="0"/>
        <w:spacing w:line="560" w:lineRule="atLeast"/>
        <w:ind w:left="0" w:leftChars="0" w:firstLine="616" w:firstLineChars="200"/>
        <w:textAlignment w:val="auto"/>
        <w:outlineLvl w:val="0"/>
        <w:rPr>
          <w:rFonts w:hint="eastAsia" w:ascii="楷体" w:hAnsi="楷体" w:eastAsia="楷体" w:cs="楷体"/>
          <w:spacing w:val="-6"/>
          <w:sz w:val="32"/>
          <w:szCs w:val="32"/>
          <w:lang w:val="en-US" w:eastAsia="zh-CN"/>
        </w:rPr>
      </w:pPr>
      <w:r>
        <w:rPr>
          <w:rFonts w:hint="eastAsia" w:ascii="楷体" w:hAnsi="楷体" w:eastAsia="楷体" w:cs="楷体"/>
          <w:spacing w:val="-6"/>
          <w:sz w:val="32"/>
          <w:szCs w:val="32"/>
          <w:lang w:val="en-US" w:eastAsia="zh-CN"/>
        </w:rPr>
        <w:t>第一章  总  则</w:t>
      </w:r>
    </w:p>
    <w:p>
      <w:pPr>
        <w:pStyle w:val="2"/>
        <w:keepNext w:val="0"/>
        <w:keepLines w:val="0"/>
        <w:pageBreakBefore w:val="0"/>
        <w:widowControl w:val="0"/>
        <w:kinsoku/>
        <w:wordWrap/>
        <w:overflowPunct/>
        <w:topLinePunct w:val="0"/>
        <w:autoSpaceDE/>
        <w:autoSpaceDN/>
        <w:bidi w:val="0"/>
        <w:adjustRightInd w:val="0"/>
        <w:snapToGrid w:val="0"/>
        <w:spacing w:line="560" w:lineRule="atLeast"/>
        <w:ind w:left="0" w:leftChars="0" w:firstLine="616" w:firstLineChars="200"/>
        <w:textAlignment w:val="auto"/>
        <w:outlineLvl w:val="0"/>
        <w:rPr>
          <w:rFonts w:hint="eastAsia" w:ascii="楷体" w:hAnsi="楷体" w:eastAsia="楷体" w:cs="楷体"/>
          <w:spacing w:val="-6"/>
          <w:sz w:val="32"/>
          <w:szCs w:val="32"/>
          <w:lang w:val="en-US" w:eastAsia="zh-CN"/>
        </w:rPr>
      </w:pPr>
      <w:r>
        <w:rPr>
          <w:rFonts w:hint="eastAsia" w:ascii="楷体" w:hAnsi="楷体" w:eastAsia="楷体" w:cs="楷体"/>
          <w:spacing w:val="-6"/>
          <w:sz w:val="32"/>
          <w:szCs w:val="32"/>
          <w:lang w:val="en-US" w:eastAsia="zh-CN"/>
        </w:rPr>
        <w:t>第二章  公证机构</w:t>
      </w:r>
    </w:p>
    <w:p>
      <w:pPr>
        <w:pStyle w:val="2"/>
        <w:keepNext w:val="0"/>
        <w:keepLines w:val="0"/>
        <w:pageBreakBefore w:val="0"/>
        <w:widowControl w:val="0"/>
        <w:kinsoku/>
        <w:wordWrap/>
        <w:overflowPunct/>
        <w:topLinePunct w:val="0"/>
        <w:autoSpaceDE/>
        <w:autoSpaceDN/>
        <w:bidi w:val="0"/>
        <w:adjustRightInd w:val="0"/>
        <w:snapToGrid w:val="0"/>
        <w:spacing w:line="560" w:lineRule="atLeast"/>
        <w:ind w:left="0" w:leftChars="0" w:firstLine="616" w:firstLineChars="200"/>
        <w:textAlignment w:val="auto"/>
        <w:outlineLvl w:val="0"/>
        <w:rPr>
          <w:rFonts w:hint="eastAsia" w:ascii="楷体" w:hAnsi="楷体" w:eastAsia="楷体" w:cs="楷体"/>
          <w:spacing w:val="-6"/>
          <w:sz w:val="32"/>
          <w:szCs w:val="32"/>
          <w:lang w:val="en-US" w:eastAsia="zh-CN"/>
        </w:rPr>
      </w:pPr>
      <w:r>
        <w:rPr>
          <w:rFonts w:hint="eastAsia" w:ascii="楷体" w:hAnsi="楷体" w:eastAsia="楷体" w:cs="楷体"/>
          <w:spacing w:val="-6"/>
          <w:sz w:val="32"/>
          <w:szCs w:val="32"/>
          <w:lang w:val="en-US" w:eastAsia="zh-CN"/>
        </w:rPr>
        <w:t>第三章  公证员</w:t>
      </w:r>
    </w:p>
    <w:p>
      <w:pPr>
        <w:pStyle w:val="2"/>
        <w:keepNext w:val="0"/>
        <w:keepLines w:val="0"/>
        <w:pageBreakBefore w:val="0"/>
        <w:widowControl w:val="0"/>
        <w:kinsoku/>
        <w:wordWrap/>
        <w:overflowPunct/>
        <w:topLinePunct w:val="0"/>
        <w:autoSpaceDE/>
        <w:autoSpaceDN/>
        <w:bidi w:val="0"/>
        <w:adjustRightInd w:val="0"/>
        <w:snapToGrid w:val="0"/>
        <w:spacing w:line="560" w:lineRule="atLeast"/>
        <w:ind w:left="0" w:leftChars="0" w:firstLine="616" w:firstLineChars="200"/>
        <w:textAlignment w:val="auto"/>
        <w:outlineLvl w:val="0"/>
        <w:rPr>
          <w:rFonts w:hint="eastAsia" w:ascii="楷体" w:hAnsi="楷体" w:eastAsia="楷体" w:cs="楷体"/>
          <w:spacing w:val="-6"/>
          <w:sz w:val="32"/>
          <w:szCs w:val="32"/>
          <w:lang w:val="en-US" w:eastAsia="zh-CN"/>
        </w:rPr>
      </w:pPr>
      <w:r>
        <w:rPr>
          <w:rFonts w:hint="eastAsia" w:ascii="楷体" w:hAnsi="楷体" w:eastAsia="楷体" w:cs="楷体"/>
          <w:spacing w:val="-6"/>
          <w:sz w:val="32"/>
          <w:szCs w:val="32"/>
          <w:lang w:val="en-US" w:eastAsia="zh-CN"/>
        </w:rPr>
        <w:t>第四章  公证程序</w:t>
      </w:r>
    </w:p>
    <w:p>
      <w:pPr>
        <w:pStyle w:val="2"/>
        <w:keepNext w:val="0"/>
        <w:keepLines w:val="0"/>
        <w:pageBreakBefore w:val="0"/>
        <w:widowControl w:val="0"/>
        <w:kinsoku/>
        <w:wordWrap/>
        <w:overflowPunct/>
        <w:topLinePunct w:val="0"/>
        <w:autoSpaceDE/>
        <w:autoSpaceDN/>
        <w:bidi w:val="0"/>
        <w:adjustRightInd w:val="0"/>
        <w:snapToGrid w:val="0"/>
        <w:spacing w:line="560" w:lineRule="atLeast"/>
        <w:ind w:left="0" w:leftChars="0" w:firstLine="616" w:firstLineChars="200"/>
        <w:textAlignment w:val="auto"/>
        <w:outlineLvl w:val="0"/>
        <w:rPr>
          <w:rFonts w:hint="eastAsia" w:ascii="楷体" w:hAnsi="楷体" w:eastAsia="楷体" w:cs="楷体"/>
          <w:spacing w:val="-6"/>
          <w:sz w:val="32"/>
          <w:szCs w:val="32"/>
          <w:lang w:val="en-US" w:eastAsia="zh-CN"/>
        </w:rPr>
      </w:pPr>
      <w:r>
        <w:rPr>
          <w:rFonts w:hint="eastAsia" w:ascii="楷体" w:hAnsi="楷体" w:eastAsia="楷体" w:cs="楷体"/>
          <w:spacing w:val="-6"/>
          <w:sz w:val="32"/>
          <w:szCs w:val="32"/>
          <w:lang w:val="en-US" w:eastAsia="zh-CN"/>
        </w:rPr>
        <w:t>第五章  监督管理</w:t>
      </w:r>
    </w:p>
    <w:p>
      <w:pPr>
        <w:pStyle w:val="2"/>
        <w:keepNext w:val="0"/>
        <w:keepLines w:val="0"/>
        <w:pageBreakBefore w:val="0"/>
        <w:widowControl w:val="0"/>
        <w:kinsoku/>
        <w:wordWrap/>
        <w:overflowPunct/>
        <w:topLinePunct w:val="0"/>
        <w:autoSpaceDE/>
        <w:autoSpaceDN/>
        <w:bidi w:val="0"/>
        <w:adjustRightInd w:val="0"/>
        <w:snapToGrid w:val="0"/>
        <w:spacing w:line="560" w:lineRule="atLeast"/>
        <w:ind w:left="0" w:leftChars="0" w:firstLine="616" w:firstLineChars="200"/>
        <w:textAlignment w:val="auto"/>
        <w:outlineLvl w:val="0"/>
        <w:rPr>
          <w:rFonts w:hint="eastAsia" w:ascii="楷体" w:hAnsi="楷体" w:eastAsia="楷体" w:cs="楷体"/>
          <w:spacing w:val="-6"/>
          <w:sz w:val="32"/>
          <w:szCs w:val="32"/>
          <w:lang w:val="en-US" w:eastAsia="zh-CN"/>
        </w:rPr>
      </w:pPr>
      <w:r>
        <w:rPr>
          <w:rFonts w:hint="eastAsia" w:ascii="楷体" w:hAnsi="楷体" w:eastAsia="楷体" w:cs="楷体"/>
          <w:spacing w:val="-6"/>
          <w:sz w:val="32"/>
          <w:szCs w:val="32"/>
          <w:lang w:val="en-US" w:eastAsia="zh-CN"/>
        </w:rPr>
        <w:t>第六章  法律责任</w:t>
      </w:r>
    </w:p>
    <w:p>
      <w:pPr>
        <w:pStyle w:val="2"/>
        <w:keepNext w:val="0"/>
        <w:keepLines w:val="0"/>
        <w:pageBreakBefore w:val="0"/>
        <w:widowControl w:val="0"/>
        <w:kinsoku/>
        <w:wordWrap/>
        <w:overflowPunct/>
        <w:topLinePunct w:val="0"/>
        <w:autoSpaceDE/>
        <w:autoSpaceDN/>
        <w:bidi w:val="0"/>
        <w:adjustRightInd w:val="0"/>
        <w:snapToGrid w:val="0"/>
        <w:spacing w:line="560" w:lineRule="atLeast"/>
        <w:ind w:left="0" w:leftChars="0" w:firstLine="616" w:firstLineChars="200"/>
        <w:textAlignment w:val="auto"/>
        <w:outlineLvl w:val="0"/>
        <w:rPr>
          <w:rFonts w:hint="eastAsia" w:ascii="楷体" w:hAnsi="楷体" w:eastAsia="楷体" w:cs="楷体"/>
          <w:spacing w:val="-6"/>
          <w:sz w:val="30"/>
          <w:szCs w:val="30"/>
          <w:lang w:val="en-US" w:eastAsia="zh-CN"/>
        </w:rPr>
      </w:pPr>
      <w:r>
        <w:rPr>
          <w:rFonts w:hint="eastAsia" w:ascii="楷体" w:hAnsi="楷体" w:eastAsia="楷体" w:cs="楷体"/>
          <w:spacing w:val="-6"/>
          <w:sz w:val="32"/>
          <w:szCs w:val="32"/>
          <w:lang w:val="en-US" w:eastAsia="zh-CN"/>
        </w:rPr>
        <w:t>第七章  附  则</w:t>
      </w:r>
    </w:p>
    <w:p>
      <w:pPr>
        <w:pStyle w:val="7"/>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right="0" w:rightChars="0"/>
        <w:jc w:val="center"/>
        <w:textAlignment w:val="auto"/>
        <w:outlineLvl w:val="9"/>
        <w:rPr>
          <w:rFonts w:hint="eastAsia" w:ascii="黑体" w:hAnsi="黑体" w:eastAsia="黑体"/>
          <w:sz w:val="32"/>
          <w:szCs w:val="32"/>
          <w:lang w:eastAsia="zh-CN"/>
        </w:rPr>
      </w:pPr>
    </w:p>
    <w:p>
      <w:pPr>
        <w:pStyle w:val="7"/>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right="0" w:rightChars="0"/>
        <w:jc w:val="center"/>
        <w:textAlignment w:val="auto"/>
        <w:outlineLvl w:val="0"/>
        <w:rPr>
          <w:rFonts w:hint="eastAsia" w:ascii="黑体" w:hAnsi="黑体" w:eastAsia="黑体"/>
          <w:sz w:val="32"/>
          <w:szCs w:val="32"/>
        </w:rPr>
      </w:pPr>
      <w:r>
        <w:rPr>
          <w:rFonts w:hint="eastAsia" w:ascii="黑体" w:hAnsi="黑体" w:eastAsia="黑体"/>
          <w:sz w:val="32"/>
          <w:szCs w:val="32"/>
          <w:lang w:eastAsia="zh-CN"/>
        </w:rPr>
        <w:t>第一章</w:t>
      </w:r>
      <w:r>
        <w:rPr>
          <w:rFonts w:hint="eastAsia" w:ascii="黑体" w:hAnsi="黑体" w:eastAsia="黑体"/>
          <w:sz w:val="32"/>
          <w:szCs w:val="32"/>
          <w:lang w:val="en-US" w:eastAsia="zh-CN"/>
        </w:rPr>
        <w:t xml:space="preserve">  </w:t>
      </w:r>
      <w:r>
        <w:rPr>
          <w:rFonts w:hint="eastAsia" w:ascii="黑体" w:hAnsi="黑体" w:eastAsia="黑体"/>
          <w:sz w:val="32"/>
          <w:szCs w:val="32"/>
        </w:rPr>
        <w:t>总  则</w:t>
      </w:r>
    </w:p>
    <w:p>
      <w:pPr>
        <w:keepNext w:val="0"/>
        <w:keepLines w:val="0"/>
        <w:pageBreakBefore w:val="0"/>
        <w:widowControl w:val="0"/>
        <w:kinsoku/>
        <w:wordWrap/>
        <w:overflowPunct/>
        <w:topLinePunct w:val="0"/>
        <w:autoSpaceDE/>
        <w:autoSpaceDN/>
        <w:bidi w:val="0"/>
        <w:adjustRightInd w:val="0"/>
        <w:snapToGrid w:val="0"/>
        <w:spacing w:line="240" w:lineRule="auto"/>
        <w:ind w:right="0" w:rightChars="0" w:firstLine="360" w:firstLineChars="200"/>
        <w:textAlignment w:val="auto"/>
        <w:outlineLvl w:val="9"/>
        <w:rPr>
          <w:rFonts w:hint="eastAsia" w:ascii="黑体" w:hAnsi="黑体" w:eastAsia="黑体" w:cs="Times New Roman"/>
          <w:kern w:val="2"/>
          <w:sz w:val="18"/>
          <w:szCs w:val="18"/>
          <w:lang w:val="en-US" w:eastAsia="zh-CN" w:bidi="ar-SA"/>
        </w:rPr>
      </w:pP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Times New Roman"/>
          <w:kern w:val="2"/>
          <w:sz w:val="32"/>
          <w:szCs w:val="32"/>
          <w:lang w:val="en-US" w:eastAsia="zh-CN" w:bidi="ar-SA"/>
        </w:rPr>
        <w:t>第一条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b w:val="0"/>
          <w:bCs w:val="0"/>
          <w:sz w:val="32"/>
          <w:szCs w:val="32"/>
        </w:rPr>
        <w:t>为了规范公证活动，保障公证机构和公证员依法履行职责，预防纠纷，维护自然人、法人</w:t>
      </w:r>
      <w:r>
        <w:rPr>
          <w:rFonts w:hint="eastAsia" w:ascii="仿宋_GB2312" w:hAnsi="仿宋_GB2312" w:eastAsia="仿宋_GB2312" w:cs="仿宋_GB2312"/>
          <w:b w:val="0"/>
          <w:bCs w:val="0"/>
          <w:sz w:val="32"/>
          <w:szCs w:val="32"/>
          <w:lang w:eastAsia="zh-CN"/>
        </w:rPr>
        <w:t>和</w:t>
      </w:r>
      <w:r>
        <w:rPr>
          <w:rFonts w:hint="eastAsia" w:ascii="仿宋_GB2312" w:hAnsi="仿宋_GB2312" w:eastAsia="仿宋_GB2312" w:cs="仿宋_GB2312"/>
          <w:b w:val="0"/>
          <w:bCs w:val="0"/>
          <w:sz w:val="32"/>
          <w:szCs w:val="32"/>
        </w:rPr>
        <w:t>非法人组织的合法权益，根据《中华人民共和国公证法》等有关法律、行政法规，结合自治区实际，制定本条例。</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Times New Roman"/>
          <w:kern w:val="2"/>
          <w:sz w:val="32"/>
          <w:szCs w:val="32"/>
          <w:lang w:val="en-US" w:eastAsia="zh-CN" w:bidi="ar-SA"/>
        </w:rPr>
        <w:t>第二条</w:t>
      </w:r>
      <w:r>
        <w:rPr>
          <w:rFonts w:hint="eastAsia" w:ascii="仿宋_GB2312" w:hAnsi="仿宋_GB2312" w:eastAsia="仿宋_GB2312" w:cs="仿宋_GB2312"/>
          <w:b w:val="0"/>
          <w:bCs w:val="0"/>
          <w:sz w:val="32"/>
          <w:szCs w:val="32"/>
        </w:rPr>
        <w:t xml:space="preserve">  本条例适用于本自治区行政区域内公证以及与公证有关的活动。</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Times New Roman"/>
          <w:kern w:val="2"/>
          <w:sz w:val="32"/>
          <w:szCs w:val="32"/>
          <w:lang w:val="en-US" w:eastAsia="zh-CN" w:bidi="ar-SA"/>
        </w:rPr>
        <w:t>第三条</w:t>
      </w:r>
      <w:r>
        <w:rPr>
          <w:rFonts w:hint="eastAsia" w:ascii="仿宋_GB2312" w:hAnsi="仿宋_GB2312" w:eastAsia="仿宋_GB2312" w:cs="仿宋_GB2312"/>
          <w:b w:val="0"/>
          <w:bCs w:val="0"/>
          <w:sz w:val="32"/>
          <w:szCs w:val="32"/>
        </w:rPr>
        <w:t xml:space="preserve">  本条例所称公证，是指公证机构根据自然人、法人</w:t>
      </w:r>
      <w:r>
        <w:rPr>
          <w:rFonts w:hint="eastAsia" w:ascii="仿宋_GB2312" w:hAnsi="仿宋_GB2312" w:eastAsia="仿宋_GB2312" w:cs="仿宋_GB2312"/>
          <w:b w:val="0"/>
          <w:bCs w:val="0"/>
          <w:sz w:val="32"/>
          <w:szCs w:val="32"/>
          <w:lang w:eastAsia="zh-CN"/>
        </w:rPr>
        <w:t>和</w:t>
      </w:r>
      <w:r>
        <w:rPr>
          <w:rFonts w:hint="eastAsia" w:ascii="仿宋_GB2312" w:hAnsi="仿宋_GB2312" w:eastAsia="仿宋_GB2312" w:cs="仿宋_GB2312"/>
          <w:b w:val="0"/>
          <w:bCs w:val="0"/>
          <w:sz w:val="32"/>
          <w:szCs w:val="32"/>
        </w:rPr>
        <w:t>非法人组织（以下统称当事人）的申请，依照法定程序对民事法律行为、有法律意义的事实和文书的真实性、合法性予以证明的活动。</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auto"/>
        <w:outlineLvl w:val="9"/>
        <w:rPr>
          <w:rFonts w:hint="eastAsia" w:ascii="黑体" w:hAnsi="黑体" w:eastAsia="黑体" w:cs="黑体"/>
          <w:b w:val="0"/>
          <w:bCs w:val="0"/>
          <w:sz w:val="32"/>
          <w:szCs w:val="32"/>
        </w:rPr>
      </w:pPr>
      <w:r>
        <w:rPr>
          <w:rFonts w:hint="eastAsia" w:ascii="黑体" w:hAnsi="黑体" w:eastAsia="黑体" w:cs="Times New Roman"/>
          <w:kern w:val="2"/>
          <w:sz w:val="32"/>
          <w:szCs w:val="32"/>
          <w:lang w:val="en-US" w:eastAsia="zh-CN" w:bidi="ar-SA"/>
        </w:rPr>
        <w:t>第四条</w:t>
      </w:r>
      <w:r>
        <w:rPr>
          <w:rFonts w:hint="eastAsia" w:ascii="仿宋_GB2312" w:hAnsi="仿宋_GB2312" w:eastAsia="仿宋_GB2312" w:cs="仿宋_GB2312"/>
          <w:b w:val="0"/>
          <w:bCs w:val="0"/>
          <w:sz w:val="32"/>
          <w:szCs w:val="32"/>
        </w:rPr>
        <w:t xml:space="preserve">  公证机构办理公证，应当遵守法律法规</w:t>
      </w:r>
      <w:r>
        <w:rPr>
          <w:rFonts w:hint="eastAsia" w:ascii="仿宋_GB2312" w:hAnsi="仿宋_GB2312" w:eastAsia="仿宋_GB2312" w:cs="仿宋_GB2312"/>
          <w:b w:val="0"/>
          <w:bCs w:val="0"/>
          <w:sz w:val="32"/>
          <w:szCs w:val="32"/>
          <w:lang w:eastAsia="zh-CN"/>
        </w:rPr>
        <w:t>，</w:t>
      </w:r>
      <w:r>
        <w:rPr>
          <w:rFonts w:hint="eastAsia" w:ascii="仿宋_GB2312" w:hAnsi="仿宋_GB2312" w:eastAsia="仿宋_GB2312" w:cs="仿宋_GB2312"/>
          <w:b w:val="0"/>
          <w:bCs w:val="0"/>
          <w:sz w:val="32"/>
          <w:szCs w:val="32"/>
        </w:rPr>
        <w:t>坚持客观、公正、便民的原则</w:t>
      </w:r>
      <w:r>
        <w:rPr>
          <w:rFonts w:hint="eastAsia" w:ascii="黑体" w:hAnsi="黑体" w:eastAsia="黑体" w:cs="黑体"/>
          <w:b w:val="0"/>
          <w:bCs w:val="0"/>
          <w:sz w:val="32"/>
          <w:szCs w:val="32"/>
        </w:rPr>
        <w:t>。</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Times New Roman"/>
          <w:kern w:val="2"/>
          <w:sz w:val="32"/>
          <w:szCs w:val="32"/>
          <w:lang w:val="en-US" w:eastAsia="zh-CN" w:bidi="ar-SA"/>
        </w:rPr>
        <w:t>第五条</w:t>
      </w:r>
      <w:r>
        <w:rPr>
          <w:rFonts w:hint="eastAsia" w:ascii="仿宋_GB2312" w:hAnsi="仿宋_GB2312" w:eastAsia="仿宋_GB2312" w:cs="仿宋_GB2312"/>
          <w:b w:val="0"/>
          <w:bCs w:val="0"/>
          <w:sz w:val="32"/>
          <w:szCs w:val="32"/>
        </w:rPr>
        <w:t xml:space="preserve">  县级以上人民政府司法行政部门依法对公证机构、公证员和公证协会进行监督、指导。</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Times New Roman"/>
          <w:kern w:val="2"/>
          <w:sz w:val="32"/>
          <w:szCs w:val="32"/>
          <w:lang w:val="en-US" w:eastAsia="zh-CN" w:bidi="ar-SA"/>
        </w:rPr>
        <w:t>第六条</w:t>
      </w:r>
      <w:r>
        <w:rPr>
          <w:rFonts w:hint="eastAsia" w:ascii="仿宋_GB2312" w:hAnsi="仿宋_GB2312" w:eastAsia="仿宋_GB2312" w:cs="仿宋_GB2312"/>
          <w:b w:val="0"/>
          <w:bCs w:val="0"/>
          <w:sz w:val="32"/>
          <w:szCs w:val="32"/>
        </w:rPr>
        <w:t xml:space="preserve">  公证协会</w:t>
      </w:r>
      <w:r>
        <w:rPr>
          <w:rFonts w:hint="eastAsia" w:ascii="仿宋_GB2312" w:hAnsi="仿宋_GB2312" w:eastAsia="仿宋_GB2312" w:cs="仿宋_GB2312"/>
          <w:b w:val="0"/>
          <w:bCs w:val="0"/>
          <w:sz w:val="32"/>
          <w:szCs w:val="32"/>
          <w:lang w:eastAsia="zh-CN"/>
        </w:rPr>
        <w:t>是</w:t>
      </w:r>
      <w:r>
        <w:rPr>
          <w:rFonts w:hint="eastAsia" w:ascii="仿宋_GB2312" w:hAnsi="仿宋_GB2312" w:eastAsia="仿宋_GB2312" w:cs="仿宋_GB2312"/>
          <w:b w:val="0"/>
          <w:bCs w:val="0"/>
          <w:sz w:val="32"/>
          <w:szCs w:val="32"/>
        </w:rPr>
        <w:t>公证业的自律性组织，依据法律法规和协会章程开展活动，对公证机构、公证员的执业活动进行监督。</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line="560" w:lineRule="exact"/>
        <w:ind w:right="0" w:rightChars="0" w:firstLine="640" w:firstLineChars="200"/>
        <w:textAlignment w:val="auto"/>
        <w:outlineLvl w:val="9"/>
        <w:rPr>
          <w:rFonts w:hint="eastAsia" w:ascii="黑体" w:hAnsi="黑体" w:eastAsia="黑体" w:cs="Times New Roman"/>
          <w:sz w:val="32"/>
          <w:szCs w:val="32"/>
          <w:lang w:eastAsia="zh-CN"/>
        </w:rPr>
      </w:pPr>
      <w:r>
        <w:rPr>
          <w:rFonts w:hint="eastAsia" w:ascii="仿宋_GB2312" w:hAnsi="仿宋_GB2312" w:eastAsia="仿宋_GB2312" w:cs="仿宋_GB2312"/>
          <w:b w:val="0"/>
          <w:bCs w:val="0"/>
          <w:sz w:val="32"/>
          <w:szCs w:val="32"/>
        </w:rPr>
        <w:t>公证协会应当反映行业诉求，推动行业诚信建设和行业交流，维护会员合法权益，促进公证事业发展。</w:t>
      </w:r>
    </w:p>
    <w:p>
      <w:pPr>
        <w:keepNext w:val="0"/>
        <w:keepLines w:val="0"/>
        <w:pageBreakBefore w:val="0"/>
        <w:widowControl w:val="0"/>
        <w:kinsoku/>
        <w:wordWrap/>
        <w:overflowPunct/>
        <w:topLinePunct w:val="0"/>
        <w:autoSpaceDE/>
        <w:autoSpaceDN/>
        <w:bidi w:val="0"/>
        <w:adjustRightInd w:val="0"/>
        <w:snapToGrid w:val="0"/>
        <w:spacing w:line="240" w:lineRule="auto"/>
        <w:ind w:right="0" w:rightChars="0" w:firstLine="360" w:firstLineChars="200"/>
        <w:textAlignment w:val="auto"/>
        <w:outlineLvl w:val="9"/>
        <w:rPr>
          <w:rFonts w:hint="eastAsia" w:ascii="黑体" w:hAnsi="黑体" w:eastAsia="黑体" w:cs="Times New Roman"/>
          <w:kern w:val="2"/>
          <w:sz w:val="18"/>
          <w:szCs w:val="18"/>
          <w:lang w:val="en-US" w:eastAsia="zh-CN" w:bidi="ar-SA"/>
        </w:rPr>
      </w:pPr>
    </w:p>
    <w:p>
      <w:pPr>
        <w:pStyle w:val="7"/>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right="0" w:rightChars="0"/>
        <w:jc w:val="center"/>
        <w:textAlignment w:val="auto"/>
        <w:outlineLvl w:val="0"/>
        <w:rPr>
          <w:rFonts w:hint="eastAsia" w:ascii="黑体" w:hAnsi="黑体" w:eastAsia="黑体" w:cs="Times New Roman"/>
          <w:kern w:val="2"/>
          <w:sz w:val="32"/>
          <w:szCs w:val="32"/>
          <w:lang w:val="en-US" w:eastAsia="zh-CN" w:bidi="ar-SA"/>
        </w:rPr>
      </w:pPr>
      <w:r>
        <w:rPr>
          <w:rFonts w:hint="eastAsia" w:ascii="黑体" w:hAnsi="黑体" w:eastAsia="黑体" w:cs="Times New Roman"/>
          <w:sz w:val="32"/>
          <w:szCs w:val="32"/>
          <w:lang w:eastAsia="zh-CN"/>
        </w:rPr>
        <w:t>第二章  公证机构</w:t>
      </w:r>
    </w:p>
    <w:p>
      <w:pPr>
        <w:keepNext w:val="0"/>
        <w:keepLines w:val="0"/>
        <w:pageBreakBefore w:val="0"/>
        <w:widowControl w:val="0"/>
        <w:kinsoku/>
        <w:wordWrap/>
        <w:overflowPunct/>
        <w:topLinePunct w:val="0"/>
        <w:autoSpaceDE/>
        <w:autoSpaceDN/>
        <w:bidi w:val="0"/>
        <w:adjustRightInd w:val="0"/>
        <w:snapToGrid w:val="0"/>
        <w:spacing w:line="240" w:lineRule="auto"/>
        <w:ind w:right="0" w:rightChars="0" w:firstLine="360" w:firstLineChars="200"/>
        <w:textAlignment w:val="auto"/>
        <w:outlineLvl w:val="9"/>
        <w:rPr>
          <w:rFonts w:hint="eastAsia" w:ascii="黑体" w:hAnsi="黑体" w:eastAsia="黑体" w:cs="Times New Roman"/>
          <w:kern w:val="2"/>
          <w:sz w:val="18"/>
          <w:szCs w:val="18"/>
          <w:lang w:val="en-US" w:eastAsia="zh-CN" w:bidi="ar-SA"/>
        </w:rPr>
      </w:pP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Times New Roman"/>
          <w:kern w:val="2"/>
          <w:sz w:val="32"/>
          <w:szCs w:val="32"/>
          <w:lang w:val="en-US" w:eastAsia="zh-CN" w:bidi="ar-SA"/>
        </w:rPr>
        <w:t xml:space="preserve">第七条 </w:t>
      </w:r>
      <w:r>
        <w:rPr>
          <w:rFonts w:hint="eastAsia" w:ascii="仿宋_GB2312" w:hAnsi="仿宋_GB2312" w:eastAsia="仿宋_GB2312" w:cs="仿宋_GB2312"/>
          <w:b w:val="0"/>
          <w:bCs w:val="0"/>
          <w:sz w:val="32"/>
          <w:szCs w:val="32"/>
        </w:rPr>
        <w:t xml:space="preserve"> 公证机构是依法设立，不以营利为目的，依法独立行使公证职能、承担民事责任的证明机构。</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公证机构办理公证，其合法权益不受侵犯。</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auto"/>
        <w:outlineLvl w:val="9"/>
        <w:rPr>
          <w:rFonts w:hint="eastAsia" w:ascii="方正黑体_GBK" w:hAnsi="方正黑体_GBK" w:eastAsia="仿宋_GB2312" w:cs="方正黑体_GBK"/>
          <w:b w:val="0"/>
          <w:bCs w:val="0"/>
          <w:sz w:val="32"/>
          <w:szCs w:val="32"/>
          <w:lang w:eastAsia="zh-CN"/>
        </w:rPr>
      </w:pPr>
      <w:r>
        <w:rPr>
          <w:rFonts w:hint="eastAsia" w:ascii="黑体" w:hAnsi="黑体" w:eastAsia="黑体" w:cs="Times New Roman"/>
          <w:kern w:val="2"/>
          <w:sz w:val="32"/>
          <w:szCs w:val="32"/>
          <w:lang w:val="en-US" w:eastAsia="zh-CN" w:bidi="ar-SA"/>
        </w:rPr>
        <w:t xml:space="preserve">第八条 </w:t>
      </w:r>
      <w:r>
        <w:rPr>
          <w:rFonts w:hint="eastAsia" w:ascii="仿宋_GB2312" w:hAnsi="仿宋_GB2312" w:eastAsia="仿宋_GB2312" w:cs="仿宋_GB2312"/>
          <w:b w:val="0"/>
          <w:bCs w:val="0"/>
          <w:sz w:val="32"/>
          <w:szCs w:val="32"/>
        </w:rPr>
        <w:t xml:space="preserve"> 公证机构按照统筹规划、合理布局的原则，综合经济社会发展和公证业务需求等情况设立</w:t>
      </w:r>
      <w:r>
        <w:rPr>
          <w:rFonts w:hint="eastAsia" w:ascii="仿宋_GB2312" w:hAnsi="仿宋_GB2312" w:eastAsia="仿宋_GB2312" w:cs="仿宋_GB2312"/>
          <w:b w:val="0"/>
          <w:bCs w:val="0"/>
          <w:sz w:val="32"/>
          <w:szCs w:val="32"/>
          <w:lang w:eastAsia="zh-CN"/>
        </w:rPr>
        <w:t>。</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公证机构不按行政区划层层设立。公证机构之间无隶属关系。</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Times New Roman"/>
          <w:kern w:val="2"/>
          <w:sz w:val="32"/>
          <w:szCs w:val="32"/>
          <w:lang w:val="en-US" w:eastAsia="zh-CN" w:bidi="ar-SA"/>
        </w:rPr>
        <w:t xml:space="preserve">第九条 </w:t>
      </w:r>
      <w:r>
        <w:rPr>
          <w:rFonts w:hint="eastAsia" w:ascii="仿宋_GB2312" w:hAnsi="仿宋_GB2312" w:eastAsia="仿宋_GB2312" w:cs="仿宋_GB2312"/>
          <w:b w:val="0"/>
          <w:bCs w:val="0"/>
          <w:sz w:val="32"/>
          <w:szCs w:val="32"/>
        </w:rPr>
        <w:t xml:space="preserve"> 公证机构冠名、设立、</w:t>
      </w:r>
      <w:r>
        <w:rPr>
          <w:rFonts w:hint="eastAsia" w:ascii="仿宋_GB2312" w:hAnsi="仿宋_GB2312" w:eastAsia="仿宋_GB2312" w:cs="仿宋_GB2312"/>
          <w:b w:val="0"/>
          <w:bCs w:val="0"/>
          <w:sz w:val="32"/>
          <w:szCs w:val="32"/>
          <w:lang w:eastAsia="zh-CN"/>
        </w:rPr>
        <w:t>分立、合并或者</w:t>
      </w:r>
      <w:r>
        <w:rPr>
          <w:rFonts w:hint="eastAsia" w:ascii="仿宋_GB2312" w:hAnsi="仿宋_GB2312" w:eastAsia="仿宋_GB2312" w:cs="仿宋_GB2312"/>
          <w:b w:val="0"/>
          <w:bCs w:val="0"/>
          <w:sz w:val="32"/>
          <w:szCs w:val="32"/>
        </w:rPr>
        <w:t>变更相关事项、负责人任职等应当符合《中华人民共和国公证法》及国家有关规定。</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auto"/>
        <w:outlineLvl w:val="9"/>
        <w:rPr>
          <w:rFonts w:hint="eastAsia" w:ascii="仿宋_GB2312" w:hAnsi="仿宋_GB2312" w:eastAsia="仿宋_GB2312" w:cs="仿宋_GB2312"/>
          <w:b w:val="0"/>
          <w:bCs w:val="0"/>
          <w:sz w:val="32"/>
          <w:szCs w:val="32"/>
          <w:lang w:eastAsia="zh-CN"/>
        </w:rPr>
      </w:pPr>
      <w:r>
        <w:rPr>
          <w:rFonts w:hint="eastAsia" w:ascii="黑体" w:hAnsi="黑体" w:eastAsia="黑体" w:cs="Times New Roman"/>
          <w:kern w:val="2"/>
          <w:sz w:val="32"/>
          <w:szCs w:val="32"/>
          <w:lang w:val="en-US" w:eastAsia="zh-CN" w:bidi="ar-SA"/>
        </w:rPr>
        <w:t>第十条</w:t>
      </w:r>
      <w:r>
        <w:rPr>
          <w:rFonts w:hint="eastAsia" w:ascii="仿宋_GB2312" w:hAnsi="仿宋_GB2312" w:eastAsia="仿宋_GB2312" w:cs="仿宋_GB2312"/>
          <w:b w:val="0"/>
          <w:bCs w:val="0"/>
          <w:sz w:val="32"/>
          <w:szCs w:val="32"/>
        </w:rPr>
        <w:t xml:space="preserve">  根据当事人的申请，公证机构办理</w:t>
      </w:r>
      <w:r>
        <w:rPr>
          <w:rFonts w:hint="eastAsia" w:ascii="仿宋_GB2312" w:hAnsi="仿宋_GB2312" w:eastAsia="仿宋_GB2312" w:cs="仿宋_GB2312"/>
          <w:b w:val="0"/>
          <w:bCs w:val="0"/>
          <w:sz w:val="32"/>
          <w:szCs w:val="32"/>
          <w:lang w:eastAsia="zh-CN"/>
        </w:rPr>
        <w:t>下列</w:t>
      </w:r>
      <w:r>
        <w:rPr>
          <w:rFonts w:hint="eastAsia" w:ascii="仿宋_GB2312" w:hAnsi="仿宋_GB2312" w:eastAsia="仿宋_GB2312" w:cs="仿宋_GB2312"/>
          <w:b w:val="0"/>
          <w:bCs w:val="0"/>
          <w:sz w:val="32"/>
          <w:szCs w:val="32"/>
        </w:rPr>
        <w:t>公证事项</w:t>
      </w:r>
      <w:r>
        <w:rPr>
          <w:rFonts w:hint="eastAsia" w:ascii="仿宋_GB2312" w:hAnsi="仿宋_GB2312" w:eastAsia="仿宋_GB2312" w:cs="仿宋_GB2312"/>
          <w:b w:val="0"/>
          <w:bCs w:val="0"/>
          <w:sz w:val="32"/>
          <w:szCs w:val="32"/>
          <w:lang w:eastAsia="zh-CN"/>
        </w:rPr>
        <w:t>：</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auto"/>
        <w:outlineLvl w:val="9"/>
        <w:rPr>
          <w:rFonts w:hint="eastAsia" w:ascii="仿宋_GB2312" w:hAnsi="仿宋_GB2312" w:eastAsia="仿宋_GB2312" w:cs="仿宋_GB2312"/>
          <w:b w:val="0"/>
          <w:bCs w:val="0"/>
          <w:sz w:val="32"/>
          <w:szCs w:val="32"/>
          <w:lang w:eastAsia="zh-CN"/>
        </w:rPr>
      </w:pPr>
      <w:r>
        <w:rPr>
          <w:rFonts w:hint="eastAsia" w:ascii="仿宋_GB2312" w:hAnsi="仿宋_GB2312" w:eastAsia="仿宋_GB2312" w:cs="仿宋_GB2312"/>
          <w:b w:val="0"/>
          <w:bCs w:val="0"/>
          <w:sz w:val="32"/>
          <w:szCs w:val="32"/>
          <w:lang w:eastAsia="zh-CN"/>
        </w:rPr>
        <w:t>（一）合同；</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auto"/>
        <w:outlineLvl w:val="9"/>
        <w:rPr>
          <w:rFonts w:hint="eastAsia" w:ascii="仿宋_GB2312" w:hAnsi="仿宋_GB2312" w:eastAsia="仿宋_GB2312" w:cs="仿宋_GB2312"/>
          <w:b w:val="0"/>
          <w:bCs w:val="0"/>
          <w:sz w:val="32"/>
          <w:szCs w:val="32"/>
          <w:lang w:eastAsia="zh-CN"/>
        </w:rPr>
      </w:pPr>
      <w:r>
        <w:rPr>
          <w:rFonts w:hint="eastAsia" w:ascii="仿宋_GB2312" w:hAnsi="仿宋_GB2312" w:eastAsia="仿宋_GB2312" w:cs="仿宋_GB2312"/>
          <w:b w:val="0"/>
          <w:bCs w:val="0"/>
          <w:sz w:val="32"/>
          <w:szCs w:val="32"/>
          <w:lang w:eastAsia="zh-CN"/>
        </w:rPr>
        <w:t>（二）继承；</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auto"/>
        <w:outlineLvl w:val="9"/>
        <w:rPr>
          <w:rFonts w:hint="eastAsia" w:ascii="仿宋_GB2312" w:hAnsi="仿宋_GB2312" w:eastAsia="仿宋_GB2312" w:cs="仿宋_GB2312"/>
          <w:b w:val="0"/>
          <w:bCs w:val="0"/>
          <w:sz w:val="32"/>
          <w:szCs w:val="32"/>
          <w:lang w:eastAsia="zh-CN"/>
        </w:rPr>
      </w:pPr>
      <w:r>
        <w:rPr>
          <w:rFonts w:hint="eastAsia" w:ascii="仿宋_GB2312" w:hAnsi="仿宋_GB2312" w:eastAsia="仿宋_GB2312" w:cs="仿宋_GB2312"/>
          <w:b w:val="0"/>
          <w:bCs w:val="0"/>
          <w:sz w:val="32"/>
          <w:szCs w:val="32"/>
          <w:lang w:eastAsia="zh-CN"/>
        </w:rPr>
        <w:t>（三）委托、声明、赠与、遗嘱；</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auto"/>
        <w:outlineLvl w:val="9"/>
        <w:rPr>
          <w:rFonts w:hint="eastAsia" w:ascii="仿宋_GB2312" w:hAnsi="仿宋_GB2312" w:eastAsia="仿宋_GB2312" w:cs="仿宋_GB2312"/>
          <w:b w:val="0"/>
          <w:bCs w:val="0"/>
          <w:sz w:val="32"/>
          <w:szCs w:val="32"/>
          <w:lang w:eastAsia="zh-CN"/>
        </w:rPr>
      </w:pPr>
      <w:r>
        <w:rPr>
          <w:rFonts w:hint="eastAsia" w:ascii="仿宋_GB2312" w:hAnsi="仿宋_GB2312" w:eastAsia="仿宋_GB2312" w:cs="仿宋_GB2312"/>
          <w:b w:val="0"/>
          <w:bCs w:val="0"/>
          <w:sz w:val="32"/>
          <w:szCs w:val="32"/>
          <w:lang w:eastAsia="zh-CN"/>
        </w:rPr>
        <w:t>（四）财产分割；</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auto"/>
        <w:outlineLvl w:val="9"/>
        <w:rPr>
          <w:rFonts w:hint="eastAsia" w:ascii="仿宋_GB2312" w:hAnsi="仿宋_GB2312" w:eastAsia="仿宋_GB2312" w:cs="仿宋_GB2312"/>
          <w:b w:val="0"/>
          <w:bCs w:val="0"/>
          <w:sz w:val="32"/>
          <w:szCs w:val="32"/>
          <w:lang w:eastAsia="zh-CN"/>
        </w:rPr>
      </w:pPr>
      <w:r>
        <w:rPr>
          <w:rFonts w:hint="eastAsia" w:ascii="仿宋_GB2312" w:hAnsi="仿宋_GB2312" w:eastAsia="仿宋_GB2312" w:cs="仿宋_GB2312"/>
          <w:b w:val="0"/>
          <w:bCs w:val="0"/>
          <w:sz w:val="32"/>
          <w:szCs w:val="32"/>
          <w:lang w:eastAsia="zh-CN"/>
        </w:rPr>
        <w:t>（五）招标投标、拍卖；</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auto"/>
        <w:outlineLvl w:val="9"/>
        <w:rPr>
          <w:rFonts w:hint="eastAsia" w:ascii="仿宋_GB2312" w:hAnsi="仿宋_GB2312" w:eastAsia="仿宋_GB2312" w:cs="仿宋_GB2312"/>
          <w:b w:val="0"/>
          <w:bCs w:val="0"/>
          <w:sz w:val="32"/>
          <w:szCs w:val="32"/>
          <w:lang w:eastAsia="zh-CN"/>
        </w:rPr>
      </w:pPr>
      <w:r>
        <w:rPr>
          <w:rFonts w:hint="eastAsia" w:ascii="仿宋_GB2312" w:hAnsi="仿宋_GB2312" w:eastAsia="仿宋_GB2312" w:cs="仿宋_GB2312"/>
          <w:b w:val="0"/>
          <w:bCs w:val="0"/>
          <w:sz w:val="32"/>
          <w:szCs w:val="32"/>
          <w:lang w:eastAsia="zh-CN"/>
        </w:rPr>
        <w:t>（六）婚姻状况、亲属关系、收养关系；</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auto"/>
        <w:outlineLvl w:val="9"/>
        <w:rPr>
          <w:rFonts w:hint="eastAsia" w:ascii="仿宋_GB2312" w:hAnsi="仿宋_GB2312" w:eastAsia="仿宋_GB2312" w:cs="仿宋_GB2312"/>
          <w:b w:val="0"/>
          <w:bCs w:val="0"/>
          <w:sz w:val="32"/>
          <w:szCs w:val="32"/>
          <w:lang w:eastAsia="zh-CN"/>
        </w:rPr>
      </w:pPr>
      <w:r>
        <w:rPr>
          <w:rFonts w:hint="eastAsia" w:ascii="仿宋_GB2312" w:hAnsi="仿宋_GB2312" w:eastAsia="仿宋_GB2312" w:cs="仿宋_GB2312"/>
          <w:b w:val="0"/>
          <w:bCs w:val="0"/>
          <w:sz w:val="32"/>
          <w:szCs w:val="32"/>
          <w:lang w:eastAsia="zh-CN"/>
        </w:rPr>
        <w:t>（七）出生、生存、死亡、身份、经历、学历、学位、职务、职称、有无违法犯罪记录；</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auto"/>
        <w:outlineLvl w:val="9"/>
        <w:rPr>
          <w:rFonts w:hint="eastAsia" w:ascii="仿宋_GB2312" w:hAnsi="仿宋_GB2312" w:eastAsia="仿宋_GB2312" w:cs="仿宋_GB2312"/>
          <w:b w:val="0"/>
          <w:bCs w:val="0"/>
          <w:sz w:val="32"/>
          <w:szCs w:val="32"/>
          <w:lang w:eastAsia="zh-CN"/>
        </w:rPr>
      </w:pPr>
      <w:r>
        <w:rPr>
          <w:rFonts w:hint="eastAsia" w:ascii="仿宋_GB2312" w:hAnsi="仿宋_GB2312" w:eastAsia="仿宋_GB2312" w:cs="仿宋_GB2312"/>
          <w:b w:val="0"/>
          <w:bCs w:val="0"/>
          <w:sz w:val="32"/>
          <w:szCs w:val="32"/>
          <w:lang w:eastAsia="zh-CN"/>
        </w:rPr>
        <w:t>（八）公司章程；</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auto"/>
        <w:outlineLvl w:val="9"/>
        <w:rPr>
          <w:rFonts w:hint="eastAsia" w:ascii="仿宋_GB2312" w:hAnsi="仿宋_GB2312" w:eastAsia="仿宋_GB2312" w:cs="仿宋_GB2312"/>
          <w:b w:val="0"/>
          <w:bCs w:val="0"/>
          <w:sz w:val="32"/>
          <w:szCs w:val="32"/>
          <w:lang w:eastAsia="zh-CN"/>
        </w:rPr>
      </w:pPr>
      <w:r>
        <w:rPr>
          <w:rFonts w:hint="eastAsia" w:ascii="仿宋_GB2312" w:hAnsi="仿宋_GB2312" w:eastAsia="仿宋_GB2312" w:cs="仿宋_GB2312"/>
          <w:b w:val="0"/>
          <w:bCs w:val="0"/>
          <w:sz w:val="32"/>
          <w:szCs w:val="32"/>
          <w:lang w:eastAsia="zh-CN"/>
        </w:rPr>
        <w:t>（九）保全证据；</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auto"/>
        <w:outlineLvl w:val="9"/>
        <w:rPr>
          <w:rFonts w:hint="eastAsia" w:ascii="仿宋_GB2312" w:hAnsi="仿宋_GB2312" w:eastAsia="仿宋_GB2312" w:cs="仿宋_GB2312"/>
          <w:b w:val="0"/>
          <w:bCs w:val="0"/>
          <w:sz w:val="32"/>
          <w:szCs w:val="32"/>
          <w:lang w:eastAsia="zh-CN"/>
        </w:rPr>
      </w:pPr>
      <w:r>
        <w:rPr>
          <w:rFonts w:hint="eastAsia" w:ascii="仿宋_GB2312" w:hAnsi="仿宋_GB2312" w:eastAsia="仿宋_GB2312" w:cs="仿宋_GB2312"/>
          <w:b w:val="0"/>
          <w:bCs w:val="0"/>
          <w:sz w:val="32"/>
          <w:szCs w:val="32"/>
          <w:lang w:eastAsia="zh-CN"/>
        </w:rPr>
        <w:t>（十）文书上的签名、印鉴、日期，文书的副本、影印本与原本相符；</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auto"/>
        <w:outlineLvl w:val="9"/>
        <w:rPr>
          <w:rFonts w:hint="eastAsia" w:ascii="仿宋_GB2312" w:hAnsi="仿宋_GB2312" w:eastAsia="仿宋_GB2312" w:cs="仿宋_GB2312"/>
          <w:b w:val="0"/>
          <w:bCs w:val="0"/>
          <w:sz w:val="32"/>
          <w:szCs w:val="32"/>
          <w:lang w:eastAsia="zh-CN"/>
        </w:rPr>
      </w:pPr>
      <w:r>
        <w:rPr>
          <w:rFonts w:hint="eastAsia" w:ascii="仿宋_GB2312" w:hAnsi="仿宋_GB2312" w:eastAsia="仿宋_GB2312" w:cs="仿宋_GB2312"/>
          <w:b w:val="0"/>
          <w:bCs w:val="0"/>
          <w:sz w:val="32"/>
          <w:szCs w:val="32"/>
          <w:lang w:eastAsia="zh-CN"/>
        </w:rPr>
        <w:t>（十一）当事人自愿申请办理的其他公证事项。</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auto"/>
        <w:outlineLvl w:val="9"/>
        <w:rPr>
          <w:rFonts w:hint="eastAsia" w:ascii="仿宋_GB2312" w:hAnsi="仿宋_GB2312" w:eastAsia="仿宋_GB2312" w:cs="仿宋_GB2312"/>
          <w:b w:val="0"/>
          <w:bCs w:val="0"/>
          <w:sz w:val="32"/>
          <w:szCs w:val="32"/>
          <w:lang w:eastAsia="zh-CN"/>
        </w:rPr>
      </w:pPr>
      <w:r>
        <w:rPr>
          <w:rFonts w:hint="eastAsia" w:ascii="仿宋_GB2312" w:hAnsi="仿宋_GB2312" w:eastAsia="仿宋_GB2312" w:cs="仿宋_GB2312"/>
          <w:b w:val="0"/>
          <w:bCs w:val="0"/>
          <w:sz w:val="32"/>
          <w:szCs w:val="32"/>
          <w:lang w:eastAsia="zh-CN"/>
        </w:rPr>
        <w:t>法律、行政法规规定应当公证的事项，有关当事人应当向公证机构申请办理公证。</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auto"/>
        <w:outlineLvl w:val="9"/>
        <w:rPr>
          <w:rFonts w:hint="eastAsia" w:ascii="仿宋_GB2312" w:hAnsi="仿宋_GB2312" w:eastAsia="仿宋_GB2312" w:cs="仿宋_GB2312"/>
          <w:b w:val="0"/>
          <w:bCs w:val="0"/>
          <w:sz w:val="32"/>
          <w:szCs w:val="32"/>
          <w:lang w:eastAsia="zh-CN"/>
        </w:rPr>
      </w:pPr>
      <w:r>
        <w:rPr>
          <w:rFonts w:hint="eastAsia" w:ascii="黑体" w:hAnsi="黑体" w:eastAsia="黑体" w:cs="黑体"/>
          <w:color w:val="000000"/>
          <w:kern w:val="2"/>
          <w:sz w:val="32"/>
          <w:szCs w:val="32"/>
          <w:lang w:val="en-US" w:eastAsia="zh-CN" w:bidi="ar-SA"/>
        </w:rPr>
        <w:t xml:space="preserve">第十一条  </w:t>
      </w:r>
      <w:r>
        <w:rPr>
          <w:rFonts w:hint="eastAsia" w:ascii="仿宋_GB2312" w:hAnsi="仿宋_GB2312" w:eastAsia="仿宋_GB2312" w:cs="仿宋_GB2312"/>
          <w:b w:val="0"/>
          <w:bCs w:val="0"/>
          <w:sz w:val="32"/>
          <w:szCs w:val="32"/>
          <w:lang w:eastAsia="zh-CN"/>
        </w:rPr>
        <w:t>根据当事人的申请，公证机构可以办理下列事务：</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auto"/>
        <w:outlineLvl w:val="9"/>
        <w:rPr>
          <w:rFonts w:hint="eastAsia" w:ascii="仿宋_GB2312" w:hAnsi="仿宋_GB2312" w:eastAsia="仿宋_GB2312" w:cs="仿宋_GB2312"/>
          <w:b w:val="0"/>
          <w:bCs w:val="0"/>
          <w:sz w:val="32"/>
          <w:szCs w:val="32"/>
          <w:lang w:eastAsia="zh-CN"/>
        </w:rPr>
      </w:pPr>
      <w:r>
        <w:rPr>
          <w:rFonts w:hint="eastAsia" w:ascii="仿宋_GB2312" w:hAnsi="仿宋_GB2312" w:eastAsia="仿宋_GB2312" w:cs="仿宋_GB2312"/>
          <w:b w:val="0"/>
          <w:bCs w:val="0"/>
          <w:sz w:val="32"/>
          <w:szCs w:val="32"/>
          <w:lang w:eastAsia="zh-CN"/>
        </w:rPr>
        <w:t>（一）法律、行政法规规定由公证机构登记的事务；</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auto"/>
        <w:outlineLvl w:val="9"/>
        <w:rPr>
          <w:rFonts w:hint="eastAsia" w:ascii="仿宋_GB2312" w:hAnsi="仿宋_GB2312" w:eastAsia="仿宋_GB2312" w:cs="仿宋_GB2312"/>
          <w:b w:val="0"/>
          <w:bCs w:val="0"/>
          <w:sz w:val="32"/>
          <w:szCs w:val="32"/>
          <w:lang w:eastAsia="zh-CN"/>
        </w:rPr>
      </w:pPr>
      <w:r>
        <w:rPr>
          <w:rFonts w:hint="eastAsia" w:ascii="仿宋_GB2312" w:hAnsi="仿宋_GB2312" w:eastAsia="仿宋_GB2312" w:cs="仿宋_GB2312"/>
          <w:b w:val="0"/>
          <w:bCs w:val="0"/>
          <w:sz w:val="32"/>
          <w:szCs w:val="32"/>
          <w:lang w:eastAsia="zh-CN"/>
        </w:rPr>
        <w:t>（二）提存；</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auto"/>
        <w:outlineLvl w:val="9"/>
        <w:rPr>
          <w:rFonts w:hint="eastAsia" w:ascii="仿宋_GB2312" w:hAnsi="仿宋_GB2312" w:eastAsia="仿宋_GB2312" w:cs="仿宋_GB2312"/>
          <w:b w:val="0"/>
          <w:bCs w:val="0"/>
          <w:sz w:val="32"/>
          <w:szCs w:val="32"/>
          <w:lang w:eastAsia="zh-CN"/>
        </w:rPr>
      </w:pPr>
      <w:r>
        <w:rPr>
          <w:rFonts w:hint="eastAsia" w:ascii="仿宋_GB2312" w:hAnsi="仿宋_GB2312" w:eastAsia="仿宋_GB2312" w:cs="仿宋_GB2312"/>
          <w:b w:val="0"/>
          <w:bCs w:val="0"/>
          <w:sz w:val="32"/>
          <w:szCs w:val="32"/>
          <w:lang w:eastAsia="zh-CN"/>
        </w:rPr>
        <w:t>（三）保管遗嘱、遗产或者其他与公证事项有关的财产、物品、文书；</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auto"/>
        <w:outlineLvl w:val="9"/>
        <w:rPr>
          <w:rFonts w:hint="eastAsia" w:ascii="仿宋_GB2312" w:hAnsi="仿宋_GB2312" w:eastAsia="仿宋_GB2312" w:cs="仿宋_GB2312"/>
          <w:b w:val="0"/>
          <w:bCs w:val="0"/>
          <w:sz w:val="32"/>
          <w:szCs w:val="32"/>
          <w:lang w:eastAsia="zh-CN"/>
        </w:rPr>
      </w:pPr>
      <w:r>
        <w:rPr>
          <w:rFonts w:hint="eastAsia" w:ascii="仿宋_GB2312" w:hAnsi="仿宋_GB2312" w:eastAsia="仿宋_GB2312" w:cs="仿宋_GB2312"/>
          <w:b w:val="0"/>
          <w:bCs w:val="0"/>
          <w:sz w:val="32"/>
          <w:szCs w:val="32"/>
          <w:lang w:eastAsia="zh-CN"/>
        </w:rPr>
        <w:t>（四）代写与公证事项有关的法律事务文书；</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auto"/>
        <w:outlineLvl w:val="9"/>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eastAsia="zh-CN"/>
        </w:rPr>
        <w:t>（五）提供公证法律咨询。</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Times New Roman"/>
          <w:kern w:val="2"/>
          <w:sz w:val="32"/>
          <w:szCs w:val="32"/>
          <w:lang w:val="en-US" w:eastAsia="zh-CN" w:bidi="ar-SA"/>
        </w:rPr>
        <w:t>第十二条</w:t>
      </w:r>
      <w:r>
        <w:rPr>
          <w:rFonts w:hint="eastAsia" w:ascii="仿宋_GB2312" w:hAnsi="仿宋_GB2312" w:eastAsia="仿宋_GB2312" w:cs="仿宋_GB2312"/>
          <w:b w:val="0"/>
          <w:bCs w:val="0"/>
          <w:sz w:val="32"/>
          <w:szCs w:val="32"/>
        </w:rPr>
        <w:t xml:space="preserve">  支持公证机构依法在人民法院调解、取证、送达、保全、执行等环节提供公证法律服务。</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Times New Roman"/>
          <w:kern w:val="2"/>
          <w:sz w:val="32"/>
          <w:szCs w:val="32"/>
          <w:lang w:val="en-US" w:eastAsia="zh-CN" w:bidi="ar-SA"/>
        </w:rPr>
        <w:t xml:space="preserve">第十三条 </w:t>
      </w:r>
      <w:r>
        <w:rPr>
          <w:rFonts w:hint="eastAsia" w:ascii="仿宋_GB2312" w:hAnsi="仿宋_GB2312" w:eastAsia="仿宋_GB2312" w:cs="仿宋_GB2312"/>
          <w:b w:val="0"/>
          <w:bCs w:val="0"/>
          <w:sz w:val="32"/>
          <w:szCs w:val="32"/>
        </w:rPr>
        <w:t xml:space="preserve"> 鼓励公证机构拓展创新金融、知识产权保护、黄河流域生态保护和高质量发展等领域的公证法律服务。</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auto"/>
        <w:outlineLvl w:val="9"/>
        <w:rPr>
          <w:rFonts w:hint="eastAsia" w:ascii="仿宋_GB2312" w:hAnsi="仿宋_GB2312" w:eastAsia="仿宋_GB2312" w:cs="仿宋_GB2312"/>
          <w:b w:val="0"/>
          <w:bCs w:val="0"/>
          <w:spacing w:val="-6"/>
          <w:sz w:val="32"/>
          <w:szCs w:val="32"/>
        </w:rPr>
      </w:pPr>
      <w:r>
        <w:rPr>
          <w:rFonts w:hint="eastAsia" w:ascii="黑体" w:hAnsi="黑体" w:eastAsia="黑体" w:cs="Times New Roman"/>
          <w:kern w:val="2"/>
          <w:sz w:val="32"/>
          <w:szCs w:val="32"/>
          <w:lang w:val="en-US" w:eastAsia="zh-CN" w:bidi="ar-SA"/>
        </w:rPr>
        <w:t xml:space="preserve">第十四条 </w:t>
      </w:r>
      <w:r>
        <w:rPr>
          <w:rFonts w:hint="eastAsia" w:ascii="仿宋_GB2312" w:hAnsi="仿宋_GB2312" w:eastAsia="仿宋_GB2312" w:cs="仿宋_GB2312"/>
          <w:b w:val="0"/>
          <w:bCs w:val="0"/>
          <w:sz w:val="32"/>
          <w:szCs w:val="32"/>
        </w:rPr>
        <w:t xml:space="preserve"> 公证机构应当建立业务、财务、资产、公证档案等管理制度，对公证员的执业行为进行监督管理，建立执业</w:t>
      </w:r>
      <w:r>
        <w:rPr>
          <w:rFonts w:hint="eastAsia" w:ascii="仿宋_GB2312" w:hAnsi="仿宋_GB2312" w:eastAsia="仿宋_GB2312" w:cs="仿宋_GB2312"/>
          <w:b w:val="0"/>
          <w:bCs w:val="0"/>
          <w:spacing w:val="-6"/>
          <w:sz w:val="32"/>
          <w:szCs w:val="32"/>
        </w:rPr>
        <w:t>过错责任追究等管理制度。</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Times New Roman"/>
          <w:kern w:val="2"/>
          <w:sz w:val="32"/>
          <w:szCs w:val="32"/>
          <w:lang w:val="en-US" w:eastAsia="zh-CN" w:bidi="ar-SA"/>
        </w:rPr>
        <w:t xml:space="preserve">第十五条 </w:t>
      </w:r>
      <w:r>
        <w:rPr>
          <w:rFonts w:hint="eastAsia" w:ascii="仿宋_GB2312" w:hAnsi="仿宋_GB2312" w:eastAsia="仿宋_GB2312" w:cs="仿宋_GB2312"/>
          <w:b w:val="0"/>
          <w:bCs w:val="0"/>
          <w:sz w:val="32"/>
          <w:szCs w:val="32"/>
        </w:rPr>
        <w:t xml:space="preserve"> 公证机构不得有下列行为：</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（一）为不真实、不合法的事项出具公证书；</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（二）毁损、篡改公证文书或者公证档案；</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（三）以诋毁其他公证机构、公证员或者支付回扣、佣金等不正当手段争揽公证业务；</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（四）泄露在执业活动中知悉的国家秘密、商业秘密或者个人隐私；</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（五）违反规定的收费标准收取公证费；</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w:t>
      </w:r>
      <w:r>
        <w:rPr>
          <w:rFonts w:hint="eastAsia" w:ascii="仿宋_GB2312" w:hAnsi="仿宋_GB2312" w:eastAsia="仿宋_GB2312" w:cs="仿宋_GB2312"/>
          <w:b w:val="0"/>
          <w:bCs w:val="0"/>
          <w:sz w:val="32"/>
          <w:szCs w:val="32"/>
          <w:lang w:eastAsia="zh-CN"/>
        </w:rPr>
        <w:t>六</w:t>
      </w:r>
      <w:r>
        <w:rPr>
          <w:rFonts w:hint="eastAsia" w:ascii="仿宋_GB2312" w:hAnsi="仿宋_GB2312" w:eastAsia="仿宋_GB2312" w:cs="仿宋_GB2312"/>
          <w:b w:val="0"/>
          <w:bCs w:val="0"/>
          <w:sz w:val="32"/>
          <w:szCs w:val="32"/>
        </w:rPr>
        <w:t>）法律、法规</w:t>
      </w:r>
      <w:r>
        <w:rPr>
          <w:rFonts w:hint="eastAsia" w:ascii="仿宋_GB2312" w:hAnsi="仿宋_GB2312" w:eastAsia="仿宋_GB2312" w:cs="仿宋_GB2312"/>
          <w:b w:val="0"/>
          <w:bCs w:val="0"/>
          <w:sz w:val="32"/>
          <w:szCs w:val="32"/>
          <w:lang w:val="en-US" w:eastAsia="zh-CN"/>
        </w:rPr>
        <w:t>和国家</w:t>
      </w:r>
      <w:r>
        <w:rPr>
          <w:rFonts w:hint="eastAsia" w:ascii="仿宋_GB2312" w:hAnsi="仿宋_GB2312" w:eastAsia="仿宋_GB2312" w:cs="仿宋_GB2312"/>
          <w:b w:val="0"/>
          <w:bCs w:val="0"/>
          <w:sz w:val="32"/>
          <w:szCs w:val="32"/>
        </w:rPr>
        <w:t>规定禁止的其他行为。</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Times New Roman"/>
          <w:kern w:val="2"/>
          <w:sz w:val="32"/>
          <w:szCs w:val="32"/>
          <w:lang w:val="en-US" w:eastAsia="zh-CN" w:bidi="ar-SA"/>
        </w:rPr>
        <w:t>第十六条</w:t>
      </w:r>
      <w:r>
        <w:rPr>
          <w:rFonts w:hint="eastAsia" w:ascii="仿宋_GB2312" w:hAnsi="仿宋_GB2312" w:eastAsia="仿宋_GB2312" w:cs="仿宋_GB2312"/>
          <w:b w:val="0"/>
          <w:bCs w:val="0"/>
          <w:sz w:val="32"/>
          <w:szCs w:val="32"/>
        </w:rPr>
        <w:t xml:space="preserve">  公证机构按照规定向当事人收取公证费。</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鼓励公证机构为老年人、未成年人、残疾人、农民工及生活困难群众提供公益性</w:t>
      </w:r>
      <w:r>
        <w:rPr>
          <w:rFonts w:hint="eastAsia" w:ascii="仿宋_GB2312" w:hAnsi="仿宋_GB2312" w:eastAsia="仿宋_GB2312" w:cs="仿宋_GB2312"/>
          <w:b w:val="0"/>
          <w:bCs w:val="0"/>
          <w:sz w:val="32"/>
          <w:szCs w:val="32"/>
          <w:lang w:eastAsia="zh-CN"/>
        </w:rPr>
        <w:t>公证</w:t>
      </w:r>
      <w:r>
        <w:rPr>
          <w:rFonts w:hint="eastAsia" w:ascii="仿宋_GB2312" w:hAnsi="仿宋_GB2312" w:eastAsia="仿宋_GB2312" w:cs="仿宋_GB2312"/>
          <w:b w:val="0"/>
          <w:bCs w:val="0"/>
          <w:sz w:val="32"/>
          <w:szCs w:val="32"/>
        </w:rPr>
        <w:t>法律服务，对符合法律援助条件的当事人，按照规定减免公证费。</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鼓励将符合政府购买服务范围规定的公证服务项目纳入政府购买服务目录。</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Times New Roman"/>
          <w:kern w:val="2"/>
          <w:sz w:val="32"/>
          <w:szCs w:val="32"/>
          <w:lang w:val="en-US" w:eastAsia="zh-CN" w:bidi="ar-SA"/>
        </w:rPr>
        <w:t>第十七条</w:t>
      </w:r>
      <w:r>
        <w:rPr>
          <w:rFonts w:hint="eastAsia" w:ascii="仿宋_GB2312" w:hAnsi="仿宋_GB2312" w:eastAsia="仿宋_GB2312" w:cs="仿宋_GB2312"/>
          <w:b w:val="0"/>
          <w:bCs w:val="0"/>
          <w:sz w:val="32"/>
          <w:szCs w:val="32"/>
        </w:rPr>
        <w:t xml:space="preserve">  公证机构应当将公证服务内容、办理流程、收费项目、收费标准、监督电话等在办公场所醒目位置公示，并向社会公布。</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auto"/>
        <w:outlineLvl w:val="9"/>
        <w:rPr>
          <w:rFonts w:hint="eastAsia" w:ascii="黑体" w:hAnsi="黑体" w:eastAsia="黑体" w:cs="Times New Roman"/>
          <w:sz w:val="32"/>
          <w:szCs w:val="32"/>
          <w:lang w:eastAsia="zh-CN"/>
        </w:rPr>
      </w:pPr>
      <w:r>
        <w:rPr>
          <w:rFonts w:hint="eastAsia" w:ascii="黑体" w:hAnsi="黑体" w:eastAsia="黑体" w:cs="Times New Roman"/>
          <w:kern w:val="2"/>
          <w:sz w:val="32"/>
          <w:szCs w:val="32"/>
          <w:lang w:val="en-US" w:eastAsia="zh-CN" w:bidi="ar-SA"/>
        </w:rPr>
        <w:t xml:space="preserve">第十八条 </w:t>
      </w:r>
      <w:r>
        <w:rPr>
          <w:rFonts w:hint="eastAsia" w:ascii="仿宋_GB2312" w:hAnsi="仿宋_GB2312" w:eastAsia="仿宋_GB2312" w:cs="仿宋_GB2312"/>
          <w:b w:val="0"/>
          <w:bCs w:val="0"/>
          <w:sz w:val="32"/>
          <w:szCs w:val="32"/>
        </w:rPr>
        <w:t xml:space="preserve"> 公证机构</w:t>
      </w:r>
      <w:r>
        <w:rPr>
          <w:rFonts w:hint="eastAsia" w:ascii="仿宋_GB2312" w:hAnsi="仿宋_GB2312" w:eastAsia="仿宋_GB2312" w:cs="仿宋_GB2312"/>
          <w:b w:val="0"/>
          <w:bCs w:val="0"/>
          <w:sz w:val="32"/>
          <w:szCs w:val="32"/>
          <w:lang w:eastAsia="zh-CN"/>
        </w:rPr>
        <w:t>依法</w:t>
      </w:r>
      <w:r>
        <w:rPr>
          <w:rFonts w:hint="eastAsia" w:ascii="仿宋_GB2312" w:hAnsi="仿宋_GB2312" w:eastAsia="仿宋_GB2312" w:cs="仿宋_GB2312"/>
          <w:b w:val="0"/>
          <w:bCs w:val="0"/>
          <w:sz w:val="32"/>
          <w:szCs w:val="32"/>
        </w:rPr>
        <w:t>参加公证执业责任保险。</w:t>
      </w:r>
    </w:p>
    <w:p>
      <w:pPr>
        <w:keepNext w:val="0"/>
        <w:keepLines w:val="0"/>
        <w:pageBreakBefore w:val="0"/>
        <w:widowControl w:val="0"/>
        <w:kinsoku/>
        <w:wordWrap/>
        <w:overflowPunct/>
        <w:topLinePunct w:val="0"/>
        <w:autoSpaceDE/>
        <w:autoSpaceDN/>
        <w:bidi w:val="0"/>
        <w:adjustRightInd w:val="0"/>
        <w:snapToGrid w:val="0"/>
        <w:spacing w:line="240" w:lineRule="auto"/>
        <w:ind w:right="0" w:rightChars="0" w:firstLine="360" w:firstLineChars="200"/>
        <w:textAlignment w:val="auto"/>
        <w:outlineLvl w:val="9"/>
        <w:rPr>
          <w:rFonts w:hint="eastAsia" w:ascii="黑体" w:hAnsi="黑体" w:eastAsia="黑体" w:cs="Times New Roman"/>
          <w:kern w:val="2"/>
          <w:sz w:val="18"/>
          <w:szCs w:val="18"/>
          <w:lang w:val="en-US" w:eastAsia="zh-CN" w:bidi="ar-SA"/>
        </w:rPr>
      </w:pPr>
    </w:p>
    <w:p>
      <w:pPr>
        <w:pStyle w:val="7"/>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right="0" w:rightChars="0"/>
        <w:jc w:val="center"/>
        <w:textAlignment w:val="auto"/>
        <w:outlineLvl w:val="0"/>
        <w:rPr>
          <w:rFonts w:hint="eastAsia" w:ascii="黑体" w:hAnsi="黑体" w:eastAsia="黑体" w:cs="Times New Roman"/>
          <w:kern w:val="2"/>
          <w:sz w:val="32"/>
          <w:szCs w:val="32"/>
          <w:lang w:val="en-US" w:eastAsia="zh-CN" w:bidi="ar-SA"/>
        </w:rPr>
      </w:pPr>
      <w:r>
        <w:rPr>
          <w:rFonts w:hint="eastAsia" w:ascii="黑体" w:hAnsi="黑体" w:eastAsia="黑体" w:cs="Times New Roman"/>
          <w:sz w:val="32"/>
          <w:szCs w:val="32"/>
          <w:lang w:eastAsia="zh-CN"/>
        </w:rPr>
        <w:t>第三章  公证员</w:t>
      </w:r>
    </w:p>
    <w:p>
      <w:pPr>
        <w:keepNext w:val="0"/>
        <w:keepLines w:val="0"/>
        <w:pageBreakBefore w:val="0"/>
        <w:widowControl w:val="0"/>
        <w:kinsoku/>
        <w:wordWrap/>
        <w:overflowPunct/>
        <w:topLinePunct w:val="0"/>
        <w:autoSpaceDE/>
        <w:autoSpaceDN/>
        <w:bidi w:val="0"/>
        <w:adjustRightInd w:val="0"/>
        <w:snapToGrid w:val="0"/>
        <w:spacing w:line="240" w:lineRule="auto"/>
        <w:ind w:right="0" w:rightChars="0" w:firstLine="360" w:firstLineChars="200"/>
        <w:textAlignment w:val="auto"/>
        <w:outlineLvl w:val="9"/>
        <w:rPr>
          <w:rFonts w:hint="eastAsia" w:ascii="黑体" w:hAnsi="黑体" w:eastAsia="黑体" w:cs="Times New Roman"/>
          <w:kern w:val="2"/>
          <w:sz w:val="18"/>
          <w:szCs w:val="18"/>
          <w:lang w:val="en-US" w:eastAsia="zh-CN" w:bidi="ar-SA"/>
        </w:rPr>
      </w:pP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Times New Roman"/>
          <w:kern w:val="2"/>
          <w:sz w:val="32"/>
          <w:szCs w:val="32"/>
          <w:lang w:val="en-US" w:eastAsia="zh-CN" w:bidi="ar-SA"/>
        </w:rPr>
        <w:t xml:space="preserve">第十九条 </w:t>
      </w:r>
      <w:r>
        <w:rPr>
          <w:rFonts w:hint="eastAsia" w:ascii="仿宋_GB2312" w:hAnsi="仿宋_GB2312" w:eastAsia="仿宋_GB2312" w:cs="仿宋_GB2312"/>
          <w:b w:val="0"/>
          <w:bCs w:val="0"/>
          <w:sz w:val="32"/>
          <w:szCs w:val="32"/>
        </w:rPr>
        <w:t xml:space="preserve"> 公证员是符合《中华人民共和国公证法》规定的条件，经过法定程序取得公证员执业证书，在公证机构从事公证业务的执业人员。</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公证员依法执业，受法律保护，</w:t>
      </w:r>
      <w:r>
        <w:rPr>
          <w:rFonts w:hint="eastAsia" w:ascii="仿宋_GB2312" w:hAnsi="仿宋_GB2312" w:eastAsia="仿宋_GB2312" w:cs="仿宋_GB2312"/>
          <w:b w:val="0"/>
          <w:bCs w:val="0"/>
          <w:sz w:val="32"/>
          <w:szCs w:val="32"/>
          <w:lang w:eastAsia="zh-CN"/>
        </w:rPr>
        <w:t>任何单位和个人不得非法干预</w:t>
      </w:r>
      <w:r>
        <w:rPr>
          <w:rFonts w:hint="eastAsia" w:ascii="仿宋_GB2312" w:hAnsi="仿宋_GB2312" w:eastAsia="仿宋_GB2312" w:cs="仿宋_GB2312"/>
          <w:b w:val="0"/>
          <w:bCs w:val="0"/>
          <w:sz w:val="32"/>
          <w:szCs w:val="32"/>
        </w:rPr>
        <w:t>。</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Times New Roman"/>
          <w:kern w:val="2"/>
          <w:sz w:val="32"/>
          <w:szCs w:val="32"/>
          <w:lang w:val="en-US" w:eastAsia="zh-CN" w:bidi="ar-SA"/>
        </w:rPr>
        <w:t>第二十条</w:t>
      </w:r>
      <w:r>
        <w:rPr>
          <w:rFonts w:hint="eastAsia" w:ascii="仿宋_GB2312" w:hAnsi="仿宋_GB2312" w:eastAsia="仿宋_GB2312" w:cs="仿宋_GB2312"/>
          <w:b w:val="0"/>
          <w:bCs w:val="0"/>
          <w:sz w:val="32"/>
          <w:szCs w:val="32"/>
        </w:rPr>
        <w:t xml:space="preserve">  公证员应当遵纪守法，恪守职业道德，依法履行公证职责，保守在执业活动中知悉的国家秘密、商业秘密或者个人隐私。</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公证员有权获得劳动报酬，享受保险和福利待遇；有权提出辞职、申诉或者控告；非因法定事由和非经法定程序，不被免职或者处罚。</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Times New Roman"/>
          <w:kern w:val="2"/>
          <w:sz w:val="32"/>
          <w:szCs w:val="32"/>
          <w:lang w:val="en-US" w:eastAsia="zh-CN" w:bidi="ar-SA"/>
        </w:rPr>
        <w:t xml:space="preserve">第二十一条  </w:t>
      </w:r>
      <w:r>
        <w:rPr>
          <w:rFonts w:hint="eastAsia" w:ascii="仿宋_GB2312" w:hAnsi="仿宋_GB2312" w:eastAsia="仿宋_GB2312" w:cs="仿宋_GB2312"/>
          <w:b w:val="0"/>
          <w:bCs w:val="0"/>
          <w:sz w:val="32"/>
          <w:szCs w:val="32"/>
        </w:rPr>
        <w:t>公证员不得有下列行为：</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（一）同时在二个以上公证机构执业；</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（二）从事有报酬的其他职业；</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（三）为本人及近亲属办理公证或者办理与本人及近亲属有利害关系的公证；</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（四）私自出具公证书；</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（五）为不真实、不合法的事项出具公证书；</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（六）侵占、挪用公证费或者侵占、盗窃公证专用物品；</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（七）毁损、篡改公证文书或者公证档案；</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（八）泄露在执业活动中知悉的国家秘密、商业秘密或者个人隐私；</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w:t>
      </w:r>
      <w:r>
        <w:rPr>
          <w:rFonts w:hint="eastAsia" w:ascii="仿宋_GB2312" w:hAnsi="仿宋_GB2312" w:eastAsia="仿宋_GB2312" w:cs="仿宋_GB2312"/>
          <w:b w:val="0"/>
          <w:bCs w:val="0"/>
          <w:sz w:val="32"/>
          <w:szCs w:val="32"/>
          <w:lang w:eastAsia="zh-CN"/>
        </w:rPr>
        <w:t>九</w:t>
      </w:r>
      <w:r>
        <w:rPr>
          <w:rFonts w:hint="eastAsia" w:ascii="仿宋_GB2312" w:hAnsi="仿宋_GB2312" w:eastAsia="仿宋_GB2312" w:cs="仿宋_GB2312"/>
          <w:b w:val="0"/>
          <w:bCs w:val="0"/>
          <w:sz w:val="32"/>
          <w:szCs w:val="32"/>
        </w:rPr>
        <w:t>）法律、法规</w:t>
      </w:r>
      <w:r>
        <w:rPr>
          <w:rFonts w:hint="eastAsia" w:ascii="仿宋_GB2312" w:hAnsi="仿宋_GB2312" w:eastAsia="仿宋_GB2312" w:cs="仿宋_GB2312"/>
          <w:b w:val="0"/>
          <w:bCs w:val="0"/>
          <w:sz w:val="32"/>
          <w:szCs w:val="32"/>
          <w:lang w:val="en-US" w:eastAsia="zh-CN"/>
        </w:rPr>
        <w:t>和国家</w:t>
      </w:r>
      <w:r>
        <w:rPr>
          <w:rFonts w:hint="eastAsia" w:ascii="仿宋_GB2312" w:hAnsi="仿宋_GB2312" w:eastAsia="仿宋_GB2312" w:cs="仿宋_GB2312"/>
          <w:b w:val="0"/>
          <w:bCs w:val="0"/>
          <w:sz w:val="32"/>
          <w:szCs w:val="32"/>
        </w:rPr>
        <w:t>规定禁止的其他行为。</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Times New Roman"/>
          <w:kern w:val="2"/>
          <w:sz w:val="32"/>
          <w:szCs w:val="32"/>
          <w:lang w:val="en-US" w:eastAsia="zh-CN" w:bidi="ar-SA"/>
        </w:rPr>
        <w:t>第二十二条</w:t>
      </w:r>
      <w:r>
        <w:rPr>
          <w:rFonts w:hint="eastAsia" w:ascii="仿宋_GB2312" w:hAnsi="仿宋_GB2312" w:eastAsia="仿宋_GB2312" w:cs="仿宋_GB2312"/>
          <w:b w:val="0"/>
          <w:bCs w:val="0"/>
          <w:sz w:val="32"/>
          <w:szCs w:val="32"/>
        </w:rPr>
        <w:t xml:space="preserve">  公证机构可以根据公证业务需要聘用公证员助理，协助公证员办理公证业务。</w:t>
      </w:r>
    </w:p>
    <w:p>
      <w:pPr>
        <w:pStyle w:val="2"/>
        <w:keepNext w:val="0"/>
        <w:keepLines w:val="0"/>
        <w:pageBreakBefore w:val="0"/>
        <w:widowControl w:val="0"/>
        <w:kinsoku/>
        <w:wordWrap/>
        <w:overflowPunct/>
        <w:topLinePunct w:val="0"/>
        <w:autoSpaceDE/>
        <w:autoSpaceDN/>
        <w:bidi w:val="0"/>
        <w:adjustRightInd w:val="0"/>
        <w:snapToGrid w:val="0"/>
        <w:spacing w:line="560" w:lineRule="exact"/>
        <w:textAlignment w:val="auto"/>
        <w:rPr>
          <w:rFonts w:hint="eastAsia" w:ascii="黑体" w:hAnsi="黑体" w:eastAsia="黑体" w:cs="Times New Roman"/>
          <w:sz w:val="32"/>
          <w:szCs w:val="32"/>
          <w:lang w:eastAsia="zh-CN"/>
        </w:rPr>
      </w:pPr>
      <w:r>
        <w:rPr>
          <w:rFonts w:hint="eastAsia" w:ascii="仿宋_GB2312" w:hAnsi="仿宋_GB2312" w:eastAsia="仿宋_GB2312" w:cs="仿宋_GB2312"/>
          <w:b w:val="0"/>
          <w:bCs w:val="0"/>
          <w:sz w:val="32"/>
          <w:szCs w:val="32"/>
        </w:rPr>
        <w:t>公证员助理不得独立开展业务、出具公证书。</w:t>
      </w:r>
    </w:p>
    <w:p>
      <w:pPr>
        <w:keepNext w:val="0"/>
        <w:keepLines w:val="0"/>
        <w:pageBreakBefore w:val="0"/>
        <w:widowControl w:val="0"/>
        <w:kinsoku/>
        <w:wordWrap/>
        <w:overflowPunct/>
        <w:topLinePunct w:val="0"/>
        <w:autoSpaceDE/>
        <w:autoSpaceDN/>
        <w:bidi w:val="0"/>
        <w:adjustRightInd w:val="0"/>
        <w:snapToGrid w:val="0"/>
        <w:spacing w:line="240" w:lineRule="auto"/>
        <w:ind w:right="0" w:rightChars="0" w:firstLine="360" w:firstLineChars="200"/>
        <w:textAlignment w:val="auto"/>
        <w:outlineLvl w:val="9"/>
        <w:rPr>
          <w:rFonts w:hint="eastAsia" w:ascii="黑体" w:hAnsi="黑体" w:eastAsia="黑体" w:cs="Times New Roman"/>
          <w:kern w:val="2"/>
          <w:sz w:val="18"/>
          <w:szCs w:val="18"/>
          <w:lang w:val="en-US" w:eastAsia="zh-CN" w:bidi="ar-SA"/>
        </w:rPr>
      </w:pPr>
    </w:p>
    <w:p>
      <w:pPr>
        <w:pStyle w:val="7"/>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right="0" w:rightChars="0"/>
        <w:jc w:val="center"/>
        <w:textAlignment w:val="auto"/>
        <w:outlineLvl w:val="0"/>
        <w:rPr>
          <w:rFonts w:hint="eastAsia" w:ascii="黑体" w:hAnsi="黑体" w:eastAsia="黑体" w:cs="Times New Roman"/>
          <w:kern w:val="2"/>
          <w:sz w:val="32"/>
          <w:szCs w:val="32"/>
          <w:lang w:val="en-US" w:eastAsia="zh-CN" w:bidi="ar-SA"/>
        </w:rPr>
      </w:pPr>
      <w:r>
        <w:rPr>
          <w:rFonts w:hint="eastAsia" w:ascii="黑体" w:hAnsi="黑体" w:eastAsia="黑体" w:cs="Times New Roman"/>
          <w:sz w:val="32"/>
          <w:szCs w:val="32"/>
          <w:lang w:eastAsia="zh-CN"/>
        </w:rPr>
        <w:t>第四章  公证程序</w:t>
      </w:r>
    </w:p>
    <w:p>
      <w:pPr>
        <w:keepNext w:val="0"/>
        <w:keepLines w:val="0"/>
        <w:pageBreakBefore w:val="0"/>
        <w:widowControl w:val="0"/>
        <w:kinsoku/>
        <w:wordWrap/>
        <w:overflowPunct/>
        <w:topLinePunct w:val="0"/>
        <w:autoSpaceDE/>
        <w:autoSpaceDN/>
        <w:bidi w:val="0"/>
        <w:adjustRightInd w:val="0"/>
        <w:snapToGrid w:val="0"/>
        <w:spacing w:line="240" w:lineRule="auto"/>
        <w:ind w:right="0" w:rightChars="0" w:firstLine="360" w:firstLineChars="200"/>
        <w:textAlignment w:val="auto"/>
        <w:outlineLvl w:val="9"/>
        <w:rPr>
          <w:rFonts w:hint="eastAsia" w:ascii="黑体" w:hAnsi="黑体" w:eastAsia="黑体" w:cs="Times New Roman"/>
          <w:kern w:val="2"/>
          <w:sz w:val="18"/>
          <w:szCs w:val="18"/>
          <w:lang w:val="en-US" w:eastAsia="zh-CN" w:bidi="ar-SA"/>
        </w:rPr>
      </w:pP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Times New Roman"/>
          <w:kern w:val="2"/>
          <w:sz w:val="32"/>
          <w:szCs w:val="32"/>
          <w:lang w:val="en-US" w:eastAsia="zh-CN" w:bidi="ar-SA"/>
        </w:rPr>
        <w:t xml:space="preserve">第二十三条 </w:t>
      </w:r>
      <w:r>
        <w:rPr>
          <w:rFonts w:hint="eastAsia" w:ascii="仿宋_GB2312" w:hAnsi="仿宋_GB2312" w:eastAsia="仿宋_GB2312" w:cs="仿宋_GB2312"/>
          <w:b w:val="0"/>
          <w:bCs w:val="0"/>
          <w:sz w:val="32"/>
          <w:szCs w:val="32"/>
        </w:rPr>
        <w:t xml:space="preserve"> 公证机构应当</w:t>
      </w:r>
      <w:r>
        <w:rPr>
          <w:rFonts w:hint="eastAsia" w:ascii="仿宋_GB2312" w:hAnsi="仿宋_GB2312" w:eastAsia="仿宋_GB2312" w:cs="仿宋_GB2312"/>
          <w:b w:val="0"/>
          <w:bCs w:val="0"/>
          <w:sz w:val="32"/>
          <w:szCs w:val="32"/>
          <w:lang w:val="en-US" w:eastAsia="zh-CN"/>
        </w:rPr>
        <w:t>提供公证咨询服务</w:t>
      </w:r>
      <w:r>
        <w:rPr>
          <w:rFonts w:hint="eastAsia" w:ascii="仿宋_GB2312" w:hAnsi="仿宋_GB2312" w:eastAsia="仿宋_GB2312" w:cs="仿宋_GB2312"/>
          <w:b w:val="0"/>
          <w:bCs w:val="0"/>
          <w:sz w:val="32"/>
          <w:szCs w:val="32"/>
        </w:rPr>
        <w:t>，优化公证办理流程，缩短办理时限，推进信息网络建设，提高办理效率，提供优质服务。</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Times New Roman"/>
          <w:kern w:val="2"/>
          <w:sz w:val="32"/>
          <w:szCs w:val="32"/>
          <w:lang w:val="en-US" w:eastAsia="zh-CN" w:bidi="ar-SA"/>
        </w:rPr>
        <w:t>第二十四条</w:t>
      </w:r>
      <w:r>
        <w:rPr>
          <w:rFonts w:hint="eastAsia" w:ascii="仿宋_GB2312" w:hAnsi="仿宋_GB2312" w:eastAsia="仿宋_GB2312" w:cs="仿宋_GB2312"/>
          <w:b w:val="0"/>
          <w:bCs w:val="0"/>
          <w:sz w:val="32"/>
          <w:szCs w:val="32"/>
        </w:rPr>
        <w:t xml:space="preserve">  当事人办理公证，可以向公证机构提出申请或者委托他人代为申请，但申办遗嘱、遗赠扶养协议、赠与、认领亲子、收养关系、生存状况、委托、声明、保证及其他与自然人人身有密切关系的公证事项，应当由其本人亲自申办。</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对于前款规定的公证事项，本人确有困难不能亲自到公证机构办理的，公证机构可以指派公证员为其提供上门服务。</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auto"/>
        <w:outlineLvl w:val="9"/>
        <w:rPr>
          <w:rFonts w:hint="eastAsia" w:ascii="仿宋_GB2312" w:hAnsi="仿宋_GB2312" w:eastAsia="仿宋_GB2312" w:cs="仿宋_GB2312"/>
          <w:b w:val="0"/>
          <w:bCs w:val="0"/>
          <w:sz w:val="32"/>
          <w:szCs w:val="32"/>
          <w:lang w:eastAsia="zh-CN"/>
        </w:rPr>
      </w:pPr>
      <w:r>
        <w:rPr>
          <w:rFonts w:hint="eastAsia" w:ascii="仿宋_GB2312" w:hAnsi="仿宋_GB2312" w:eastAsia="仿宋_GB2312" w:cs="仿宋_GB2312"/>
          <w:b w:val="0"/>
          <w:bCs w:val="0"/>
          <w:sz w:val="32"/>
          <w:szCs w:val="32"/>
          <w:lang w:eastAsia="zh-CN"/>
        </w:rPr>
        <w:t>公证员、公证机构的其他工作人员不得代理当事人在本公证机构</w:t>
      </w:r>
      <w:r>
        <w:rPr>
          <w:rFonts w:hint="eastAsia" w:ascii="仿宋_GB2312" w:hAnsi="仿宋_GB2312" w:eastAsia="仿宋_GB2312" w:cs="仿宋_GB2312"/>
          <w:b w:val="0"/>
          <w:bCs w:val="0"/>
          <w:sz w:val="32"/>
          <w:szCs w:val="32"/>
        </w:rPr>
        <w:t>申请办理</w:t>
      </w:r>
      <w:r>
        <w:rPr>
          <w:rFonts w:hint="eastAsia" w:ascii="仿宋_GB2312" w:hAnsi="仿宋_GB2312" w:eastAsia="仿宋_GB2312" w:cs="仿宋_GB2312"/>
          <w:b w:val="0"/>
          <w:bCs w:val="0"/>
          <w:sz w:val="32"/>
          <w:szCs w:val="32"/>
          <w:lang w:eastAsia="zh-CN"/>
        </w:rPr>
        <w:t>公证事项。</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Times New Roman"/>
          <w:kern w:val="2"/>
          <w:sz w:val="32"/>
          <w:szCs w:val="32"/>
          <w:lang w:val="en-US" w:eastAsia="zh-CN" w:bidi="ar-SA"/>
        </w:rPr>
        <w:t>第二十五条</w:t>
      </w:r>
      <w:r>
        <w:rPr>
          <w:rFonts w:hint="eastAsia" w:ascii="仿宋_GB2312" w:hAnsi="仿宋_GB2312" w:eastAsia="仿宋_GB2312" w:cs="仿宋_GB2312"/>
          <w:b w:val="0"/>
          <w:bCs w:val="0"/>
          <w:sz w:val="32"/>
          <w:szCs w:val="32"/>
        </w:rPr>
        <w:t xml:space="preserve">  申请办理公证的当事人应当向公证机构如实说明申请公证事项的有关情况，提供真实、合法的证明材料。</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val="en-US" w:eastAsia="zh-CN"/>
        </w:rPr>
        <w:t xml:space="preserve">第二十六条 </w:t>
      </w:r>
      <w:r>
        <w:rPr>
          <w:rFonts w:hint="eastAsia" w:ascii="仿宋_GB2312" w:hAnsi="仿宋_GB2312" w:eastAsia="仿宋_GB2312" w:cs="仿宋_GB2312"/>
          <w:b w:val="0"/>
          <w:bCs w:val="0"/>
          <w:sz w:val="32"/>
          <w:szCs w:val="32"/>
        </w:rPr>
        <w:t xml:space="preserve"> 公证机构收到当事人提出的公证申请后，应当当场决定是否受理</w:t>
      </w:r>
      <w:r>
        <w:rPr>
          <w:rFonts w:hint="eastAsia" w:ascii="仿宋_GB2312" w:hAnsi="仿宋_GB2312" w:eastAsia="仿宋_GB2312" w:cs="仿宋_GB2312"/>
          <w:b w:val="0"/>
          <w:bCs w:val="0"/>
          <w:sz w:val="32"/>
          <w:szCs w:val="32"/>
          <w:lang w:eastAsia="zh-CN"/>
        </w:rPr>
        <w:t>。</w:t>
      </w:r>
      <w:r>
        <w:rPr>
          <w:rFonts w:hint="eastAsia" w:ascii="仿宋_GB2312" w:hAnsi="仿宋_GB2312" w:eastAsia="仿宋_GB2312" w:cs="仿宋_GB2312"/>
          <w:b w:val="0"/>
          <w:bCs w:val="0"/>
          <w:sz w:val="32"/>
          <w:szCs w:val="32"/>
        </w:rPr>
        <w:t>当事人提交的证明材料不</w:t>
      </w:r>
      <w:r>
        <w:rPr>
          <w:rFonts w:hint="eastAsia" w:ascii="仿宋_GB2312" w:hAnsi="仿宋_GB2312" w:eastAsia="仿宋_GB2312" w:cs="仿宋_GB2312"/>
          <w:b w:val="0"/>
          <w:bCs w:val="0"/>
          <w:sz w:val="32"/>
          <w:szCs w:val="32"/>
          <w:lang w:eastAsia="zh-CN"/>
        </w:rPr>
        <w:t>齐全或者不符合法定情形的</w:t>
      </w:r>
      <w:r>
        <w:rPr>
          <w:rFonts w:hint="eastAsia" w:ascii="仿宋_GB2312" w:hAnsi="仿宋_GB2312" w:eastAsia="仿宋_GB2312" w:cs="仿宋_GB2312"/>
          <w:b w:val="0"/>
          <w:bCs w:val="0"/>
          <w:sz w:val="32"/>
          <w:szCs w:val="32"/>
        </w:rPr>
        <w:t>，公证机构应当在三个工作日内</w:t>
      </w:r>
      <w:r>
        <w:rPr>
          <w:rFonts w:hint="eastAsia" w:ascii="仿宋_GB2312" w:hAnsi="仿宋_GB2312" w:eastAsia="仿宋_GB2312" w:cs="仿宋_GB2312"/>
          <w:b w:val="0"/>
          <w:bCs w:val="0"/>
          <w:sz w:val="32"/>
          <w:szCs w:val="32"/>
          <w:lang w:eastAsia="zh-CN"/>
        </w:rPr>
        <w:t>一次性</w:t>
      </w:r>
      <w:r>
        <w:rPr>
          <w:rFonts w:hint="eastAsia" w:ascii="仿宋_GB2312" w:hAnsi="仿宋_GB2312" w:eastAsia="仿宋_GB2312" w:cs="仿宋_GB2312"/>
          <w:b w:val="0"/>
          <w:bCs w:val="0"/>
          <w:sz w:val="32"/>
          <w:szCs w:val="32"/>
        </w:rPr>
        <w:t>告知当事人需要补充的全部材料内容</w:t>
      </w:r>
      <w:r>
        <w:rPr>
          <w:rFonts w:hint="eastAsia" w:ascii="仿宋_GB2312" w:hAnsi="仿宋_GB2312" w:eastAsia="仿宋_GB2312" w:cs="仿宋_GB2312"/>
          <w:b w:val="0"/>
          <w:bCs w:val="0"/>
          <w:sz w:val="32"/>
          <w:szCs w:val="32"/>
          <w:lang w:eastAsia="zh-CN"/>
        </w:rPr>
        <w:t>；</w:t>
      </w:r>
      <w:r>
        <w:rPr>
          <w:rFonts w:hint="eastAsia" w:ascii="仿宋_GB2312" w:hAnsi="仿宋_GB2312" w:eastAsia="仿宋_GB2312" w:cs="仿宋_GB2312"/>
          <w:b w:val="0"/>
          <w:bCs w:val="0"/>
          <w:sz w:val="32"/>
          <w:szCs w:val="32"/>
        </w:rPr>
        <w:t>逾期不告知的，自收到申请材料之日起即为受理。不予受理的，应当说明理由并书面告知当事人。</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凡是能够通过有效证照证明或者部门间信息共享核验的证明材料，公证机构不得让当事人重复提供。</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Times New Roman"/>
          <w:kern w:val="2"/>
          <w:sz w:val="32"/>
          <w:szCs w:val="32"/>
          <w:lang w:val="en-US" w:eastAsia="zh-CN" w:bidi="ar-SA"/>
        </w:rPr>
        <w:t>第二十七条</w:t>
      </w:r>
      <w:r>
        <w:rPr>
          <w:rFonts w:hint="eastAsia" w:ascii="仿宋_GB2312" w:hAnsi="仿宋_GB2312" w:eastAsia="仿宋_GB2312" w:cs="仿宋_GB2312"/>
          <w:b w:val="0"/>
          <w:bCs w:val="0"/>
          <w:sz w:val="32"/>
          <w:szCs w:val="32"/>
        </w:rPr>
        <w:t xml:space="preserve">  公证机构可以采用下列方式核实公证事项的有关情况以及证明材料：</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（一）询问当事人、证人、公证事项的利害关系人；</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（二）向有关单位或者个人了解相关情况；</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（三）收集有关书证、物证、视听资料等证明材料；</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（四）现场勘验核实；</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（五）经当事人同意委托专业机构或者专业人员鉴定、检验检测、翻译。</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公证机构派员</w:t>
      </w:r>
      <w:r>
        <w:rPr>
          <w:rFonts w:hint="eastAsia" w:ascii="仿宋_GB2312" w:hAnsi="仿宋_GB2312" w:eastAsia="仿宋_GB2312" w:cs="仿宋_GB2312"/>
          <w:b w:val="0"/>
          <w:bCs w:val="0"/>
          <w:sz w:val="32"/>
          <w:szCs w:val="32"/>
          <w:lang w:eastAsia="zh-CN"/>
        </w:rPr>
        <w:t>外出</w:t>
      </w:r>
      <w:r>
        <w:rPr>
          <w:rFonts w:hint="eastAsia" w:ascii="仿宋_GB2312" w:hAnsi="仿宋_GB2312" w:eastAsia="仿宋_GB2312" w:cs="仿宋_GB2312"/>
          <w:b w:val="0"/>
          <w:bCs w:val="0"/>
          <w:sz w:val="32"/>
          <w:szCs w:val="32"/>
        </w:rPr>
        <w:t>核实的，应当由二人进行，但核实、收集书证的除外。特殊情况下只有一人外出核实的，应当有一名与公证事项无利害关系的见证人在场。</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核实工作应当在三十日内完成，遇有需要跨省核实等疑难复杂情形的，经公证机构负责人批准，最长不得超过六十日。</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Times New Roman"/>
          <w:kern w:val="2"/>
          <w:sz w:val="32"/>
          <w:szCs w:val="32"/>
          <w:lang w:val="en-US" w:eastAsia="zh-CN" w:bidi="ar-SA"/>
        </w:rPr>
        <w:t xml:space="preserve">第二十八条 </w:t>
      </w:r>
      <w:r>
        <w:rPr>
          <w:rFonts w:hint="eastAsia" w:ascii="仿宋_GB2312" w:hAnsi="仿宋_GB2312" w:eastAsia="仿宋_GB2312" w:cs="仿宋_GB2312"/>
          <w:b w:val="0"/>
          <w:bCs w:val="0"/>
          <w:sz w:val="32"/>
          <w:szCs w:val="32"/>
        </w:rPr>
        <w:t xml:space="preserve"> 公证机构依法核实公证事项的有关情况以及证明材料的，公安、民政、自然资源、教育、人力资源和社会保障、市场监督管理、卫生健康、住房和城乡建设等与公证事项有关的单位</w:t>
      </w:r>
      <w:r>
        <w:rPr>
          <w:rFonts w:hint="eastAsia" w:ascii="仿宋_GB2312" w:hAnsi="仿宋_GB2312" w:eastAsia="仿宋_GB2312" w:cs="仿宋_GB2312"/>
          <w:b w:val="0"/>
          <w:bCs w:val="0"/>
          <w:sz w:val="32"/>
          <w:szCs w:val="32"/>
          <w:lang w:eastAsia="zh-CN"/>
        </w:rPr>
        <w:t>或者</w:t>
      </w:r>
      <w:r>
        <w:rPr>
          <w:rFonts w:hint="eastAsia" w:ascii="仿宋_GB2312" w:hAnsi="仿宋_GB2312" w:eastAsia="仿宋_GB2312" w:cs="仿宋_GB2312"/>
          <w:b w:val="0"/>
          <w:bCs w:val="0"/>
          <w:sz w:val="32"/>
          <w:szCs w:val="32"/>
        </w:rPr>
        <w:t>个人应当依法予以协助</w:t>
      </w:r>
      <w:r>
        <w:rPr>
          <w:rFonts w:hint="eastAsia" w:ascii="仿宋_GB2312" w:hAnsi="仿宋_GB2312" w:eastAsia="仿宋_GB2312" w:cs="仿宋_GB2312"/>
          <w:b w:val="0"/>
          <w:bCs w:val="0"/>
          <w:sz w:val="32"/>
          <w:szCs w:val="32"/>
          <w:lang w:eastAsia="zh-CN"/>
        </w:rPr>
        <w:t>配合</w:t>
      </w:r>
      <w:r>
        <w:rPr>
          <w:rFonts w:hint="eastAsia" w:ascii="仿宋_GB2312" w:hAnsi="仿宋_GB2312" w:eastAsia="仿宋_GB2312" w:cs="仿宋_GB2312"/>
          <w:b w:val="0"/>
          <w:bCs w:val="0"/>
          <w:sz w:val="32"/>
          <w:szCs w:val="32"/>
        </w:rPr>
        <w:t>。</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auto"/>
        <w:outlineLvl w:val="9"/>
        <w:rPr>
          <w:rFonts w:hint="eastAsia" w:ascii="仿宋_GB2312" w:hAnsi="仿宋_GB2312" w:eastAsia="仿宋_GB2312" w:cs="仿宋_GB2312"/>
          <w:b w:val="0"/>
          <w:bCs w:val="0"/>
          <w:spacing w:val="6"/>
          <w:sz w:val="32"/>
          <w:szCs w:val="32"/>
        </w:rPr>
      </w:pPr>
      <w:r>
        <w:rPr>
          <w:rFonts w:hint="eastAsia" w:ascii="黑体" w:hAnsi="黑体" w:eastAsia="黑体" w:cs="Times New Roman"/>
          <w:kern w:val="2"/>
          <w:sz w:val="32"/>
          <w:szCs w:val="32"/>
          <w:lang w:val="en-US" w:eastAsia="zh-CN" w:bidi="ar-SA"/>
        </w:rPr>
        <w:t xml:space="preserve">第二十九条 </w:t>
      </w:r>
      <w:r>
        <w:rPr>
          <w:rFonts w:hint="eastAsia" w:ascii="仿宋_GB2312" w:hAnsi="仿宋_GB2312" w:eastAsia="仿宋_GB2312" w:cs="仿宋_GB2312"/>
          <w:b w:val="0"/>
          <w:bCs w:val="0"/>
          <w:sz w:val="32"/>
          <w:szCs w:val="32"/>
        </w:rPr>
        <w:t xml:space="preserve"> 公证机构</w:t>
      </w:r>
      <w:r>
        <w:rPr>
          <w:rFonts w:hint="eastAsia" w:ascii="仿宋_GB2312" w:hAnsi="仿宋_GB2312" w:eastAsia="仿宋_GB2312" w:cs="仿宋_GB2312"/>
          <w:b w:val="0"/>
          <w:bCs w:val="0"/>
          <w:sz w:val="32"/>
          <w:szCs w:val="32"/>
          <w:lang w:eastAsia="zh-CN"/>
        </w:rPr>
        <w:t>办理</w:t>
      </w:r>
      <w:r>
        <w:rPr>
          <w:rFonts w:hint="eastAsia" w:ascii="仿宋_GB2312" w:hAnsi="仿宋_GB2312" w:eastAsia="仿宋_GB2312" w:cs="仿宋_GB2312"/>
          <w:b w:val="0"/>
          <w:bCs w:val="0"/>
          <w:sz w:val="32"/>
          <w:szCs w:val="32"/>
        </w:rPr>
        <w:t>人口基本信息、婚姻、收养、不动产登记、房产开发、房屋交易、住房租赁、住房公积金、企业登记等公证</w:t>
      </w:r>
      <w:r>
        <w:rPr>
          <w:rFonts w:hint="eastAsia" w:ascii="仿宋_GB2312" w:hAnsi="仿宋_GB2312" w:eastAsia="仿宋_GB2312" w:cs="仿宋_GB2312"/>
          <w:b w:val="0"/>
          <w:bCs w:val="0"/>
          <w:sz w:val="32"/>
          <w:szCs w:val="32"/>
          <w:lang w:eastAsia="zh-CN"/>
        </w:rPr>
        <w:t>事项，</w:t>
      </w:r>
      <w:r>
        <w:rPr>
          <w:rFonts w:hint="eastAsia" w:ascii="仿宋_GB2312" w:hAnsi="仿宋_GB2312" w:eastAsia="仿宋_GB2312" w:cs="仿宋_GB2312"/>
          <w:b w:val="0"/>
          <w:bCs w:val="0"/>
          <w:sz w:val="32"/>
          <w:szCs w:val="32"/>
        </w:rPr>
        <w:t>县级以上人民政府及其有关部门应当按照国家有关规定，</w:t>
      </w:r>
      <w:r>
        <w:rPr>
          <w:rFonts w:hint="eastAsia" w:ascii="仿宋_GB2312" w:hAnsi="仿宋_GB2312" w:eastAsia="仿宋_GB2312" w:cs="仿宋_GB2312"/>
          <w:b w:val="0"/>
          <w:bCs w:val="0"/>
          <w:sz w:val="32"/>
          <w:szCs w:val="32"/>
          <w:lang w:eastAsia="zh-CN"/>
        </w:rPr>
        <w:t>为其提供</w:t>
      </w:r>
      <w:r>
        <w:rPr>
          <w:rFonts w:hint="eastAsia" w:ascii="仿宋_GB2312" w:hAnsi="仿宋_GB2312" w:eastAsia="仿宋_GB2312" w:cs="仿宋_GB2312"/>
          <w:b w:val="0"/>
          <w:bCs w:val="0"/>
          <w:sz w:val="32"/>
          <w:szCs w:val="32"/>
        </w:rPr>
        <w:t>所需</w:t>
      </w:r>
      <w:r>
        <w:rPr>
          <w:rFonts w:hint="eastAsia" w:ascii="仿宋_GB2312" w:hAnsi="仿宋_GB2312" w:eastAsia="仿宋_GB2312" w:cs="仿宋_GB2312"/>
          <w:b w:val="0"/>
          <w:bCs w:val="0"/>
          <w:spacing w:val="6"/>
          <w:sz w:val="32"/>
          <w:szCs w:val="32"/>
        </w:rPr>
        <w:t>数据的共享服务。</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公证机构应当采取有效措施，加强共享数据使用过程中的安全管理，防止数据滥用或者泄露</w:t>
      </w:r>
      <w:r>
        <w:rPr>
          <w:rFonts w:hint="eastAsia" w:ascii="黑体" w:hAnsi="黑体" w:eastAsia="黑体" w:cs="黑体"/>
          <w:b w:val="0"/>
          <w:bCs w:val="0"/>
          <w:sz w:val="32"/>
          <w:szCs w:val="32"/>
        </w:rPr>
        <w:t>。</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Times New Roman"/>
          <w:kern w:val="2"/>
          <w:sz w:val="32"/>
          <w:szCs w:val="32"/>
          <w:lang w:val="en-US" w:eastAsia="zh-CN" w:bidi="ar-SA"/>
        </w:rPr>
        <w:t xml:space="preserve">第三十条 </w:t>
      </w:r>
      <w:r>
        <w:rPr>
          <w:rFonts w:hint="eastAsia" w:ascii="仿宋_GB2312" w:hAnsi="仿宋_GB2312" w:eastAsia="仿宋_GB2312" w:cs="仿宋_GB2312"/>
          <w:b w:val="0"/>
          <w:bCs w:val="0"/>
          <w:sz w:val="32"/>
          <w:szCs w:val="32"/>
        </w:rPr>
        <w:t xml:space="preserve"> 公证机构经审查，认为当事人提供的证明材料真实、合法、充分，申请公证的事项真实、合法的，应当自受理公证申请之日起十五个工作日内出具公证书。但是，因不可抗力、补充证明材料或者需要核实有关情况的，所需时间不计算在期限内，并应当及时告知当事人</w:t>
      </w:r>
      <w:r>
        <w:rPr>
          <w:rFonts w:hint="eastAsia" w:ascii="仿宋_GB2312" w:hAnsi="仿宋_GB2312" w:eastAsia="仿宋_GB2312" w:cs="仿宋_GB2312"/>
          <w:b w:val="0"/>
          <w:bCs w:val="0"/>
          <w:sz w:val="32"/>
          <w:szCs w:val="32"/>
          <w:lang w:eastAsia="zh-CN"/>
        </w:rPr>
        <w:t>或者其代理人</w:t>
      </w:r>
      <w:r>
        <w:rPr>
          <w:rFonts w:hint="eastAsia" w:ascii="仿宋_GB2312" w:hAnsi="仿宋_GB2312" w:eastAsia="仿宋_GB2312" w:cs="仿宋_GB2312"/>
          <w:b w:val="0"/>
          <w:bCs w:val="0"/>
          <w:sz w:val="32"/>
          <w:szCs w:val="32"/>
        </w:rPr>
        <w:t>。</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Times New Roman"/>
          <w:kern w:val="2"/>
          <w:sz w:val="32"/>
          <w:szCs w:val="32"/>
          <w:lang w:val="en-US" w:eastAsia="zh-CN" w:bidi="ar-SA"/>
        </w:rPr>
        <w:t xml:space="preserve">第三十一条 </w:t>
      </w:r>
      <w:r>
        <w:rPr>
          <w:rFonts w:hint="eastAsia" w:ascii="仿宋_GB2312" w:hAnsi="仿宋_GB2312" w:eastAsia="仿宋_GB2312" w:cs="仿宋_GB2312"/>
          <w:b w:val="0"/>
          <w:bCs w:val="0"/>
          <w:sz w:val="32"/>
          <w:szCs w:val="32"/>
        </w:rPr>
        <w:t xml:space="preserve"> 公证机构依法不予办理公证的，应当及时作出不予办理公证决定，说明理由并书面告知当事人。</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Times New Roman"/>
          <w:kern w:val="2"/>
          <w:sz w:val="32"/>
          <w:szCs w:val="32"/>
          <w:lang w:val="en-US" w:eastAsia="zh-CN" w:bidi="ar-SA"/>
        </w:rPr>
        <w:t>第三十二条</w:t>
      </w:r>
      <w:r>
        <w:rPr>
          <w:rFonts w:hint="eastAsia" w:ascii="仿宋_GB2312" w:hAnsi="仿宋_GB2312" w:eastAsia="仿宋_GB2312" w:cs="仿宋_GB2312"/>
          <w:b w:val="0"/>
          <w:bCs w:val="0"/>
          <w:sz w:val="32"/>
          <w:szCs w:val="32"/>
        </w:rPr>
        <w:t xml:space="preserve">  有下列情形之一的，公证机构应当终止公证：</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（一）因当事人的原因致使该公证事项在六个月内不能办结的；</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（二）公证书出具前当事人撤回公证申请的；</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（三）因申请公证的自然人死亡、法人或者其他组织终止，不能继续办理公证或者继续办理公证已无意义的；</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（四）当事人阻挠、妨碍公证机构以及公证员按规定的程序、期限办理公证的；</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（五）其他应当终止的情形。</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终止公证的，公证机构应当作出终止公证决定，说明理由并书面告知当事人。</w:t>
      </w:r>
    </w:p>
    <w:p>
      <w:pPr>
        <w:keepNext w:val="0"/>
        <w:keepLines w:val="0"/>
        <w:pageBreakBefore w:val="0"/>
        <w:widowControl w:val="0"/>
        <w:kinsoku/>
        <w:wordWrap/>
        <w:overflowPunct/>
        <w:topLinePunct w:val="0"/>
        <w:autoSpaceDE/>
        <w:autoSpaceDN/>
        <w:bidi w:val="0"/>
        <w:adjustRightInd w:val="0"/>
        <w:snapToGrid w:val="0"/>
        <w:spacing w:line="240" w:lineRule="auto"/>
        <w:ind w:right="0" w:rightChars="0" w:firstLine="360" w:firstLineChars="200"/>
        <w:textAlignment w:val="auto"/>
        <w:outlineLvl w:val="9"/>
        <w:rPr>
          <w:rFonts w:hint="eastAsia" w:ascii="黑体" w:hAnsi="黑体" w:eastAsia="黑体" w:cs="Times New Roman"/>
          <w:kern w:val="2"/>
          <w:sz w:val="18"/>
          <w:szCs w:val="18"/>
          <w:lang w:val="en-US" w:eastAsia="zh-CN" w:bidi="ar-SA"/>
        </w:rPr>
      </w:pPr>
    </w:p>
    <w:p>
      <w:pPr>
        <w:keepNext w:val="0"/>
        <w:keepLines w:val="0"/>
        <w:pageBreakBefore w:val="0"/>
        <w:widowControl w:val="0"/>
        <w:kinsoku/>
        <w:wordWrap/>
        <w:overflowPunct/>
        <w:topLinePunct w:val="0"/>
        <w:autoSpaceDE/>
        <w:autoSpaceDN/>
        <w:bidi w:val="0"/>
        <w:adjustRightInd w:val="0"/>
        <w:snapToGrid w:val="0"/>
        <w:spacing w:line="240" w:lineRule="auto"/>
        <w:ind w:right="0" w:rightChars="0" w:firstLine="640" w:firstLineChars="200"/>
        <w:jc w:val="center"/>
        <w:textAlignment w:val="auto"/>
        <w:outlineLvl w:val="0"/>
        <w:rPr>
          <w:rFonts w:hint="eastAsia" w:ascii="黑体" w:hAnsi="黑体" w:eastAsia="黑体" w:cs="Times New Roman"/>
          <w:kern w:val="2"/>
          <w:sz w:val="32"/>
          <w:szCs w:val="32"/>
          <w:lang w:val="en-US" w:eastAsia="zh-CN" w:bidi="ar-SA"/>
        </w:rPr>
      </w:pPr>
      <w:r>
        <w:rPr>
          <w:rFonts w:hint="eastAsia" w:ascii="黑体" w:hAnsi="黑体" w:eastAsia="黑体" w:cs="黑体"/>
          <w:b w:val="0"/>
          <w:bCs w:val="0"/>
          <w:sz w:val="32"/>
          <w:szCs w:val="32"/>
          <w:lang w:eastAsia="zh-CN"/>
        </w:rPr>
        <w:t>第五章  监督管理</w:t>
      </w:r>
    </w:p>
    <w:p>
      <w:pPr>
        <w:keepNext w:val="0"/>
        <w:keepLines w:val="0"/>
        <w:pageBreakBefore w:val="0"/>
        <w:widowControl w:val="0"/>
        <w:kinsoku/>
        <w:wordWrap/>
        <w:overflowPunct/>
        <w:topLinePunct w:val="0"/>
        <w:autoSpaceDE/>
        <w:autoSpaceDN/>
        <w:bidi w:val="0"/>
        <w:adjustRightInd w:val="0"/>
        <w:snapToGrid w:val="0"/>
        <w:spacing w:line="240" w:lineRule="auto"/>
        <w:ind w:right="0" w:rightChars="0" w:firstLine="360" w:firstLineChars="200"/>
        <w:textAlignment w:val="auto"/>
        <w:outlineLvl w:val="9"/>
        <w:rPr>
          <w:rFonts w:hint="eastAsia" w:ascii="黑体" w:hAnsi="黑体" w:eastAsia="黑体" w:cs="Times New Roman"/>
          <w:kern w:val="2"/>
          <w:sz w:val="18"/>
          <w:szCs w:val="18"/>
          <w:lang w:val="en-US" w:eastAsia="zh-CN" w:bidi="ar-SA"/>
        </w:rPr>
      </w:pP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Times New Roman"/>
          <w:kern w:val="2"/>
          <w:sz w:val="32"/>
          <w:szCs w:val="32"/>
          <w:lang w:val="en-US" w:eastAsia="zh-CN" w:bidi="ar-SA"/>
        </w:rPr>
        <w:t xml:space="preserve">第三十三条 </w:t>
      </w:r>
      <w:r>
        <w:rPr>
          <w:rFonts w:hint="eastAsia" w:ascii="仿宋_GB2312" w:hAnsi="仿宋_GB2312" w:eastAsia="仿宋_GB2312" w:cs="仿宋_GB2312"/>
          <w:b w:val="0"/>
          <w:bCs w:val="0"/>
          <w:sz w:val="32"/>
          <w:szCs w:val="32"/>
        </w:rPr>
        <w:t xml:space="preserve"> 任何单位或者个人发现公证活动中有违法行为，可以向司法行政部门或者公证协会投诉、举报。司法行政部门或者公证协会对投诉举报应当按照规定及时核实、处理答复。</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Times New Roman"/>
          <w:kern w:val="2"/>
          <w:sz w:val="32"/>
          <w:szCs w:val="32"/>
          <w:lang w:val="en-US" w:eastAsia="zh-CN" w:bidi="ar-SA"/>
        </w:rPr>
        <w:t xml:space="preserve">第三十四条 </w:t>
      </w:r>
      <w:r>
        <w:rPr>
          <w:rFonts w:hint="eastAsia" w:ascii="仿宋_GB2312" w:hAnsi="仿宋_GB2312" w:eastAsia="仿宋_GB2312" w:cs="仿宋_GB2312"/>
          <w:b w:val="0"/>
          <w:bCs w:val="0"/>
          <w:sz w:val="32"/>
          <w:szCs w:val="32"/>
        </w:rPr>
        <w:t xml:space="preserve"> 县级以上人民政府司法行政部门应当对遗嘱、继承、赋予强制执行效力文书公证等重点事项</w:t>
      </w:r>
      <w:r>
        <w:rPr>
          <w:rFonts w:hint="eastAsia" w:ascii="仿宋_GB2312" w:hAnsi="仿宋_GB2312" w:eastAsia="仿宋_GB2312" w:cs="仿宋_GB2312"/>
          <w:b w:val="0"/>
          <w:bCs w:val="0"/>
          <w:sz w:val="32"/>
          <w:szCs w:val="32"/>
          <w:lang w:eastAsia="zh-CN"/>
        </w:rPr>
        <w:t>，加强</w:t>
      </w:r>
      <w:r>
        <w:rPr>
          <w:rFonts w:hint="eastAsia" w:ascii="仿宋_GB2312" w:hAnsi="仿宋_GB2312" w:eastAsia="仿宋_GB2312" w:cs="仿宋_GB2312"/>
          <w:b w:val="0"/>
          <w:bCs w:val="0"/>
          <w:sz w:val="32"/>
          <w:szCs w:val="32"/>
        </w:rPr>
        <w:t>监督</w:t>
      </w:r>
      <w:r>
        <w:rPr>
          <w:rFonts w:hint="eastAsia" w:ascii="仿宋_GB2312" w:hAnsi="仿宋_GB2312" w:eastAsia="仿宋_GB2312" w:cs="仿宋_GB2312"/>
          <w:b w:val="0"/>
          <w:bCs w:val="0"/>
          <w:sz w:val="32"/>
          <w:szCs w:val="32"/>
          <w:lang w:val="en-US" w:eastAsia="zh-CN"/>
        </w:rPr>
        <w:t>指导</w:t>
      </w:r>
      <w:r>
        <w:rPr>
          <w:rFonts w:hint="eastAsia" w:ascii="仿宋_GB2312" w:hAnsi="仿宋_GB2312" w:eastAsia="仿宋_GB2312" w:cs="仿宋_GB2312"/>
          <w:b w:val="0"/>
          <w:bCs w:val="0"/>
          <w:sz w:val="32"/>
          <w:szCs w:val="32"/>
        </w:rPr>
        <w:t>。</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Times New Roman"/>
          <w:kern w:val="2"/>
          <w:sz w:val="32"/>
          <w:szCs w:val="32"/>
          <w:lang w:val="en-US" w:eastAsia="zh-CN" w:bidi="ar-SA"/>
        </w:rPr>
        <w:t>第三十五条</w:t>
      </w:r>
      <w:r>
        <w:rPr>
          <w:rFonts w:hint="eastAsia" w:ascii="仿宋_GB2312" w:hAnsi="仿宋_GB2312" w:eastAsia="仿宋_GB2312" w:cs="仿宋_GB2312"/>
          <w:b w:val="0"/>
          <w:bCs w:val="0"/>
          <w:sz w:val="32"/>
          <w:szCs w:val="32"/>
        </w:rPr>
        <w:t xml:space="preserve">  县级以上人民政府司法行政部门应当健全公证诚信监督机制，建立公证机构和公证员执业档案</w:t>
      </w:r>
      <w:r>
        <w:rPr>
          <w:rFonts w:hint="eastAsia" w:ascii="仿宋_GB2312" w:hAnsi="仿宋_GB2312" w:eastAsia="仿宋_GB2312" w:cs="仿宋_GB2312"/>
          <w:b w:val="0"/>
          <w:bCs w:val="0"/>
          <w:sz w:val="32"/>
          <w:szCs w:val="32"/>
          <w:lang w:eastAsia="zh-CN"/>
        </w:rPr>
        <w:t>，开展考核评价，查处公证活动中的违法行为，</w:t>
      </w:r>
      <w:r>
        <w:rPr>
          <w:rFonts w:hint="eastAsia" w:ascii="仿宋_GB2312" w:hAnsi="仿宋_GB2312" w:eastAsia="仿宋_GB2312" w:cs="仿宋_GB2312"/>
          <w:b w:val="0"/>
          <w:bCs w:val="0"/>
          <w:sz w:val="32"/>
          <w:szCs w:val="32"/>
        </w:rPr>
        <w:t>查</w:t>
      </w:r>
      <w:r>
        <w:rPr>
          <w:rFonts w:hint="eastAsia" w:ascii="仿宋_GB2312" w:hAnsi="仿宋_GB2312" w:eastAsia="仿宋_GB2312" w:cs="仿宋_GB2312"/>
          <w:b w:val="0"/>
          <w:bCs w:val="0"/>
          <w:sz w:val="32"/>
          <w:szCs w:val="32"/>
          <w:lang w:eastAsia="zh-CN"/>
        </w:rPr>
        <w:t>处</w:t>
      </w:r>
      <w:r>
        <w:rPr>
          <w:rFonts w:hint="eastAsia" w:ascii="仿宋_GB2312" w:hAnsi="仿宋_GB2312" w:eastAsia="仿宋_GB2312" w:cs="仿宋_GB2312"/>
          <w:b w:val="0"/>
          <w:bCs w:val="0"/>
          <w:sz w:val="32"/>
          <w:szCs w:val="32"/>
        </w:rPr>
        <w:t>结果应当向社会公开。</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auto"/>
        <w:outlineLvl w:val="9"/>
        <w:rPr>
          <w:rFonts w:hint="eastAsia" w:ascii="仿宋_GB2312" w:hAnsi="仿宋_GB2312" w:eastAsia="仿宋_GB2312" w:cs="仿宋_GB2312"/>
          <w:b w:val="0"/>
          <w:bCs w:val="0"/>
          <w:sz w:val="32"/>
          <w:szCs w:val="32"/>
          <w:lang w:eastAsia="zh-CN"/>
        </w:rPr>
      </w:pPr>
      <w:r>
        <w:rPr>
          <w:rFonts w:hint="eastAsia" w:ascii="黑体" w:hAnsi="黑体" w:eastAsia="黑体" w:cs="Times New Roman"/>
          <w:kern w:val="2"/>
          <w:sz w:val="32"/>
          <w:szCs w:val="32"/>
          <w:lang w:val="en-US" w:eastAsia="zh-CN" w:bidi="ar-SA"/>
        </w:rPr>
        <w:t xml:space="preserve">第三十六条 </w:t>
      </w:r>
      <w:r>
        <w:rPr>
          <w:rFonts w:hint="eastAsia" w:ascii="仿宋_GB2312" w:hAnsi="仿宋_GB2312" w:eastAsia="仿宋_GB2312" w:cs="仿宋_GB2312"/>
          <w:b w:val="0"/>
          <w:bCs w:val="0"/>
          <w:sz w:val="32"/>
          <w:szCs w:val="32"/>
        </w:rPr>
        <w:t xml:space="preserve"> 公证机构发现当事人提供虚假证明材料的，应当及时</w:t>
      </w:r>
      <w:r>
        <w:rPr>
          <w:rFonts w:hint="eastAsia" w:ascii="仿宋_GB2312" w:hAnsi="仿宋_GB2312" w:eastAsia="仿宋_GB2312" w:cs="仿宋_GB2312"/>
          <w:b w:val="0"/>
          <w:bCs w:val="0"/>
          <w:sz w:val="32"/>
          <w:szCs w:val="32"/>
          <w:lang w:eastAsia="zh-CN"/>
        </w:rPr>
        <w:t>通报</w:t>
      </w:r>
      <w:r>
        <w:rPr>
          <w:rFonts w:hint="eastAsia" w:ascii="仿宋_GB2312" w:hAnsi="仿宋_GB2312" w:eastAsia="仿宋_GB2312" w:cs="仿宋_GB2312"/>
          <w:b w:val="0"/>
          <w:bCs w:val="0"/>
          <w:sz w:val="32"/>
          <w:szCs w:val="32"/>
        </w:rPr>
        <w:t>公证协会</w:t>
      </w:r>
      <w:r>
        <w:rPr>
          <w:rFonts w:hint="eastAsia" w:ascii="仿宋_GB2312" w:hAnsi="仿宋_GB2312" w:eastAsia="仿宋_GB2312" w:cs="仿宋_GB2312"/>
          <w:b w:val="0"/>
          <w:bCs w:val="0"/>
          <w:sz w:val="32"/>
          <w:szCs w:val="32"/>
          <w:lang w:eastAsia="zh-CN"/>
        </w:rPr>
        <w:t>、</w:t>
      </w:r>
      <w:r>
        <w:rPr>
          <w:rFonts w:hint="eastAsia" w:ascii="仿宋_GB2312" w:hAnsi="仿宋_GB2312" w:eastAsia="仿宋_GB2312" w:cs="仿宋_GB2312"/>
          <w:b w:val="0"/>
          <w:bCs w:val="0"/>
          <w:sz w:val="32"/>
          <w:szCs w:val="32"/>
        </w:rPr>
        <w:t>司法行政部门</w:t>
      </w:r>
      <w:r>
        <w:rPr>
          <w:rFonts w:hint="eastAsia" w:ascii="仿宋_GB2312" w:hAnsi="仿宋_GB2312" w:eastAsia="仿宋_GB2312" w:cs="仿宋_GB2312"/>
          <w:b w:val="0"/>
          <w:bCs w:val="0"/>
          <w:sz w:val="32"/>
          <w:szCs w:val="32"/>
          <w:lang w:eastAsia="zh-CN"/>
        </w:rPr>
        <w:t>以及相关主管部门。</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auto"/>
        <w:outlineLvl w:val="9"/>
        <w:rPr>
          <w:rFonts w:hint="eastAsia" w:ascii="仿宋_GB2312" w:hAnsi="仿宋_GB2312" w:eastAsia="仿宋_GB2312" w:cs="仿宋_GB2312"/>
          <w:b w:val="0"/>
          <w:bCs w:val="0"/>
          <w:sz w:val="32"/>
          <w:szCs w:val="32"/>
          <w:bdr w:val="single" w:color="000000" w:sz="4" w:space="0"/>
        </w:rPr>
      </w:pPr>
      <w:r>
        <w:rPr>
          <w:rFonts w:hint="eastAsia" w:ascii="黑体" w:hAnsi="黑体" w:eastAsia="黑体" w:cs="黑体"/>
          <w:b w:val="0"/>
          <w:bCs w:val="0"/>
          <w:sz w:val="32"/>
          <w:szCs w:val="32"/>
          <w:lang w:val="en-US" w:eastAsia="zh-CN"/>
        </w:rPr>
        <w:t>第三十七条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 xml:space="preserve"> 公证协会应当制定行业规范，组织</w:t>
      </w:r>
      <w:r>
        <w:rPr>
          <w:rFonts w:hint="eastAsia" w:ascii="仿宋_GB2312" w:hAnsi="仿宋_GB2312" w:eastAsia="仿宋_GB2312" w:cs="仿宋_GB2312"/>
          <w:b w:val="0"/>
          <w:bCs w:val="0"/>
          <w:sz w:val="32"/>
          <w:szCs w:val="32"/>
          <w:lang w:eastAsia="zh-CN"/>
        </w:rPr>
        <w:t>开展</w:t>
      </w:r>
      <w:r>
        <w:rPr>
          <w:rFonts w:hint="eastAsia" w:ascii="仿宋_GB2312" w:hAnsi="仿宋_GB2312" w:eastAsia="仿宋_GB2312" w:cs="仿宋_GB2312"/>
          <w:b w:val="0"/>
          <w:bCs w:val="0"/>
          <w:sz w:val="32"/>
          <w:szCs w:val="32"/>
        </w:rPr>
        <w:t>业务培训、职业道德和执业纪律教育，保障</w:t>
      </w:r>
      <w:r>
        <w:rPr>
          <w:rFonts w:hint="eastAsia" w:ascii="仿宋_GB2312" w:hAnsi="仿宋_GB2312" w:eastAsia="仿宋_GB2312" w:cs="仿宋_GB2312"/>
          <w:b w:val="0"/>
          <w:bCs w:val="0"/>
          <w:sz w:val="32"/>
          <w:szCs w:val="32"/>
          <w:lang w:eastAsia="zh-CN"/>
        </w:rPr>
        <w:t>、</w:t>
      </w:r>
      <w:r>
        <w:rPr>
          <w:rFonts w:hint="eastAsia" w:ascii="仿宋_GB2312" w:hAnsi="仿宋_GB2312" w:eastAsia="仿宋_GB2312" w:cs="仿宋_GB2312"/>
          <w:b w:val="0"/>
          <w:bCs w:val="0"/>
          <w:sz w:val="32"/>
          <w:szCs w:val="32"/>
        </w:rPr>
        <w:t>监督公证机构和公证员依法执业</w:t>
      </w:r>
      <w:r>
        <w:rPr>
          <w:rFonts w:hint="eastAsia" w:ascii="仿宋_GB2312" w:hAnsi="仿宋_GB2312" w:eastAsia="仿宋_GB2312" w:cs="仿宋_GB2312"/>
          <w:b w:val="0"/>
          <w:bCs w:val="0"/>
          <w:sz w:val="32"/>
          <w:szCs w:val="32"/>
          <w:lang w:eastAsia="zh-CN"/>
        </w:rPr>
        <w:t>活动</w:t>
      </w:r>
      <w:r>
        <w:rPr>
          <w:rFonts w:hint="eastAsia" w:ascii="仿宋_GB2312" w:hAnsi="仿宋_GB2312" w:eastAsia="仿宋_GB2312" w:cs="仿宋_GB2312"/>
          <w:b w:val="0"/>
          <w:bCs w:val="0"/>
          <w:sz w:val="32"/>
          <w:szCs w:val="32"/>
        </w:rPr>
        <w:t>。</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Times New Roman"/>
          <w:kern w:val="2"/>
          <w:sz w:val="32"/>
          <w:szCs w:val="32"/>
          <w:lang w:val="en-US" w:eastAsia="zh-CN" w:bidi="ar-SA"/>
        </w:rPr>
        <w:t xml:space="preserve">第三十八条 </w:t>
      </w:r>
      <w:r>
        <w:rPr>
          <w:rFonts w:hint="eastAsia" w:ascii="仿宋_GB2312" w:hAnsi="仿宋_GB2312" w:eastAsia="仿宋_GB2312" w:cs="仿宋_GB2312"/>
          <w:b w:val="0"/>
          <w:bCs w:val="0"/>
          <w:sz w:val="32"/>
          <w:szCs w:val="32"/>
        </w:rPr>
        <w:t xml:space="preserve"> 公证协会在查处公证机构</w:t>
      </w:r>
      <w:r>
        <w:rPr>
          <w:rFonts w:hint="eastAsia" w:ascii="仿宋_GB2312" w:hAnsi="仿宋_GB2312" w:eastAsia="仿宋_GB2312" w:cs="仿宋_GB2312"/>
          <w:b w:val="0"/>
          <w:bCs w:val="0"/>
          <w:sz w:val="32"/>
          <w:szCs w:val="32"/>
          <w:lang w:val="en-US" w:eastAsia="zh-CN"/>
        </w:rPr>
        <w:t>和</w:t>
      </w:r>
      <w:r>
        <w:rPr>
          <w:rFonts w:hint="eastAsia" w:ascii="仿宋_GB2312" w:hAnsi="仿宋_GB2312" w:eastAsia="仿宋_GB2312" w:cs="仿宋_GB2312"/>
          <w:b w:val="0"/>
          <w:bCs w:val="0"/>
          <w:sz w:val="32"/>
          <w:szCs w:val="32"/>
        </w:rPr>
        <w:t>公证员违反职业</w:t>
      </w:r>
      <w:r>
        <w:rPr>
          <w:rFonts w:hint="eastAsia" w:ascii="仿宋_GB2312" w:hAnsi="仿宋_GB2312" w:eastAsia="仿宋_GB2312" w:cs="仿宋_GB2312"/>
          <w:b w:val="0"/>
          <w:bCs w:val="0"/>
          <w:sz w:val="32"/>
          <w:szCs w:val="32"/>
          <w:lang w:val="en-US" w:eastAsia="zh-CN"/>
        </w:rPr>
        <w:t>规范</w:t>
      </w:r>
      <w:r>
        <w:rPr>
          <w:rFonts w:hint="eastAsia" w:ascii="仿宋_GB2312" w:hAnsi="仿宋_GB2312" w:eastAsia="仿宋_GB2312" w:cs="仿宋_GB2312"/>
          <w:b w:val="0"/>
          <w:bCs w:val="0"/>
          <w:sz w:val="32"/>
          <w:szCs w:val="32"/>
          <w:lang w:eastAsia="zh-CN"/>
        </w:rPr>
        <w:t>、</w:t>
      </w:r>
      <w:r>
        <w:rPr>
          <w:rFonts w:hint="eastAsia" w:ascii="仿宋_GB2312" w:hAnsi="仿宋_GB2312" w:eastAsia="仿宋_GB2312" w:cs="仿宋_GB2312"/>
          <w:b w:val="0"/>
          <w:bCs w:val="0"/>
          <w:sz w:val="32"/>
          <w:szCs w:val="32"/>
          <w:lang w:val="en-US" w:eastAsia="zh-CN"/>
        </w:rPr>
        <w:t>执业纪律行为的过程中，发现有依法应当给予公证机构和公证员行政处罚情形的，应当提交有管辖权的司法行政部门处</w:t>
      </w:r>
      <w:r>
        <w:rPr>
          <w:rFonts w:hint="eastAsia" w:ascii="仿宋_GB2312" w:hAnsi="仿宋_GB2312" w:eastAsia="仿宋_GB2312" w:cs="仿宋_GB2312"/>
          <w:b w:val="0"/>
          <w:bCs w:val="0"/>
          <w:sz w:val="32"/>
          <w:szCs w:val="32"/>
        </w:rPr>
        <w:t>理。</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line="560" w:lineRule="exact"/>
        <w:ind w:right="0" w:rightChars="0" w:firstLine="640" w:firstLineChars="200"/>
        <w:textAlignment w:val="auto"/>
        <w:outlineLvl w:val="9"/>
        <w:rPr>
          <w:rFonts w:hint="eastAsia" w:ascii="黑体" w:hAnsi="黑体" w:eastAsia="黑体" w:cs="Times New Roman"/>
          <w:sz w:val="32"/>
          <w:szCs w:val="32"/>
          <w:lang w:eastAsia="zh-CN"/>
        </w:rPr>
      </w:pPr>
      <w:r>
        <w:rPr>
          <w:rFonts w:hint="eastAsia" w:ascii="黑体" w:hAnsi="黑体" w:eastAsia="黑体" w:cs="Times New Roman"/>
          <w:kern w:val="2"/>
          <w:sz w:val="32"/>
          <w:szCs w:val="32"/>
          <w:lang w:val="en-US" w:eastAsia="zh-CN" w:bidi="ar-SA"/>
        </w:rPr>
        <w:t xml:space="preserve">第三十九条 </w:t>
      </w:r>
      <w:r>
        <w:rPr>
          <w:rFonts w:hint="eastAsia" w:ascii="仿宋_GB2312" w:hAnsi="仿宋_GB2312" w:eastAsia="仿宋_GB2312" w:cs="仿宋_GB2312"/>
          <w:b w:val="0"/>
          <w:bCs w:val="0"/>
          <w:sz w:val="32"/>
          <w:szCs w:val="32"/>
        </w:rPr>
        <w:t xml:space="preserve"> 司法行政部门</w:t>
      </w:r>
      <w:r>
        <w:rPr>
          <w:rFonts w:hint="eastAsia" w:ascii="仿宋_GB2312" w:hAnsi="仿宋_GB2312" w:eastAsia="仿宋_GB2312" w:cs="仿宋_GB2312"/>
          <w:b w:val="0"/>
          <w:bCs w:val="0"/>
          <w:sz w:val="32"/>
          <w:szCs w:val="32"/>
          <w:lang w:val="en-US" w:eastAsia="zh-CN"/>
        </w:rPr>
        <w:t>可以</w:t>
      </w:r>
      <w:r>
        <w:rPr>
          <w:rFonts w:hint="eastAsia" w:ascii="仿宋_GB2312" w:hAnsi="仿宋_GB2312" w:eastAsia="仿宋_GB2312" w:cs="仿宋_GB2312"/>
          <w:b w:val="0"/>
          <w:bCs w:val="0"/>
          <w:sz w:val="32"/>
          <w:szCs w:val="32"/>
        </w:rPr>
        <w:t>委托</w:t>
      </w:r>
      <w:r>
        <w:rPr>
          <w:rFonts w:hint="eastAsia" w:ascii="仿宋_GB2312" w:hAnsi="仿宋_GB2312" w:eastAsia="仿宋_GB2312" w:cs="仿宋_GB2312"/>
          <w:b w:val="0"/>
          <w:bCs w:val="0"/>
          <w:sz w:val="32"/>
          <w:szCs w:val="32"/>
          <w:lang w:val="en-US" w:eastAsia="zh-CN"/>
        </w:rPr>
        <w:t>公证协会</w:t>
      </w:r>
      <w:r>
        <w:rPr>
          <w:rFonts w:hint="eastAsia" w:ascii="仿宋_GB2312" w:hAnsi="仿宋_GB2312" w:eastAsia="仿宋_GB2312" w:cs="仿宋_GB2312"/>
          <w:b w:val="0"/>
          <w:bCs w:val="0"/>
          <w:sz w:val="32"/>
          <w:szCs w:val="32"/>
        </w:rPr>
        <w:t>对公证机构和公证员的违法违规行为进行调查、核实，并向司法行政部门提出处理建议。</w:t>
      </w:r>
    </w:p>
    <w:p>
      <w:pPr>
        <w:pStyle w:val="7"/>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right="0" w:rightChars="0"/>
        <w:jc w:val="center"/>
        <w:textAlignment w:val="auto"/>
        <w:outlineLvl w:val="9"/>
        <w:rPr>
          <w:rFonts w:hint="eastAsia" w:ascii="黑体" w:hAnsi="黑体" w:eastAsia="黑体" w:cs="Times New Roman"/>
          <w:sz w:val="18"/>
          <w:szCs w:val="18"/>
          <w:lang w:eastAsia="zh-CN"/>
        </w:rPr>
      </w:pPr>
    </w:p>
    <w:p>
      <w:pPr>
        <w:pStyle w:val="7"/>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right="0" w:rightChars="0"/>
        <w:jc w:val="center"/>
        <w:textAlignment w:val="auto"/>
        <w:outlineLvl w:val="0"/>
        <w:rPr>
          <w:rFonts w:hint="eastAsia" w:ascii="黑体" w:hAnsi="黑体" w:eastAsia="黑体" w:cs="Times New Roman"/>
          <w:kern w:val="2"/>
          <w:sz w:val="32"/>
          <w:szCs w:val="32"/>
          <w:lang w:val="en-US" w:eastAsia="zh-CN" w:bidi="ar-SA"/>
        </w:rPr>
      </w:pPr>
      <w:r>
        <w:rPr>
          <w:rFonts w:hint="eastAsia" w:ascii="黑体" w:hAnsi="黑体" w:eastAsia="黑体" w:cs="Times New Roman"/>
          <w:sz w:val="32"/>
          <w:szCs w:val="32"/>
          <w:lang w:eastAsia="zh-CN"/>
        </w:rPr>
        <w:t>第六章  法律责任</w:t>
      </w:r>
    </w:p>
    <w:p>
      <w:pPr>
        <w:keepNext w:val="0"/>
        <w:keepLines w:val="0"/>
        <w:pageBreakBefore w:val="0"/>
        <w:widowControl w:val="0"/>
        <w:kinsoku/>
        <w:wordWrap/>
        <w:overflowPunct/>
        <w:topLinePunct w:val="0"/>
        <w:autoSpaceDE/>
        <w:autoSpaceDN/>
        <w:bidi w:val="0"/>
        <w:adjustRightInd w:val="0"/>
        <w:snapToGrid w:val="0"/>
        <w:spacing w:line="240" w:lineRule="auto"/>
        <w:ind w:right="0" w:rightChars="0" w:firstLine="360" w:firstLineChars="200"/>
        <w:textAlignment w:val="auto"/>
        <w:outlineLvl w:val="9"/>
        <w:rPr>
          <w:rFonts w:hint="eastAsia" w:ascii="黑体" w:hAnsi="黑体" w:eastAsia="黑体" w:cs="Times New Roman"/>
          <w:kern w:val="2"/>
          <w:sz w:val="18"/>
          <w:szCs w:val="18"/>
          <w:lang w:val="en-US" w:eastAsia="zh-CN" w:bidi="ar-SA"/>
        </w:rPr>
      </w:pP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Times New Roman"/>
          <w:kern w:val="2"/>
          <w:sz w:val="32"/>
          <w:szCs w:val="32"/>
          <w:lang w:val="en-US" w:eastAsia="zh-CN" w:bidi="ar-SA"/>
        </w:rPr>
        <w:t>第四十条</w:t>
      </w:r>
      <w:r>
        <w:rPr>
          <w:rFonts w:hint="eastAsia" w:ascii="仿宋_GB2312" w:hAnsi="仿宋_GB2312" w:eastAsia="仿宋_GB2312" w:cs="仿宋_GB2312"/>
          <w:b w:val="0"/>
          <w:bCs w:val="0"/>
          <w:sz w:val="32"/>
          <w:szCs w:val="32"/>
        </w:rPr>
        <w:t xml:space="preserve">  违反本条例规定，法律、</w:t>
      </w:r>
      <w:r>
        <w:rPr>
          <w:rFonts w:hint="eastAsia" w:ascii="仿宋_GB2312" w:hAnsi="仿宋_GB2312" w:eastAsia="仿宋_GB2312" w:cs="仿宋_GB2312"/>
          <w:b w:val="0"/>
          <w:bCs w:val="0"/>
          <w:sz w:val="32"/>
          <w:szCs w:val="32"/>
          <w:lang w:eastAsia="zh-CN"/>
        </w:rPr>
        <w:t>行政</w:t>
      </w:r>
      <w:r>
        <w:rPr>
          <w:rFonts w:hint="eastAsia" w:ascii="仿宋_GB2312" w:hAnsi="仿宋_GB2312" w:eastAsia="仿宋_GB2312" w:cs="仿宋_GB2312"/>
          <w:b w:val="0"/>
          <w:bCs w:val="0"/>
          <w:sz w:val="32"/>
          <w:szCs w:val="32"/>
        </w:rPr>
        <w:t>法规</w:t>
      </w:r>
      <w:r>
        <w:rPr>
          <w:rFonts w:hint="eastAsia" w:ascii="仿宋_GB2312" w:hAnsi="仿宋_GB2312" w:eastAsia="仿宋_GB2312" w:cs="仿宋_GB2312"/>
          <w:b w:val="0"/>
          <w:bCs w:val="0"/>
          <w:sz w:val="32"/>
          <w:szCs w:val="32"/>
          <w:lang w:eastAsia="zh-CN"/>
        </w:rPr>
        <w:t>已</w:t>
      </w:r>
      <w:r>
        <w:rPr>
          <w:rFonts w:hint="eastAsia" w:ascii="仿宋_GB2312" w:hAnsi="仿宋_GB2312" w:eastAsia="仿宋_GB2312" w:cs="仿宋_GB2312"/>
          <w:b w:val="0"/>
          <w:bCs w:val="0"/>
          <w:sz w:val="32"/>
          <w:szCs w:val="32"/>
        </w:rPr>
        <w:t>有</w:t>
      </w:r>
      <w:r>
        <w:rPr>
          <w:rFonts w:hint="eastAsia" w:ascii="仿宋_GB2312" w:hAnsi="仿宋_GB2312" w:eastAsia="仿宋_GB2312" w:cs="仿宋_GB2312"/>
          <w:b w:val="0"/>
          <w:bCs w:val="0"/>
          <w:sz w:val="32"/>
          <w:szCs w:val="32"/>
          <w:lang w:eastAsia="zh-CN"/>
        </w:rPr>
        <w:t>处罚</w:t>
      </w:r>
      <w:r>
        <w:rPr>
          <w:rFonts w:hint="eastAsia" w:ascii="仿宋_GB2312" w:hAnsi="仿宋_GB2312" w:eastAsia="仿宋_GB2312" w:cs="仿宋_GB2312"/>
          <w:b w:val="0"/>
          <w:bCs w:val="0"/>
          <w:sz w:val="32"/>
          <w:szCs w:val="32"/>
        </w:rPr>
        <w:t>的，从其规定。</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Times New Roman"/>
          <w:kern w:val="2"/>
          <w:sz w:val="32"/>
          <w:szCs w:val="32"/>
          <w:lang w:val="en-US" w:eastAsia="zh-CN" w:bidi="ar-SA"/>
        </w:rPr>
        <w:t>第四十一条</w:t>
      </w:r>
      <w:r>
        <w:rPr>
          <w:rFonts w:hint="eastAsia" w:ascii="仿宋_GB2312" w:hAnsi="仿宋_GB2312" w:eastAsia="仿宋_GB2312" w:cs="仿宋_GB2312"/>
          <w:b w:val="0"/>
          <w:bCs w:val="0"/>
          <w:sz w:val="32"/>
          <w:szCs w:val="32"/>
        </w:rPr>
        <w:t xml:space="preserve">  公证机构及其公证员因过错给当事人、公证事项的利害关系人造成损失的，由公证机构承担相应的赔偿责任；公证机构赔偿后，可以向有故意或者重大过失的公证员追偿。</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当事人、公证事项的利害关系人与公证机构因过错责任和赔偿数额发生争议的，双方可以协商或者申请公证协会调解，也可以直接向人民法院提起民事诉讼。</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0"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Times New Roman"/>
          <w:kern w:val="2"/>
          <w:sz w:val="32"/>
          <w:szCs w:val="32"/>
          <w:lang w:val="en-US" w:eastAsia="zh-CN" w:bidi="ar-SA"/>
        </w:rPr>
        <w:t xml:space="preserve">第四十二条 </w:t>
      </w:r>
      <w:r>
        <w:rPr>
          <w:rFonts w:hint="eastAsia" w:ascii="仿宋_GB2312" w:hAnsi="仿宋_GB2312" w:eastAsia="仿宋_GB2312" w:cs="仿宋_GB2312"/>
          <w:b w:val="0"/>
          <w:bCs w:val="0"/>
          <w:sz w:val="32"/>
          <w:szCs w:val="32"/>
        </w:rPr>
        <w:t xml:space="preserve"> 县级以上人民政府司法行政部门及其工作人员在公证监督管理工作中滥用职权、玩忽职守、徇私舞弊的，对直接负责的主管人员和其他直接责任人员依法给予处分；构成犯罪的，依法追究刑事责任。</w:t>
      </w:r>
    </w:p>
    <w:p>
      <w:pPr>
        <w:pStyle w:val="7"/>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right="0" w:rightChars="0"/>
        <w:jc w:val="center"/>
        <w:textAlignment w:val="auto"/>
        <w:outlineLvl w:val="9"/>
        <w:rPr>
          <w:rFonts w:hint="eastAsia" w:ascii="黑体" w:hAnsi="黑体" w:eastAsia="黑体" w:cs="Times New Roman"/>
          <w:sz w:val="18"/>
          <w:szCs w:val="18"/>
          <w:lang w:eastAsia="zh-CN"/>
        </w:rPr>
      </w:pPr>
    </w:p>
    <w:p>
      <w:pPr>
        <w:pStyle w:val="7"/>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right="0" w:rightChars="0"/>
        <w:jc w:val="center"/>
        <w:textAlignment w:val="auto"/>
        <w:outlineLvl w:val="0"/>
        <w:rPr>
          <w:rFonts w:hint="eastAsia" w:ascii="黑体" w:hAnsi="黑体" w:eastAsia="黑体" w:cs="Times New Roman"/>
          <w:sz w:val="32"/>
          <w:szCs w:val="32"/>
          <w:lang w:eastAsia="zh-CN"/>
        </w:rPr>
      </w:pPr>
      <w:r>
        <w:rPr>
          <w:rFonts w:hint="eastAsia" w:ascii="黑体" w:hAnsi="黑体" w:eastAsia="黑体" w:cs="Times New Roman"/>
          <w:sz w:val="32"/>
          <w:szCs w:val="32"/>
          <w:lang w:eastAsia="zh-CN"/>
        </w:rPr>
        <w:t>第七章  附  则</w:t>
      </w:r>
    </w:p>
    <w:p>
      <w:pPr>
        <w:keepNext w:val="0"/>
        <w:keepLines w:val="0"/>
        <w:pageBreakBefore w:val="0"/>
        <w:widowControl w:val="0"/>
        <w:kinsoku/>
        <w:wordWrap/>
        <w:overflowPunct/>
        <w:topLinePunct w:val="0"/>
        <w:autoSpaceDE/>
        <w:autoSpaceDN/>
        <w:bidi w:val="0"/>
        <w:adjustRightInd w:val="0"/>
        <w:snapToGrid w:val="0"/>
        <w:spacing w:line="240" w:lineRule="auto"/>
        <w:ind w:right="0" w:rightChars="0" w:firstLine="360" w:firstLineChars="200"/>
        <w:textAlignment w:val="auto"/>
        <w:outlineLvl w:val="9"/>
        <w:rPr>
          <w:rFonts w:hint="eastAsia" w:ascii="黑体" w:hAnsi="黑体" w:eastAsia="黑体" w:cs="Times New Roman"/>
          <w:kern w:val="2"/>
          <w:sz w:val="18"/>
          <w:szCs w:val="18"/>
          <w:lang w:val="en-US" w:eastAsia="zh-CN" w:bidi="ar-SA"/>
        </w:rPr>
      </w:pPr>
    </w:p>
    <w:p>
      <w:pPr>
        <w:keepNext w:val="0"/>
        <w:keepLines w:val="0"/>
        <w:pageBreakBefore w:val="0"/>
        <w:widowControl w:val="0"/>
        <w:kinsoku/>
        <w:wordWrap/>
        <w:overflowPunct/>
        <w:topLinePunct w:val="0"/>
        <w:autoSpaceDE/>
        <w:autoSpaceDN/>
        <w:bidi w:val="0"/>
        <w:adjustRightInd w:val="0"/>
        <w:snapToGrid w:val="0"/>
        <w:spacing w:line="600" w:lineRule="exact"/>
        <w:ind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Times New Roman"/>
          <w:kern w:val="2"/>
          <w:sz w:val="32"/>
          <w:szCs w:val="32"/>
          <w:lang w:val="en-US" w:eastAsia="zh-CN" w:bidi="ar-SA"/>
        </w:rPr>
        <w:t xml:space="preserve">第四十三条 </w:t>
      </w:r>
      <w:r>
        <w:rPr>
          <w:rFonts w:hint="eastAsia" w:ascii="仿宋_GB2312" w:hAnsi="仿宋_GB2312" w:eastAsia="仿宋_GB2312" w:cs="仿宋_GB2312"/>
          <w:b w:val="0"/>
          <w:bCs w:val="0"/>
          <w:sz w:val="32"/>
          <w:szCs w:val="32"/>
        </w:rPr>
        <w:t xml:space="preserve"> 本条例自</w:t>
      </w:r>
      <w:r>
        <w:rPr>
          <w:rFonts w:hint="eastAsia" w:ascii="仿宋_GB2312" w:hAnsi="仿宋_GB2312" w:eastAsia="仿宋_GB2312" w:cs="仿宋_GB2312"/>
          <w:b w:val="0"/>
          <w:bCs w:val="0"/>
          <w:sz w:val="32"/>
          <w:szCs w:val="32"/>
          <w:lang w:val="en-US" w:eastAsia="zh-CN"/>
        </w:rPr>
        <w:t>2021</w:t>
      </w:r>
      <w:r>
        <w:rPr>
          <w:rFonts w:hint="eastAsia" w:ascii="仿宋_GB2312" w:hAnsi="仿宋_GB2312" w:eastAsia="仿宋_GB2312" w:cs="仿宋_GB2312"/>
          <w:b w:val="0"/>
          <w:bCs w:val="0"/>
          <w:sz w:val="32"/>
          <w:szCs w:val="32"/>
        </w:rPr>
        <w:t>年</w:t>
      </w:r>
      <w:r>
        <w:rPr>
          <w:rFonts w:hint="eastAsia" w:ascii="仿宋_GB2312" w:hAnsi="仿宋_GB2312" w:eastAsia="仿宋_GB2312" w:cs="仿宋_GB2312"/>
          <w:b w:val="0"/>
          <w:bCs w:val="0"/>
          <w:sz w:val="32"/>
          <w:szCs w:val="32"/>
          <w:lang w:val="en-US" w:eastAsia="zh-CN"/>
        </w:rPr>
        <w:t>11</w:t>
      </w:r>
      <w:r>
        <w:rPr>
          <w:rFonts w:hint="eastAsia" w:ascii="仿宋_GB2312" w:hAnsi="仿宋_GB2312" w:eastAsia="仿宋_GB2312" w:cs="仿宋_GB2312"/>
          <w:b w:val="0"/>
          <w:bCs w:val="0"/>
          <w:sz w:val="32"/>
          <w:szCs w:val="32"/>
        </w:rPr>
        <w:t>月</w:t>
      </w:r>
      <w:r>
        <w:rPr>
          <w:rFonts w:hint="eastAsia" w:ascii="仿宋_GB2312" w:hAnsi="仿宋_GB2312" w:eastAsia="仿宋_GB2312" w:cs="仿宋_GB2312"/>
          <w:b w:val="0"/>
          <w:bCs w:val="0"/>
          <w:sz w:val="32"/>
          <w:szCs w:val="32"/>
          <w:lang w:val="en-US" w:eastAsia="zh-CN"/>
        </w:rPr>
        <w:t>1</w:t>
      </w:r>
      <w:r>
        <w:rPr>
          <w:rFonts w:hint="eastAsia" w:ascii="仿宋_GB2312" w:hAnsi="仿宋_GB2312" w:eastAsia="仿宋_GB2312" w:cs="仿宋_GB2312"/>
          <w:b w:val="0"/>
          <w:bCs w:val="0"/>
          <w:sz w:val="32"/>
          <w:szCs w:val="32"/>
        </w:rPr>
        <w:t>日起施行。</w:t>
      </w:r>
    </w:p>
    <w:p>
      <w:pPr>
        <w:pStyle w:val="2"/>
        <w:keepNext w:val="0"/>
        <w:keepLines w:val="0"/>
        <w:pageBreakBefore w:val="0"/>
        <w:widowControl w:val="0"/>
        <w:kinsoku/>
        <w:wordWrap/>
        <w:overflowPunct/>
        <w:topLinePunct w:val="0"/>
        <w:autoSpaceDE/>
        <w:autoSpaceDN/>
        <w:bidi w:val="0"/>
        <w:adjustRightInd w:val="0"/>
        <w:snapToGrid w:val="0"/>
        <w:spacing w:line="560" w:lineRule="exact"/>
        <w:textAlignment w:val="auto"/>
      </w:pPr>
    </w:p>
    <w:p>
      <w:pPr>
        <w:keepNext w:val="0"/>
        <w:keepLines w:val="0"/>
        <w:pageBreakBefore w:val="0"/>
        <w:widowControl w:val="0"/>
        <w:kinsoku/>
        <w:wordWrap/>
        <w:overflowPunct/>
        <w:topLinePunct w:val="0"/>
        <w:autoSpaceDE/>
        <w:autoSpaceDN/>
        <w:bidi w:val="0"/>
        <w:adjustRightInd w:val="0"/>
        <w:snapToGrid w:val="0"/>
        <w:spacing w:line="600" w:lineRule="exact"/>
        <w:textAlignment w:val="auto"/>
      </w:pPr>
    </w:p>
    <w:p>
      <w:pPr>
        <w:pStyle w:val="2"/>
        <w:ind w:left="0" w:leftChars="0" w:firstLine="0" w:firstLineChars="0"/>
        <w:outlineLvl w:val="0"/>
      </w:pPr>
      <w:bookmarkStart w:id="0" w:name="_GoBack"/>
      <w:bookmarkEnd w:id="0"/>
    </w:p>
    <w:sectPr>
      <w:footerReference r:id="rId3" w:type="default"/>
      <w:pgSz w:w="11906" w:h="16838"/>
      <w:pgMar w:top="1984" w:right="1587" w:bottom="1474" w:left="1587" w:header="851" w:footer="1134" w:gutter="0"/>
      <w:pgNumType w:fmt="numberInDash"/>
      <w:cols w:space="720" w:num="1"/>
      <w:titlePg/>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86"/>
    <w:family w:val="auto"/>
    <w:pitch w:val="default"/>
    <w:sig w:usb0="00000000" w:usb1="0000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方正小标宋简体">
    <w:panose1 w:val="02000000000000000000"/>
    <w:charset w:val="86"/>
    <w:family w:val="auto"/>
    <w:pitch w:val="default"/>
    <w:sig w:usb0="A00002BF" w:usb1="184F6CFA" w:usb2="00000012" w:usb3="00000000" w:csb0="00040001" w:csb1="00000000"/>
  </w:font>
  <w:font w:name="方正黑体_GBK">
    <w:panose1 w:val="02000000000000000000"/>
    <w:charset w:val="86"/>
    <w:family w:val="auto"/>
    <w:pitch w:val="default"/>
    <w:sig w:usb0="00000001" w:usb1="08000000" w:usb2="00000000" w:usb3="00000000" w:csb0="00040000" w:csb1="00000000"/>
  </w:font>
  <w:font w:name="楷体_GB2312">
    <w:altName w:val="楷体"/>
    <w:panose1 w:val="02010609030101010101"/>
    <w:charset w:val="00"/>
    <w:family w:val="modern"/>
    <w:pitch w:val="default"/>
    <w:sig w:usb0="00000000" w:usb1="00000000" w:usb2="00000010" w:usb3="00000000" w:csb0="00040000" w:csb1="00000000"/>
  </w:font>
  <w:font w:name="方正书宋_GBK">
    <w:panose1 w:val="02000000000000000000"/>
    <w:charset w:val="86"/>
    <w:family w:val="auto"/>
    <w:pitch w:val="default"/>
    <w:sig w:usb0="00000001" w:usb1="08000000" w:usb2="00000000" w:usb3="00000000" w:csb0="00040000" w:csb1="00000000"/>
  </w:font>
  <w:font w:name="Nimbus Roman No9 L">
    <w:panose1 w:val="00000000000000000000"/>
    <w:charset w:val="00"/>
    <w:family w:val="auto"/>
    <w:pitch w:val="default"/>
    <w:sig w:usb0="00000000" w:usb1="00000000" w:usb2="00000000" w:usb3="00000000" w:csb0="00000000" w:csb1="00000000"/>
  </w:font>
  <w:font w:name="Microsoft YaHei">
    <w:altName w:val="黑体"/>
    <w:panose1 w:val="00000000000000000000"/>
    <w:charset w:val="00"/>
    <w:family w:val="auto"/>
    <w:pitch w:val="default"/>
    <w:sig w:usb0="00000000" w:usb1="00000000" w:usb2="00000000" w:usb3="00000000" w:csb0="00000000" w:csb1="00000000"/>
  </w:font>
  <w:font w:name="Tahoma">
    <w:altName w:val="Droid San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3"/>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15875">
                        <a:noFill/>
                      </a:ln>
                    </wps:spPr>
                    <wps:txbx>
                      <w:txbxContent>
                        <w:p>
                          <w:pPr>
                            <w:pStyle w:val="3"/>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p>
                      </w:txbxContent>
                    </wps:txbx>
                    <wps:bodyPr vert="horz" wrap="none" lIns="0" tIns="0" rIns="0" bIns="0" anchor="t" anchorCtr="false" upright="false">
                      <a:spAutoFit/>
                    </wps:bodyPr>
                  </wps:wsp>
                </a:graphicData>
              </a:graphic>
            </wp:anchor>
          </w:drawing>
        </mc:Choice>
        <mc:Fallback>
          <w:pict>
            <v:shape id="文本框 3"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FgAAAGRycy9QSwECFAAUAAAACACHTuJAaGmCS9MAAAAF&#10;AQAADwAAAAAAAAABACAAAAA4AAAAZHJzL2Rvd25yZXYueG1sUEsBAhQAFAAAAAgAh07iQMbAmJ3S&#10;AQAAhQMAAA4AAAAAAAAAAQAgAAAAOAEAAGRycy9lMm9Eb2MueG1sUEsFBgAAAAAGAAYAWQEAAHwF&#10;AAAAAA==&#10;">
              <v:fill on="f" focussize="0,0"/>
              <v:stroke on="f" weight="1.25pt"/>
              <v:imagedata o:title=""/>
              <o:lock v:ext="edit" aspectratio="f"/>
              <v:textbox inset="0mm,0mm,0mm,0mm" style="mso-fit-shape-to-text:t;">
                <w:txbxContent>
                  <w:p>
                    <w:pPr>
                      <w:pStyle w:val="3"/>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30"/>
  <w:bordersDoNotSurroundHeader w:val="true"/>
  <w:bordersDoNotSurroundFooter w:val="tru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295124"/>
    <w:rsid w:val="067B7F40"/>
    <w:rsid w:val="09DD365C"/>
    <w:rsid w:val="0E295124"/>
    <w:rsid w:val="11C725F9"/>
    <w:rsid w:val="27E410B3"/>
    <w:rsid w:val="28BC3448"/>
    <w:rsid w:val="37AFE93F"/>
    <w:rsid w:val="3FF7D61D"/>
    <w:rsid w:val="4581495C"/>
    <w:rsid w:val="4FD03950"/>
    <w:rsid w:val="50E11079"/>
    <w:rsid w:val="530D43FB"/>
    <w:rsid w:val="5399315D"/>
    <w:rsid w:val="57570EF7"/>
    <w:rsid w:val="57C5152B"/>
    <w:rsid w:val="5EEC2268"/>
    <w:rsid w:val="5EF7345F"/>
    <w:rsid w:val="66B25080"/>
    <w:rsid w:val="69DE3AF7"/>
    <w:rsid w:val="73FBF06D"/>
    <w:rsid w:val="7A83640D"/>
    <w:rsid w:val="7BD56211"/>
    <w:rsid w:val="7BE7678E"/>
    <w:rsid w:val="7EBFC631"/>
    <w:rsid w:val="7F32B0C8"/>
    <w:rsid w:val="7F5FBC31"/>
    <w:rsid w:val="7FBE2BE1"/>
    <w:rsid w:val="7FFDA074"/>
    <w:rsid w:val="A89F11D9"/>
    <w:rsid w:val="D2F7EC0C"/>
    <w:rsid w:val="DB5FC3C6"/>
    <w:rsid w:val="DDFD10AF"/>
    <w:rsid w:val="ECFF0F62"/>
    <w:rsid w:val="EFED8045"/>
    <w:rsid w:val="FBFF51FA"/>
    <w:rsid w:val="FFBB7BE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unhideWhenUsed/>
    <w:qFormat/>
    <w:uiPriority w:val="0"/>
  </w:style>
  <w:style w:type="table" w:default="1" w:styleId="5">
    <w:name w:val="Normal Table"/>
    <w:unhideWhenUsed/>
    <w:qFormat/>
    <w:uiPriority w:val="99"/>
    <w:tblPr>
      <w:tblCellMar>
        <w:top w:w="0" w:type="dxa"/>
        <w:left w:w="108" w:type="dxa"/>
        <w:bottom w:w="0" w:type="dxa"/>
        <w:right w:w="108" w:type="dxa"/>
      </w:tblCellMar>
    </w:tblPr>
  </w:style>
  <w:style w:type="paragraph" w:styleId="2">
    <w:name w:val="Normal Indent"/>
    <w:basedOn w:val="1"/>
    <w:next w:val="1"/>
    <w:qFormat/>
    <w:uiPriority w:val="0"/>
    <w:pPr>
      <w:ind w:firstLine="200" w:firstLineChars="20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unhideWhenUsed/>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TotalTime>8</TotalTime>
  <ScaleCrop>false</ScaleCrop>
  <LinksUpToDate>false</LinksUpToDate>
  <CharactersWithSpaces>0</CharactersWithSpaces>
  <Application>WPS Office_11.8.2.10337_F1E327BC-269C-435d-A152-05C5408002CA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2018-12-01T00:33:00Z</dcterms:created>
  <dc:creator>Win</dc:creator>
  <cp:lastModifiedBy>婷婷</cp:lastModifiedBy>
  <cp:lastPrinted>2021-09-29T08:49:00Z</cp:lastPrinted>
  <dcterms:modified xsi:type="dcterms:W3CDTF">2021-10-08T09:26:36Z</dcterms:modified>
  <dc:title>宁夏回族自治区人民代表大会</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2052-11.8.2.10337</vt:lpwstr>
  </property>
</Properties>
</file>