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val="0"/>
        <w:autoSpaceDN/>
        <w:bidi w:val="0"/>
        <w:adjustRightInd w:val="0"/>
        <w:snapToGrid w:val="0"/>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color w:val="000000"/>
          <w:spacing w:val="0"/>
          <w:w w:val="100"/>
          <w:kern w:val="0"/>
          <w:sz w:val="32"/>
          <w:szCs w:val="32"/>
        </w:rPr>
      </w:pPr>
    </w:p>
    <w:p>
      <w:pPr>
        <w:pStyle w:val="2"/>
        <w:rPr>
          <w:rFonts w:hint="eastAsia"/>
          <w:sz w:val="32"/>
          <w:szCs w:val="32"/>
        </w:rPr>
      </w:pPr>
    </w:p>
    <w:p>
      <w:pPr>
        <w:keepNext w:val="0"/>
        <w:keepLines w:val="0"/>
        <w:pageBreakBefore w:val="0"/>
        <w:widowControl w:val="0"/>
        <w:kinsoku/>
        <w:wordWrap/>
        <w:overflowPunct/>
        <w:topLinePunct w:val="0"/>
        <w:autoSpaceDE w:val="0"/>
        <w:autoSpaceDN/>
        <w:bidi w:val="0"/>
        <w:adjustRightInd w:val="0"/>
        <w:snapToGrid w:val="0"/>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color w:val="000000"/>
          <w:spacing w:val="0"/>
          <w:w w:val="100"/>
          <w:kern w:val="0"/>
          <w:sz w:val="44"/>
          <w:szCs w:val="44"/>
        </w:rPr>
      </w:pPr>
      <w:r>
        <w:rPr>
          <w:rFonts w:hint="eastAsia" w:ascii="宋体" w:hAnsi="宋体" w:eastAsia="宋体" w:cs="宋体"/>
          <w:color w:val="000000"/>
          <w:spacing w:val="0"/>
          <w:w w:val="100"/>
          <w:kern w:val="0"/>
          <w:sz w:val="44"/>
          <w:szCs w:val="44"/>
        </w:rPr>
        <w:t>宁夏回族自治区城市绿化管理条例</w:t>
      </w:r>
    </w:p>
    <w:p>
      <w:pPr>
        <w:keepNext w:val="0"/>
        <w:keepLines w:val="0"/>
        <w:pageBreakBefore w:val="0"/>
        <w:widowControl w:val="0"/>
        <w:kinsoku/>
        <w:wordWrap/>
        <w:overflowPunct/>
        <w:topLinePunct w:val="0"/>
        <w:autoSpaceDE w:val="0"/>
        <w:autoSpaceDN/>
        <w:bidi w:val="0"/>
        <w:adjustRightInd w:val="0"/>
        <w:snapToGrid w:val="0"/>
        <w:spacing w:beforeAutospacing="0" w:afterAutospacing="0" w:line="240" w:lineRule="auto"/>
        <w:ind w:left="0" w:leftChars="0" w:right="0" w:rightChars="0" w:firstLine="0" w:firstLineChars="0"/>
        <w:jc w:val="left"/>
        <w:textAlignment w:val="auto"/>
        <w:outlineLvl w:val="9"/>
        <w:rPr>
          <w:rFonts w:hint="eastAsia" w:ascii="方正小标宋简体" w:hAnsi="方正小标宋简体" w:eastAsia="方正小标宋简体" w:cs="方正小标宋简体"/>
          <w:color w:val="000000"/>
          <w:spacing w:val="0"/>
          <w:w w:val="100"/>
          <w:kern w:val="0"/>
          <w:sz w:val="44"/>
          <w:szCs w:val="44"/>
        </w:rPr>
      </w:pPr>
      <w:r>
        <w:rPr>
          <w:rFonts w:hint="eastAsia" w:ascii="方正小标宋简体" w:hAnsi="方正小标宋简体" w:eastAsia="方正小标宋简体" w:cs="方正小标宋简体"/>
          <w:color w:val="000000"/>
          <w:spacing w:val="0"/>
          <w:w w:val="100"/>
          <w:kern w:val="0"/>
          <w:sz w:val="44"/>
          <w:szCs w:val="44"/>
        </w:rPr>
        <w:t xml:space="preserve">    </w:t>
      </w:r>
    </w:p>
    <w:p>
      <w:pPr>
        <w:keepNext w:val="0"/>
        <w:keepLines w:val="0"/>
        <w:pageBreakBefore w:val="0"/>
        <w:widowControl w:val="0"/>
        <w:kinsoku/>
        <w:wordWrap/>
        <w:overflowPunct/>
        <w:topLinePunct w:val="0"/>
        <w:autoSpaceDE w:val="0"/>
        <w:autoSpaceDN/>
        <w:bidi w:val="0"/>
        <w:adjustRightInd/>
        <w:snapToGrid w:val="0"/>
        <w:spacing w:beforeAutospacing="0" w:afterAutospacing="0" w:line="600" w:lineRule="exact"/>
        <w:ind w:left="630" w:leftChars="300" w:right="525" w:rightChars="250" w:firstLine="0" w:firstLineChars="0"/>
        <w:jc w:val="both"/>
        <w:textAlignment w:val="auto"/>
        <w:outlineLvl w:val="9"/>
        <w:rPr>
          <w:rFonts w:hint="eastAsia" w:ascii="楷体" w:hAnsi="楷体" w:eastAsia="楷体" w:cs="楷体"/>
          <w:color w:val="000000"/>
          <w:spacing w:val="0"/>
          <w:w w:val="100"/>
          <w:kern w:val="0"/>
          <w:sz w:val="32"/>
          <w:szCs w:val="32"/>
        </w:rPr>
      </w:pPr>
      <w:r>
        <w:rPr>
          <w:rFonts w:hint="eastAsia" w:ascii="楷体" w:hAnsi="楷体" w:eastAsia="楷体" w:cs="楷体"/>
          <w:color w:val="000000"/>
          <w:spacing w:val="0"/>
          <w:w w:val="100"/>
          <w:kern w:val="0"/>
          <w:sz w:val="32"/>
          <w:szCs w:val="32"/>
          <w:lang w:eastAsia="zh-CN"/>
        </w:rPr>
        <w:t>（</w:t>
      </w:r>
      <w:r>
        <w:rPr>
          <w:rFonts w:hint="eastAsia" w:ascii="楷体" w:hAnsi="楷体" w:eastAsia="楷体" w:cs="楷体"/>
          <w:color w:val="000000"/>
          <w:spacing w:val="0"/>
          <w:w w:val="100"/>
          <w:kern w:val="0"/>
          <w:sz w:val="32"/>
          <w:szCs w:val="32"/>
        </w:rPr>
        <w:t>1997年8月21日宁夏回族自治区第七届人民代表大会常务委员会第二十六次会议通过  根据2006年3月31日宁夏回族自治区第九届人民代表大会常务委员会第二十一次会议《关于修改〈宁夏回族自治区矿产资源管理条例〉等十二件地方性法规的决定》修正。根据2012年3月29日宁夏回族自治区第十届人民代表大会常务委员会第二十九次会议《关于修改十五件地方性法规的决定》第二次修正。根据2015年3月31日宁夏回族自治区第十一届人民代表大会常务委员会第十六次会议《关于修改〈宁夏回族自治区城市绿化管理条例〉的决定》第三次修正  根据2019年3月26日宁夏回族自治区第十二届人民代表大会常务委员会第十一次会议《关于修改〈宁夏回族自治区商品交易市场管理条例〉等18件地方性法规的决定》第四次修正</w:t>
      </w:r>
      <w:r>
        <w:rPr>
          <w:rFonts w:hint="eastAsia" w:ascii="楷体" w:hAnsi="楷体" w:eastAsia="楷体" w:cs="楷体"/>
          <w:color w:val="000000"/>
          <w:spacing w:val="0"/>
          <w:w w:val="100"/>
          <w:kern w:val="0"/>
          <w:sz w:val="32"/>
          <w:szCs w:val="32"/>
          <w:lang w:val="en-US" w:eastAsia="zh-CN"/>
        </w:rPr>
        <w:t xml:space="preserve">  </w:t>
      </w:r>
      <w:r>
        <w:rPr>
          <w:rFonts w:hint="eastAsia" w:ascii="楷体" w:hAnsi="楷体" w:eastAsia="楷体" w:cs="楷体"/>
          <w:color w:val="000000"/>
          <w:spacing w:val="0"/>
          <w:w w:val="100"/>
          <w:kern w:val="0"/>
          <w:sz w:val="32"/>
          <w:szCs w:val="32"/>
        </w:rPr>
        <w:t>根据20</w:t>
      </w:r>
      <w:r>
        <w:rPr>
          <w:rFonts w:hint="eastAsia" w:ascii="楷体" w:hAnsi="楷体" w:eastAsia="楷体" w:cs="楷体"/>
          <w:color w:val="000000"/>
          <w:spacing w:val="0"/>
          <w:w w:val="100"/>
          <w:kern w:val="0"/>
          <w:sz w:val="32"/>
          <w:szCs w:val="32"/>
          <w:lang w:val="en-US" w:eastAsia="zh-CN"/>
        </w:rPr>
        <w:t>21</w:t>
      </w:r>
      <w:r>
        <w:rPr>
          <w:rFonts w:hint="eastAsia" w:ascii="楷体" w:hAnsi="楷体" w:eastAsia="楷体" w:cs="楷体"/>
          <w:color w:val="000000"/>
          <w:spacing w:val="0"/>
          <w:w w:val="100"/>
          <w:kern w:val="0"/>
          <w:sz w:val="32"/>
          <w:szCs w:val="32"/>
        </w:rPr>
        <w:t>年</w:t>
      </w:r>
      <w:r>
        <w:rPr>
          <w:rFonts w:hint="eastAsia" w:ascii="楷体" w:hAnsi="楷体" w:eastAsia="楷体" w:cs="楷体"/>
          <w:color w:val="000000"/>
          <w:spacing w:val="0"/>
          <w:w w:val="100"/>
          <w:kern w:val="0"/>
          <w:sz w:val="32"/>
          <w:szCs w:val="32"/>
          <w:lang w:val="en-US" w:eastAsia="zh-CN"/>
        </w:rPr>
        <w:t>7</w:t>
      </w:r>
      <w:r>
        <w:rPr>
          <w:rFonts w:hint="eastAsia" w:ascii="楷体" w:hAnsi="楷体" w:eastAsia="楷体" w:cs="楷体"/>
          <w:color w:val="000000"/>
          <w:spacing w:val="0"/>
          <w:w w:val="100"/>
          <w:kern w:val="0"/>
          <w:sz w:val="32"/>
          <w:szCs w:val="32"/>
        </w:rPr>
        <w:t>月</w:t>
      </w:r>
      <w:r>
        <w:rPr>
          <w:rFonts w:hint="eastAsia" w:ascii="楷体" w:hAnsi="楷体" w:eastAsia="楷体" w:cs="楷体"/>
          <w:color w:val="000000"/>
          <w:spacing w:val="0"/>
          <w:w w:val="100"/>
          <w:kern w:val="0"/>
          <w:sz w:val="32"/>
          <w:szCs w:val="32"/>
          <w:lang w:val="en-US" w:eastAsia="zh-CN"/>
        </w:rPr>
        <w:t>30</w:t>
      </w:r>
      <w:r>
        <w:rPr>
          <w:rFonts w:hint="eastAsia" w:ascii="楷体" w:hAnsi="楷体" w:eastAsia="楷体" w:cs="楷体"/>
          <w:color w:val="000000"/>
          <w:spacing w:val="0"/>
          <w:w w:val="100"/>
          <w:kern w:val="0"/>
          <w:sz w:val="32"/>
          <w:szCs w:val="32"/>
        </w:rPr>
        <w:t>日宁夏回族自治区第十二届人民代表大会常务委员会第</w:t>
      </w:r>
      <w:r>
        <w:rPr>
          <w:rFonts w:hint="eastAsia" w:ascii="楷体" w:hAnsi="楷体" w:eastAsia="楷体" w:cs="楷体"/>
          <w:color w:val="000000"/>
          <w:spacing w:val="0"/>
          <w:w w:val="100"/>
          <w:kern w:val="0"/>
          <w:sz w:val="32"/>
          <w:szCs w:val="32"/>
          <w:lang w:eastAsia="zh-CN"/>
        </w:rPr>
        <w:t>二十八</w:t>
      </w:r>
      <w:r>
        <w:rPr>
          <w:rFonts w:hint="eastAsia" w:ascii="楷体" w:hAnsi="楷体" w:eastAsia="楷体" w:cs="楷体"/>
          <w:color w:val="000000"/>
          <w:spacing w:val="0"/>
          <w:w w:val="100"/>
          <w:kern w:val="0"/>
          <w:sz w:val="32"/>
          <w:szCs w:val="32"/>
        </w:rPr>
        <w:t>次会议《关于修改〈宁夏回族自治区</w:t>
      </w:r>
      <w:r>
        <w:rPr>
          <w:rFonts w:hint="eastAsia" w:ascii="楷体" w:hAnsi="楷体" w:eastAsia="楷体" w:cs="楷体"/>
          <w:color w:val="000000"/>
          <w:spacing w:val="0"/>
          <w:w w:val="100"/>
          <w:kern w:val="0"/>
          <w:sz w:val="32"/>
          <w:szCs w:val="32"/>
          <w:lang w:eastAsia="zh-CN"/>
        </w:rPr>
        <w:t>城市绿化</w:t>
      </w:r>
      <w:r>
        <w:rPr>
          <w:rFonts w:hint="eastAsia" w:ascii="楷体" w:hAnsi="楷体" w:eastAsia="楷体" w:cs="楷体"/>
          <w:color w:val="000000"/>
          <w:spacing w:val="0"/>
          <w:w w:val="100"/>
          <w:kern w:val="0"/>
          <w:sz w:val="32"/>
          <w:szCs w:val="32"/>
        </w:rPr>
        <w:t>管理条例〉等</w:t>
      </w:r>
      <w:r>
        <w:rPr>
          <w:rFonts w:hint="eastAsia" w:ascii="楷体" w:hAnsi="楷体" w:eastAsia="楷体" w:cs="楷体"/>
          <w:color w:val="000000"/>
          <w:spacing w:val="0"/>
          <w:w w:val="100"/>
          <w:kern w:val="0"/>
          <w:sz w:val="32"/>
          <w:szCs w:val="32"/>
          <w:lang w:eastAsia="zh-CN"/>
        </w:rPr>
        <w:t>四</w:t>
      </w:r>
      <w:r>
        <w:rPr>
          <w:rFonts w:hint="eastAsia" w:ascii="楷体" w:hAnsi="楷体" w:eastAsia="楷体" w:cs="楷体"/>
          <w:color w:val="000000"/>
          <w:spacing w:val="0"/>
          <w:w w:val="100"/>
          <w:kern w:val="0"/>
          <w:sz w:val="32"/>
          <w:szCs w:val="32"/>
        </w:rPr>
        <w:t>件地方性法规的决定》第</w:t>
      </w:r>
      <w:r>
        <w:rPr>
          <w:rFonts w:hint="eastAsia" w:ascii="楷体" w:hAnsi="楷体" w:eastAsia="楷体" w:cs="楷体"/>
          <w:color w:val="000000"/>
          <w:spacing w:val="0"/>
          <w:w w:val="100"/>
          <w:kern w:val="0"/>
          <w:sz w:val="32"/>
          <w:szCs w:val="32"/>
          <w:lang w:eastAsia="zh-CN"/>
        </w:rPr>
        <w:t>五</w:t>
      </w:r>
      <w:r>
        <w:rPr>
          <w:rFonts w:hint="eastAsia" w:ascii="楷体" w:hAnsi="楷体" w:eastAsia="楷体" w:cs="楷体"/>
          <w:color w:val="000000"/>
          <w:spacing w:val="0"/>
          <w:w w:val="100"/>
          <w:kern w:val="0"/>
          <w:sz w:val="32"/>
          <w:szCs w:val="32"/>
        </w:rPr>
        <w:t>次修正</w:t>
      </w:r>
      <w:r>
        <w:rPr>
          <w:rFonts w:hint="eastAsia" w:ascii="楷体" w:hAnsi="楷体" w:eastAsia="楷体" w:cs="楷体"/>
          <w:color w:val="000000"/>
          <w:spacing w:val="0"/>
          <w:w w:val="100"/>
          <w:kern w:val="0"/>
          <w:sz w:val="32"/>
          <w:szCs w:val="32"/>
          <w:lang w:eastAsia="zh-CN"/>
        </w:rPr>
        <w:t>）</w:t>
      </w:r>
    </w:p>
    <w:p>
      <w:pPr>
        <w:pStyle w:val="12"/>
        <w:keepNext w:val="0"/>
        <w:keepLines w:val="0"/>
        <w:pageBreakBefore w:val="0"/>
        <w:widowControl/>
        <w:kinsoku/>
        <w:wordWrap/>
        <w:overflowPunct/>
        <w:topLinePunct w:val="0"/>
        <w:autoSpaceDE w:val="0"/>
        <w:autoSpaceDN/>
        <w:bidi w:val="0"/>
        <w:adjustRightInd/>
        <w:snapToGrid/>
        <w:spacing w:before="0" w:beforeAutospacing="0" w:after="0" w:afterAutospacing="0" w:line="620" w:lineRule="exact"/>
        <w:ind w:left="0" w:leftChars="0" w:right="0" w:rightChars="0" w:firstLine="0" w:firstLineChars="0"/>
        <w:jc w:val="left"/>
        <w:textAlignment w:val="auto"/>
        <w:outlineLvl w:val="9"/>
        <w:rPr>
          <w:rFonts w:hint="eastAsia" w:ascii="楷体" w:hAnsi="楷体" w:eastAsia="楷体" w:cs="楷体"/>
          <w:b w:val="0"/>
          <w:color w:val="000000"/>
          <w:spacing w:val="0"/>
          <w:w w:val="100"/>
          <w:kern w:val="0"/>
          <w:sz w:val="32"/>
          <w:szCs w:val="32"/>
        </w:rPr>
      </w:pPr>
      <w:r>
        <w:rPr>
          <w:rFonts w:hint="eastAsia" w:ascii="宋体" w:hAnsi="宋体" w:eastAsia="宋体" w:cs="宋体"/>
          <w:color w:val="000000"/>
          <w:spacing w:val="0"/>
          <w:w w:val="100"/>
          <w:kern w:val="0"/>
          <w:sz w:val="30"/>
          <w:szCs w:val="30"/>
        </w:rPr>
        <w:t xml:space="preserve"> </w:t>
      </w:r>
    </w:p>
    <w:p>
      <w:pPr>
        <w:pStyle w:val="12"/>
        <w:keepNext w:val="0"/>
        <w:keepLines w:val="0"/>
        <w:pageBreakBefore w:val="0"/>
        <w:widowControl/>
        <w:kinsoku/>
        <w:wordWrap/>
        <w:overflowPunct/>
        <w:topLinePunct w:val="0"/>
        <w:autoSpaceDE w:val="0"/>
        <w:autoSpaceDN/>
        <w:bidi w:val="0"/>
        <w:adjustRightInd/>
        <w:snapToGrid w:val="0"/>
        <w:spacing w:before="0" w:beforeAutospacing="0" w:after="0" w:afterAutospacing="0" w:line="240" w:lineRule="auto"/>
        <w:ind w:left="0" w:leftChars="0" w:right="0" w:rightChars="0" w:firstLine="0" w:firstLineChars="0"/>
        <w:jc w:val="center"/>
        <w:textAlignment w:val="auto"/>
        <w:outlineLvl w:val="9"/>
        <w:rPr>
          <w:rFonts w:hint="eastAsia" w:ascii="楷体" w:hAnsi="楷体" w:eastAsia="楷体" w:cs="楷体"/>
          <w:b w:val="0"/>
          <w:color w:val="000000"/>
          <w:spacing w:val="0"/>
          <w:w w:val="100"/>
          <w:kern w:val="0"/>
          <w:sz w:val="32"/>
          <w:szCs w:val="32"/>
        </w:rPr>
      </w:pPr>
      <w:r>
        <w:rPr>
          <w:rFonts w:hint="eastAsia" w:ascii="楷体" w:hAnsi="楷体" w:eastAsia="楷体" w:cs="楷体"/>
          <w:b w:val="0"/>
          <w:color w:val="000000"/>
          <w:spacing w:val="0"/>
          <w:w w:val="100"/>
          <w:kern w:val="0"/>
          <w:sz w:val="32"/>
          <w:szCs w:val="32"/>
        </w:rPr>
        <w:t>目</w:t>
      </w:r>
      <w:r>
        <w:rPr>
          <w:rFonts w:hint="eastAsia" w:ascii="楷体" w:hAnsi="楷体" w:eastAsia="楷体" w:cs="楷体"/>
          <w:b w:val="0"/>
          <w:color w:val="000000"/>
          <w:spacing w:val="0"/>
          <w:w w:val="100"/>
          <w:kern w:val="0"/>
          <w:sz w:val="32"/>
          <w:szCs w:val="32"/>
          <w:lang w:val="en-US" w:eastAsia="zh-CN"/>
        </w:rPr>
        <w:t xml:space="preserve">    </w:t>
      </w:r>
      <w:r>
        <w:rPr>
          <w:rFonts w:hint="eastAsia" w:ascii="楷体" w:hAnsi="楷体" w:eastAsia="楷体" w:cs="楷体"/>
          <w:b w:val="0"/>
          <w:color w:val="000000"/>
          <w:spacing w:val="0"/>
          <w:w w:val="100"/>
          <w:kern w:val="0"/>
          <w:sz w:val="32"/>
          <w:szCs w:val="32"/>
        </w:rPr>
        <w:t>录</w:t>
      </w:r>
    </w:p>
    <w:p>
      <w:pPr>
        <w:pStyle w:val="12"/>
        <w:keepNext w:val="0"/>
        <w:keepLines w:val="0"/>
        <w:pageBreakBefore w:val="0"/>
        <w:widowControl/>
        <w:kinsoku/>
        <w:wordWrap/>
        <w:overflowPunct/>
        <w:topLinePunct w:val="0"/>
        <w:autoSpaceDE w:val="0"/>
        <w:autoSpaceDN/>
        <w:bidi w:val="0"/>
        <w:adjustRightInd/>
        <w:snapToGrid w:val="0"/>
        <w:spacing w:before="0" w:beforeAutospacing="0" w:after="0" w:afterAutospacing="0" w:line="240" w:lineRule="auto"/>
        <w:ind w:left="0" w:leftChars="0" w:right="0" w:rightChars="0" w:firstLine="0" w:firstLineChars="0"/>
        <w:jc w:val="center"/>
        <w:textAlignment w:val="auto"/>
        <w:outlineLvl w:val="9"/>
        <w:rPr>
          <w:rFonts w:hint="eastAsia" w:ascii="楷体" w:hAnsi="楷体" w:eastAsia="楷体" w:cs="楷体"/>
          <w:b w:val="0"/>
          <w:color w:val="000000"/>
          <w:spacing w:val="0"/>
          <w:w w:val="100"/>
          <w:kern w:val="0"/>
          <w:sz w:val="32"/>
          <w:szCs w:val="32"/>
        </w:rPr>
      </w:pPr>
    </w:p>
    <w:p>
      <w:pPr>
        <w:pStyle w:val="12"/>
        <w:keepNext w:val="0"/>
        <w:keepLines w:val="0"/>
        <w:pageBreakBefore w:val="0"/>
        <w:widowControl/>
        <w:kinsoku/>
        <w:wordWrap/>
        <w:overflowPunct/>
        <w:topLinePunct w:val="0"/>
        <w:autoSpaceDE w:val="0"/>
        <w:autoSpaceDN/>
        <w:bidi w:val="0"/>
        <w:adjustRightInd/>
        <w:snapToGrid/>
        <w:spacing w:before="0" w:beforeAutospacing="0" w:after="0" w:afterAutospacing="0" w:line="620" w:lineRule="exact"/>
        <w:ind w:left="0" w:leftChars="0" w:right="0" w:rightChars="0" w:firstLine="0" w:firstLineChars="0"/>
        <w:jc w:val="left"/>
        <w:textAlignment w:val="auto"/>
        <w:outlineLvl w:val="9"/>
        <w:rPr>
          <w:rFonts w:hint="eastAsia" w:ascii="楷体" w:hAnsi="楷体" w:eastAsia="楷体" w:cs="楷体"/>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楷体" w:hAnsi="楷体" w:eastAsia="楷体" w:cs="楷体"/>
          <w:color w:val="000000"/>
          <w:spacing w:val="0"/>
          <w:w w:val="100"/>
          <w:kern w:val="0"/>
          <w:sz w:val="32"/>
          <w:szCs w:val="32"/>
        </w:rPr>
        <w:t xml:space="preserve"> 第一章  总则 </w:t>
      </w:r>
    </w:p>
    <w:p>
      <w:pPr>
        <w:pStyle w:val="12"/>
        <w:keepNext w:val="0"/>
        <w:keepLines w:val="0"/>
        <w:pageBreakBefore w:val="0"/>
        <w:widowControl/>
        <w:kinsoku/>
        <w:wordWrap/>
        <w:overflowPunct/>
        <w:topLinePunct w:val="0"/>
        <w:autoSpaceDE w:val="0"/>
        <w:autoSpaceDN/>
        <w:bidi w:val="0"/>
        <w:adjustRightInd/>
        <w:snapToGrid/>
        <w:spacing w:before="0" w:beforeAutospacing="0" w:after="0" w:afterAutospacing="0" w:line="620" w:lineRule="exact"/>
        <w:ind w:left="0" w:leftChars="0" w:right="0" w:rightChars="0" w:firstLine="0" w:firstLineChars="0"/>
        <w:jc w:val="left"/>
        <w:textAlignment w:val="auto"/>
        <w:outlineLvl w:val="9"/>
        <w:rPr>
          <w:rFonts w:hint="eastAsia" w:ascii="楷体" w:hAnsi="楷体" w:eastAsia="楷体" w:cs="楷体"/>
          <w:color w:val="000000"/>
          <w:spacing w:val="0"/>
          <w:w w:val="100"/>
          <w:kern w:val="0"/>
          <w:sz w:val="32"/>
          <w:szCs w:val="32"/>
        </w:rPr>
      </w:pPr>
      <w:r>
        <w:rPr>
          <w:rFonts w:hint="eastAsia" w:ascii="楷体" w:hAnsi="楷体" w:eastAsia="楷体" w:cs="楷体"/>
          <w:color w:val="000000"/>
          <w:spacing w:val="0"/>
          <w:w w:val="100"/>
          <w:kern w:val="0"/>
          <w:sz w:val="32"/>
          <w:szCs w:val="32"/>
        </w:rPr>
        <w:t xml:space="preserve">    第二章  规划和建设 </w:t>
      </w:r>
    </w:p>
    <w:p>
      <w:pPr>
        <w:pStyle w:val="12"/>
        <w:keepNext w:val="0"/>
        <w:keepLines w:val="0"/>
        <w:pageBreakBefore w:val="0"/>
        <w:widowControl/>
        <w:kinsoku/>
        <w:wordWrap/>
        <w:overflowPunct/>
        <w:topLinePunct w:val="0"/>
        <w:autoSpaceDE w:val="0"/>
        <w:autoSpaceDN/>
        <w:bidi w:val="0"/>
        <w:adjustRightInd/>
        <w:snapToGrid/>
        <w:spacing w:before="0" w:beforeAutospacing="0" w:after="0" w:afterAutospacing="0" w:line="620" w:lineRule="exact"/>
        <w:ind w:left="0" w:leftChars="0" w:right="0" w:rightChars="0" w:firstLine="0" w:firstLineChars="0"/>
        <w:jc w:val="left"/>
        <w:textAlignment w:val="auto"/>
        <w:outlineLvl w:val="9"/>
        <w:rPr>
          <w:rFonts w:hint="eastAsia" w:ascii="楷体" w:hAnsi="楷体" w:eastAsia="楷体" w:cs="楷体"/>
          <w:color w:val="000000"/>
          <w:spacing w:val="0"/>
          <w:w w:val="100"/>
          <w:kern w:val="0"/>
          <w:sz w:val="32"/>
          <w:szCs w:val="32"/>
        </w:rPr>
      </w:pPr>
      <w:r>
        <w:rPr>
          <w:rFonts w:hint="eastAsia" w:ascii="楷体" w:hAnsi="楷体" w:eastAsia="楷体" w:cs="楷体"/>
          <w:color w:val="000000"/>
          <w:spacing w:val="0"/>
          <w:w w:val="100"/>
          <w:kern w:val="0"/>
          <w:sz w:val="32"/>
          <w:szCs w:val="32"/>
        </w:rPr>
        <w:t xml:space="preserve">    第三章  保护和管理 </w:t>
      </w:r>
    </w:p>
    <w:p>
      <w:pPr>
        <w:pStyle w:val="12"/>
        <w:keepNext w:val="0"/>
        <w:keepLines w:val="0"/>
        <w:pageBreakBefore w:val="0"/>
        <w:widowControl/>
        <w:kinsoku/>
        <w:wordWrap/>
        <w:overflowPunct/>
        <w:topLinePunct w:val="0"/>
        <w:autoSpaceDE w:val="0"/>
        <w:autoSpaceDN/>
        <w:bidi w:val="0"/>
        <w:adjustRightInd/>
        <w:snapToGrid/>
        <w:spacing w:before="0" w:beforeAutospacing="0" w:after="0" w:afterAutospacing="0" w:line="620" w:lineRule="exact"/>
        <w:ind w:left="0" w:leftChars="0" w:right="0" w:rightChars="0" w:firstLine="0" w:firstLineChars="0"/>
        <w:jc w:val="left"/>
        <w:textAlignment w:val="auto"/>
        <w:outlineLvl w:val="9"/>
        <w:rPr>
          <w:rFonts w:hint="eastAsia" w:ascii="楷体" w:hAnsi="楷体" w:eastAsia="楷体" w:cs="楷体"/>
          <w:color w:val="000000"/>
          <w:spacing w:val="0"/>
          <w:w w:val="100"/>
          <w:kern w:val="0"/>
          <w:sz w:val="32"/>
          <w:szCs w:val="32"/>
        </w:rPr>
      </w:pPr>
      <w:r>
        <w:rPr>
          <w:rFonts w:hint="eastAsia" w:ascii="楷体" w:hAnsi="楷体" w:eastAsia="楷体" w:cs="楷体"/>
          <w:color w:val="000000"/>
          <w:spacing w:val="0"/>
          <w:w w:val="100"/>
          <w:kern w:val="0"/>
          <w:sz w:val="32"/>
          <w:szCs w:val="32"/>
        </w:rPr>
        <w:t xml:space="preserve">    第四章  法律责任 </w:t>
      </w:r>
    </w:p>
    <w:p>
      <w:pPr>
        <w:pStyle w:val="12"/>
        <w:keepNext w:val="0"/>
        <w:keepLines w:val="0"/>
        <w:pageBreakBefore w:val="0"/>
        <w:widowControl/>
        <w:kinsoku/>
        <w:wordWrap/>
        <w:overflowPunct/>
        <w:topLinePunct w:val="0"/>
        <w:autoSpaceDE w:val="0"/>
        <w:autoSpaceDN/>
        <w:bidi w:val="0"/>
        <w:adjustRightInd/>
        <w:snapToGrid/>
        <w:spacing w:before="0" w:beforeAutospacing="0" w:after="0" w:afterAutospacing="0" w:line="620" w:lineRule="exact"/>
        <w:ind w:left="0" w:leftChars="0" w:right="0" w:rightChars="0" w:firstLine="640" w:firstLineChars="0"/>
        <w:jc w:val="left"/>
        <w:textAlignment w:val="auto"/>
        <w:outlineLvl w:val="9"/>
        <w:rPr>
          <w:rFonts w:hint="eastAsia" w:ascii="楷体" w:hAnsi="楷体" w:eastAsia="楷体" w:cs="楷体"/>
          <w:color w:val="000000"/>
          <w:spacing w:val="0"/>
          <w:w w:val="100"/>
          <w:kern w:val="0"/>
          <w:sz w:val="32"/>
          <w:szCs w:val="32"/>
        </w:rPr>
      </w:pPr>
      <w:r>
        <w:rPr>
          <w:rFonts w:hint="eastAsia" w:ascii="楷体" w:hAnsi="楷体" w:eastAsia="楷体" w:cs="楷体"/>
          <w:color w:val="000000"/>
          <w:spacing w:val="0"/>
          <w:w w:val="100"/>
          <w:kern w:val="0"/>
          <w:sz w:val="32"/>
          <w:szCs w:val="32"/>
        </w:rPr>
        <w:t xml:space="preserve">第五章  附则 </w:t>
      </w:r>
    </w:p>
    <w:p>
      <w:pPr>
        <w:pStyle w:val="12"/>
        <w:keepNext w:val="0"/>
        <w:keepLines w:val="0"/>
        <w:pageBreakBefore w:val="0"/>
        <w:widowControl w:val="0"/>
        <w:kinsoku/>
        <w:wordWrap/>
        <w:overflowPunct/>
        <w:topLinePunct w:val="0"/>
        <w:autoSpaceDE w:val="0"/>
        <w:autoSpaceDN/>
        <w:bidi w:val="0"/>
        <w:snapToGrid w:val="0"/>
        <w:spacing w:before="0" w:beforeAutospacing="0" w:after="0" w:afterAutospacing="0" w:line="240" w:lineRule="auto"/>
        <w:ind w:left="0" w:leftChars="0" w:right="0" w:rightChars="0" w:firstLine="640" w:firstLineChars="0"/>
        <w:jc w:val="center"/>
        <w:textAlignment w:val="auto"/>
        <w:outlineLvl w:val="9"/>
        <w:rPr>
          <w:rFonts w:hint="eastAsia" w:asciiTheme="minorEastAsia" w:hAnsiTheme="minorEastAsia" w:eastAsiaTheme="minorEastAsia" w:cstheme="minorEastAsia"/>
          <w:color w:val="000000"/>
          <w:spacing w:val="0"/>
          <w:w w:val="100"/>
          <w:kern w:val="0"/>
          <w:sz w:val="32"/>
          <w:szCs w:val="32"/>
        </w:rPr>
      </w:pP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b w:val="0"/>
          <w:color w:val="000000"/>
          <w:spacing w:val="0"/>
          <w:w w:val="100"/>
          <w:kern w:val="0"/>
          <w:sz w:val="32"/>
          <w:szCs w:val="32"/>
        </w:rPr>
      </w:pPr>
      <w:r>
        <w:rPr>
          <w:rFonts w:hint="eastAsia" w:ascii="黑体" w:hAnsi="宋体" w:eastAsia="黑体" w:cs="黑体"/>
          <w:b w:val="0"/>
          <w:color w:val="000000"/>
          <w:spacing w:val="0"/>
          <w:w w:val="100"/>
          <w:kern w:val="0"/>
          <w:sz w:val="32"/>
          <w:szCs w:val="32"/>
        </w:rPr>
        <w:t>第一章</w:t>
      </w:r>
      <w:r>
        <w:rPr>
          <w:rFonts w:hint="eastAsia" w:ascii="黑体" w:eastAsia="黑体" w:cs="黑体"/>
          <w:b w:val="0"/>
          <w:color w:val="000000"/>
          <w:spacing w:val="0"/>
          <w:w w:val="100"/>
          <w:kern w:val="0"/>
          <w:sz w:val="32"/>
          <w:szCs w:val="32"/>
          <w:lang w:val="en-US" w:eastAsia="zh-CN"/>
        </w:rPr>
        <w:t xml:space="preserve">  </w:t>
      </w:r>
      <w:r>
        <w:rPr>
          <w:rFonts w:hint="eastAsia" w:ascii="黑体" w:hAnsi="宋体" w:eastAsia="黑体" w:cs="黑体"/>
          <w:b w:val="0"/>
          <w:color w:val="000000"/>
          <w:spacing w:val="0"/>
          <w:w w:val="100"/>
          <w:kern w:val="0"/>
          <w:sz w:val="32"/>
          <w:szCs w:val="32"/>
        </w:rPr>
        <w:t>总则</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b w:val="0"/>
          <w:color w:val="000000"/>
          <w:spacing w:val="0"/>
          <w:w w:val="100"/>
          <w:kern w:val="0"/>
          <w:sz w:val="32"/>
          <w:szCs w:val="32"/>
        </w:rPr>
      </w:pP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第一条</w:t>
      </w:r>
      <w:r>
        <w:rPr>
          <w:rFonts w:hint="eastAsia" w:ascii="黑体" w:eastAsia="黑体" w:cs="黑体"/>
          <w:b w:val="0"/>
          <w:color w:val="000000"/>
          <w:spacing w:val="0"/>
          <w:w w:val="100"/>
          <w:kern w:val="0"/>
          <w:sz w:val="32"/>
          <w:szCs w:val="32"/>
          <w:lang w:val="en-US" w:eastAsia="zh-CN"/>
        </w:rPr>
        <w:t xml:space="preserve">  </w:t>
      </w:r>
      <w:r>
        <w:rPr>
          <w:rFonts w:hint="eastAsia" w:ascii="仿宋_GB2312" w:hAnsi="宋体" w:eastAsia="仿宋_GB2312" w:cs="仿宋_GB2312"/>
          <w:color w:val="000000"/>
          <w:spacing w:val="0"/>
          <w:w w:val="100"/>
          <w:kern w:val="0"/>
          <w:sz w:val="32"/>
          <w:szCs w:val="32"/>
        </w:rPr>
        <w:t xml:space="preserve">为了促进我区城市绿化事业的发展，改善城市生态环境，美化城市生活环境，根据国家有关法律、法规，结合自治区实际，制定本条例。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第二条</w:t>
      </w:r>
      <w:r>
        <w:rPr>
          <w:rFonts w:hint="eastAsia" w:ascii="仿宋_GB2312" w:hAnsi="宋体" w:eastAsia="仿宋_GB2312" w:cs="仿宋_GB2312"/>
          <w:color w:val="000000"/>
          <w:spacing w:val="0"/>
          <w:w w:val="100"/>
          <w:kern w:val="0"/>
          <w:sz w:val="32"/>
          <w:szCs w:val="32"/>
        </w:rPr>
        <w:t xml:space="preserve">  本条例适用于在本自治区城市规划区内种植和养护树木花草等城市绿化的规划、建设、保护和管理。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第三条</w:t>
      </w:r>
      <w:r>
        <w:rPr>
          <w:rFonts w:hint="eastAsia" w:ascii="仿宋_GB2312" w:hAnsi="宋体" w:eastAsia="仿宋_GB2312" w:cs="仿宋_GB2312"/>
          <w:color w:val="000000"/>
          <w:spacing w:val="0"/>
          <w:w w:val="100"/>
          <w:kern w:val="0"/>
          <w:sz w:val="32"/>
          <w:szCs w:val="32"/>
        </w:rPr>
        <w:t xml:space="preserve">  城市人民政府应当实行绿化领导责任制，加强城市绿化教育，提高全民绿化意识，鼓励单位和个人种植花草树木，推广先进技术，提高城市绿化的科学和艺术水平。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对在城市绿化工作中作出显著成绩的单位和个人，由城市人民政府给予表彰和奖励。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第四条</w:t>
      </w:r>
      <w:r>
        <w:rPr>
          <w:rFonts w:hint="eastAsia" w:ascii="仿宋_GB2312" w:hAnsi="宋体" w:eastAsia="仿宋_GB2312" w:cs="仿宋_GB2312"/>
          <w:color w:val="000000"/>
          <w:spacing w:val="0"/>
          <w:w w:val="100"/>
          <w:kern w:val="0"/>
          <w:sz w:val="32"/>
          <w:szCs w:val="32"/>
        </w:rPr>
        <w:t xml:space="preserve">  县级以上各级人民政府建设行政主管部门或者园林绿化行政主管部门（以下统称城市绿化行政主管部门），主管本行政区域内城市规划区的城市绿化工作。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在城市规划区内，法律、法规规定由林业</w:t>
      </w:r>
      <w:r>
        <w:rPr>
          <w:rFonts w:hint="eastAsia" w:ascii="仿宋_GB2312" w:eastAsia="仿宋_GB2312" w:cs="仿宋_GB2312"/>
          <w:color w:val="000000"/>
          <w:spacing w:val="0"/>
          <w:w w:val="100"/>
          <w:kern w:val="0"/>
          <w:sz w:val="32"/>
          <w:szCs w:val="32"/>
          <w:lang w:eastAsia="zh-CN"/>
        </w:rPr>
        <w:t>草原管理</w:t>
      </w:r>
      <w:r>
        <w:rPr>
          <w:rFonts w:hint="eastAsia" w:ascii="仿宋_GB2312" w:hAnsi="宋体" w:eastAsia="仿宋_GB2312" w:cs="仿宋_GB2312"/>
          <w:color w:val="000000"/>
          <w:spacing w:val="0"/>
          <w:w w:val="100"/>
          <w:kern w:val="0"/>
          <w:sz w:val="32"/>
          <w:szCs w:val="32"/>
        </w:rPr>
        <w:t xml:space="preserve">部门管理的绿化工作，按其规定执行。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第五条</w:t>
      </w:r>
      <w:r>
        <w:rPr>
          <w:rFonts w:hint="eastAsia" w:ascii="仿宋_GB2312" w:hAnsi="宋体" w:eastAsia="仿宋_GB2312" w:cs="仿宋_GB2312"/>
          <w:color w:val="000000"/>
          <w:spacing w:val="0"/>
          <w:w w:val="100"/>
          <w:kern w:val="0"/>
          <w:sz w:val="32"/>
          <w:szCs w:val="32"/>
        </w:rPr>
        <w:t xml:space="preserve">  城市中的单位和有劳动能力的公民，应当按照国家有关规定履行植树或者其他绿化义务。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任何单位和个人都有权对违反本条例的行为进行劝阻、检举和控告。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640" w:firstLineChars="0"/>
        <w:jc w:val="both"/>
        <w:textAlignment w:val="auto"/>
        <w:outlineLvl w:val="9"/>
        <w:rPr>
          <w:rFonts w:hint="eastAsia" w:ascii="仿宋_GB2312" w:hAnsi="宋体" w:eastAsia="仿宋_GB2312" w:cs="仿宋_GB2312"/>
          <w:color w:val="000000"/>
          <w:spacing w:val="0"/>
          <w:w w:val="100"/>
          <w:kern w:val="0"/>
          <w:sz w:val="32"/>
          <w:szCs w:val="32"/>
        </w:rPr>
      </w:pP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仿宋_GB2312" w:hAnsi="宋体" w:eastAsia="仿宋_GB2312" w:cs="仿宋_GB2312"/>
          <w:color w:val="000000"/>
          <w:spacing w:val="0"/>
          <w:w w:val="100"/>
          <w:kern w:val="0"/>
          <w:sz w:val="32"/>
          <w:szCs w:val="32"/>
        </w:rPr>
      </w:pPr>
      <w:r>
        <w:rPr>
          <w:rFonts w:hint="eastAsia" w:ascii="黑体" w:hAnsi="宋体" w:eastAsia="黑体" w:cs="黑体"/>
          <w:b w:val="0"/>
          <w:color w:val="000000"/>
          <w:spacing w:val="0"/>
          <w:w w:val="100"/>
          <w:kern w:val="0"/>
          <w:sz w:val="32"/>
          <w:szCs w:val="32"/>
        </w:rPr>
        <w:t>第二章</w:t>
      </w:r>
      <w:r>
        <w:rPr>
          <w:rFonts w:hint="eastAsia" w:ascii="黑体" w:eastAsia="黑体" w:cs="黑体"/>
          <w:b w:val="0"/>
          <w:color w:val="000000"/>
          <w:spacing w:val="0"/>
          <w:w w:val="100"/>
          <w:kern w:val="0"/>
          <w:sz w:val="32"/>
          <w:szCs w:val="32"/>
          <w:lang w:val="en-US" w:eastAsia="zh-CN"/>
        </w:rPr>
        <w:t xml:space="preserve">  </w:t>
      </w:r>
      <w:r>
        <w:rPr>
          <w:rFonts w:hint="eastAsia" w:ascii="黑体" w:hAnsi="宋体" w:eastAsia="黑体" w:cs="黑体"/>
          <w:b w:val="0"/>
          <w:color w:val="000000"/>
          <w:spacing w:val="0"/>
          <w:w w:val="100"/>
          <w:kern w:val="0"/>
          <w:sz w:val="32"/>
          <w:szCs w:val="32"/>
        </w:rPr>
        <w:t>规划和建设</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仿宋_GB2312" w:hAnsi="宋体" w:eastAsia="仿宋_GB2312" w:cs="仿宋_GB2312"/>
          <w:color w:val="000000"/>
          <w:spacing w:val="0"/>
          <w:w w:val="100"/>
          <w:kern w:val="0"/>
          <w:sz w:val="32"/>
          <w:szCs w:val="32"/>
        </w:rPr>
      </w:pP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第六条</w:t>
      </w:r>
      <w:r>
        <w:rPr>
          <w:rFonts w:hint="eastAsia" w:ascii="仿宋_GB2312" w:hAnsi="宋体" w:eastAsia="仿宋_GB2312" w:cs="仿宋_GB2312"/>
          <w:color w:val="000000"/>
          <w:spacing w:val="0"/>
          <w:w w:val="100"/>
          <w:kern w:val="0"/>
          <w:sz w:val="32"/>
          <w:szCs w:val="32"/>
        </w:rPr>
        <w:t xml:space="preserve">  城市人民政府应当把城市绿化建设纳入国民经济和社会发展计划，组织城市规划行政主管部门和城市绿化行政主管部门共同编制城市绿化规划，并将城市绿化规划纳入城市总体规划，制定出分期实施计划，由城市绿化行政主管部门组织实施。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第七条</w:t>
      </w:r>
      <w:r>
        <w:rPr>
          <w:rFonts w:hint="eastAsia" w:ascii="仿宋_GB2312" w:hAnsi="宋体" w:eastAsia="仿宋_GB2312" w:cs="仿宋_GB2312"/>
          <w:color w:val="000000"/>
          <w:spacing w:val="0"/>
          <w:w w:val="100"/>
          <w:kern w:val="0"/>
          <w:sz w:val="32"/>
          <w:szCs w:val="32"/>
        </w:rPr>
        <w:t xml:space="preserve">  编制城市绿化规划和进行城市绿化建设，应当根据城市的自然特点和防治环境污染、风沙灾害等需要，设置不同类型的防护绿地。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第八条</w:t>
      </w:r>
      <w:r>
        <w:rPr>
          <w:rFonts w:hint="eastAsia" w:ascii="仿宋_GB2312" w:hAnsi="宋体" w:eastAsia="仿宋_GB2312" w:cs="仿宋_GB2312"/>
          <w:color w:val="000000"/>
          <w:spacing w:val="0"/>
          <w:w w:val="100"/>
          <w:kern w:val="0"/>
          <w:sz w:val="32"/>
          <w:szCs w:val="32"/>
        </w:rPr>
        <w:t xml:space="preserve">  城市新建、扩建、改建工程必须安排一定的绿化用地，其所占建设用地面积的比例为: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（一）新建居住区不低于30％，旧城改建区不低于25％；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（二）新建市区主干道不低于20％，次干道不低于15％；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（三）新建学校、医院、疗养院所、公共文化设施和机关团体等单位不低于30％；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（四）新建经济技术开发区不低于30％，工矿企业不低于25％，产生有毒有害物质，污染环境的工厂不低于35％，并在其周围营造卫生防护林带；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（五）城市商业区不低于20％；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（六）其他工程建设项目地处城市建成区的，不低于25％，地处城市建成区以外的不低于30％。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创建国家园林城市的，按照国家园林城市标准执行。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第九条</w:t>
      </w:r>
      <w:r>
        <w:rPr>
          <w:rFonts w:hint="eastAsia" w:ascii="仿宋_GB2312" w:hAnsi="宋体" w:eastAsia="仿宋_GB2312" w:cs="仿宋_GB2312"/>
          <w:color w:val="000000"/>
          <w:spacing w:val="0"/>
          <w:w w:val="100"/>
          <w:kern w:val="0"/>
          <w:sz w:val="32"/>
          <w:szCs w:val="32"/>
        </w:rPr>
        <w:t xml:space="preserve">  城市苗圃、花圃、草圃等生产绿地建设，应当适应本城市绿化建设的需要，其面积不得少于城市建成区总面积的2％。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第十条</w:t>
      </w:r>
      <w:r>
        <w:rPr>
          <w:rFonts w:hint="eastAsia" w:ascii="仿宋_GB2312" w:hAnsi="宋体" w:eastAsia="仿宋_GB2312" w:cs="仿宋_GB2312"/>
          <w:color w:val="000000"/>
          <w:spacing w:val="0"/>
          <w:w w:val="100"/>
          <w:kern w:val="0"/>
          <w:sz w:val="32"/>
          <w:szCs w:val="32"/>
        </w:rPr>
        <w:t xml:space="preserve">  城市中的各项建设，必须按照国家规定和绿化规划留足绿化用地。城市规划行政主管部门和土地管理部门，应当严格按照绿化用地规定所占比例，审批建设项目规划方案，以确保城市绿化用地面积。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第十一条</w:t>
      </w:r>
      <w:r>
        <w:rPr>
          <w:rFonts w:hint="eastAsia" w:ascii="仿宋_GB2312" w:hAnsi="宋体" w:eastAsia="仿宋_GB2312" w:cs="仿宋_GB2312"/>
          <w:color w:val="000000"/>
          <w:spacing w:val="0"/>
          <w:w w:val="100"/>
          <w:kern w:val="0"/>
          <w:sz w:val="32"/>
          <w:szCs w:val="32"/>
        </w:rPr>
        <w:t xml:space="preserve">  城市中的现有单位或者居住区绿地面积低于本条例第八条有关规定并有空地的，必须留足绿化用地面积后，方可进行其他建设。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城市中现有街道和建筑物周围绿化面积不足或者无绿化面积的，应当采取平面绿化、垂直绿化等多种措施进行绿化。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第十二条</w:t>
      </w:r>
      <w:r>
        <w:rPr>
          <w:rFonts w:hint="eastAsia" w:ascii="仿宋_GB2312" w:hAnsi="宋体" w:eastAsia="仿宋_GB2312" w:cs="仿宋_GB2312"/>
          <w:color w:val="000000"/>
          <w:spacing w:val="0"/>
          <w:w w:val="100"/>
          <w:kern w:val="0"/>
          <w:sz w:val="32"/>
          <w:szCs w:val="32"/>
        </w:rPr>
        <w:t xml:space="preserve">  城市新建、扩建、改建工程项目和开发住宅小区，其基本建设投资中必须包括配套的绿化建设投资。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机关、团体、企事业单位，应当根据本单位的绿化需要和有关规定，安排绿化经费。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第十三条</w:t>
      </w:r>
      <w:r>
        <w:rPr>
          <w:rFonts w:hint="eastAsia" w:ascii="仿宋_GB2312" w:hAnsi="宋体" w:eastAsia="仿宋_GB2312" w:cs="仿宋_GB2312"/>
          <w:color w:val="000000"/>
          <w:spacing w:val="0"/>
          <w:w w:val="100"/>
          <w:kern w:val="0"/>
          <w:sz w:val="32"/>
          <w:szCs w:val="32"/>
        </w:rPr>
        <w:t xml:space="preserve">  工程建设项目的附属绿化工程设计方案，按照基本建设程序审批时，必须有城市绿化行政主管部门参加审</w:t>
      </w:r>
      <w:r>
        <w:rPr>
          <w:rFonts w:hint="eastAsia" w:ascii="仿宋_GB2312" w:eastAsia="仿宋_GB2312" w:cs="仿宋_GB2312"/>
          <w:color w:val="000000"/>
          <w:spacing w:val="0"/>
          <w:w w:val="100"/>
          <w:kern w:val="0"/>
          <w:sz w:val="32"/>
          <w:szCs w:val="32"/>
        </w:rPr>
        <w:t>查。</w:t>
      </w:r>
      <w:r>
        <w:rPr>
          <w:rFonts w:hint="eastAsia" w:ascii="仿宋_GB2312" w:hAnsi="宋体" w:eastAsia="仿宋_GB2312" w:cs="仿宋_GB2312"/>
          <w:color w:val="000000"/>
          <w:spacing w:val="0"/>
          <w:w w:val="100"/>
          <w:kern w:val="0"/>
          <w:sz w:val="32"/>
          <w:szCs w:val="32"/>
        </w:rPr>
        <w:t xml:space="preserve">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仿宋_GB2312" w:eastAsia="仿宋_GB2312" w:cs="仿宋_GB2312"/>
          <w:color w:val="000000"/>
          <w:spacing w:val="0"/>
          <w:w w:val="100"/>
          <w:kern w:val="0"/>
          <w:sz w:val="32"/>
          <w:szCs w:val="32"/>
        </w:rPr>
        <w:t xml:space="preserve"> </w:t>
      </w:r>
      <w:r>
        <w:rPr>
          <w:rFonts w:hint="eastAsia" w:ascii="仿宋_GB2312" w:hAnsi="宋体" w:eastAsia="仿宋_GB2312" w:cs="仿宋_GB2312"/>
          <w:color w:val="000000"/>
          <w:spacing w:val="0"/>
          <w:w w:val="100"/>
          <w:kern w:val="0"/>
          <w:sz w:val="32"/>
          <w:szCs w:val="32"/>
        </w:rPr>
        <w:t xml:space="preserve">单位附属绿地的绿化规划和建设，由该单位自行负责，城市绿化行政主管部门进行监督检查，并给予技术指导。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第十四条</w:t>
      </w:r>
      <w:r>
        <w:rPr>
          <w:rFonts w:hint="eastAsia" w:ascii="仿宋_GB2312" w:hAnsi="宋体" w:eastAsia="仿宋_GB2312" w:cs="仿宋_GB2312"/>
          <w:color w:val="000000"/>
          <w:spacing w:val="0"/>
          <w:w w:val="100"/>
          <w:kern w:val="0"/>
          <w:sz w:val="32"/>
          <w:szCs w:val="32"/>
        </w:rPr>
        <w:t xml:space="preserve">  城市绿化工程的设计应当委托持有相应资格证书的单位承担，设计方案应当以适应本地区自然条件的植物造景为主，实行乔木和灌木、常绿树和落叶树、树木和花草、平面绿化和垂直绿化相结合，并适当配置泉、石、雕塑等景物。 </w:t>
      </w:r>
    </w:p>
    <w:p>
      <w:pPr>
        <w:pStyle w:val="12"/>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第十五条</w:t>
      </w:r>
      <w:r>
        <w:rPr>
          <w:rFonts w:hint="eastAsia" w:ascii="仿宋_GB2312" w:hAnsi="宋体" w:eastAsia="仿宋_GB2312" w:cs="仿宋_GB2312"/>
          <w:color w:val="000000"/>
          <w:spacing w:val="0"/>
          <w:w w:val="100"/>
          <w:kern w:val="0"/>
          <w:sz w:val="32"/>
          <w:szCs w:val="32"/>
        </w:rPr>
        <w:t xml:space="preserve">  城市工程建设项目的附属绿化工程，应当由建设单位在工程建设项目主体工程投入使用后的第二个绿化季节内完成。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黑体" w:hAnsi="宋体" w:eastAsia="黑体" w:cs="黑体"/>
          <w:b w:val="0"/>
          <w:color w:val="000000"/>
          <w:spacing w:val="0"/>
          <w:w w:val="100"/>
          <w:kern w:val="0"/>
          <w:sz w:val="32"/>
          <w:szCs w:val="32"/>
        </w:rPr>
        <w:t>第十六条</w:t>
      </w:r>
      <w:r>
        <w:rPr>
          <w:rFonts w:hint="eastAsia" w:ascii="仿宋_GB2312" w:hAnsi="宋体" w:eastAsia="仿宋_GB2312" w:cs="仿宋_GB2312"/>
          <w:color w:val="000000"/>
          <w:spacing w:val="0"/>
          <w:w w:val="100"/>
          <w:kern w:val="0"/>
          <w:sz w:val="32"/>
          <w:szCs w:val="32"/>
        </w:rPr>
        <w:t xml:space="preserve">  工程建设项目除商业区、居住区外，确因特殊原因不能按照绿化规划进行绿化建设的，须经城市绿化行政主管部门批准，并按照所缺绿化建设面积缴纳绿化补偿费，由城市绿化行政主管部门统一进行绿化建设。</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640" w:firstLineChars="0"/>
        <w:jc w:val="center"/>
        <w:textAlignment w:val="auto"/>
        <w:outlineLvl w:val="9"/>
        <w:rPr>
          <w:rFonts w:hint="eastAsia" w:ascii="仿宋_GB2312" w:hAnsi="宋体" w:eastAsia="仿宋_GB2312" w:cs="仿宋_GB2312"/>
          <w:color w:val="000000"/>
          <w:spacing w:val="0"/>
          <w:w w:val="100"/>
          <w:kern w:val="0"/>
          <w:sz w:val="32"/>
          <w:szCs w:val="32"/>
        </w:rPr>
      </w:pP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仿宋_GB2312" w:hAnsi="宋体" w:eastAsia="仿宋_GB2312" w:cs="仿宋_GB2312"/>
          <w:color w:val="000000"/>
          <w:spacing w:val="0"/>
          <w:w w:val="100"/>
          <w:kern w:val="0"/>
          <w:sz w:val="32"/>
          <w:szCs w:val="32"/>
        </w:rPr>
      </w:pPr>
      <w:r>
        <w:rPr>
          <w:rFonts w:hint="eastAsia" w:ascii="黑体" w:hAnsi="宋体" w:eastAsia="黑体" w:cs="黑体"/>
          <w:b w:val="0"/>
          <w:color w:val="000000"/>
          <w:spacing w:val="0"/>
          <w:w w:val="100"/>
          <w:kern w:val="0"/>
          <w:sz w:val="32"/>
          <w:szCs w:val="32"/>
        </w:rPr>
        <w:t>第三章</w:t>
      </w:r>
      <w:r>
        <w:rPr>
          <w:rFonts w:hint="eastAsia" w:ascii="黑体" w:eastAsia="黑体" w:cs="黑体"/>
          <w:b w:val="0"/>
          <w:color w:val="000000"/>
          <w:spacing w:val="0"/>
          <w:w w:val="100"/>
          <w:kern w:val="0"/>
          <w:sz w:val="32"/>
          <w:szCs w:val="32"/>
          <w:lang w:val="en-US" w:eastAsia="zh-CN"/>
        </w:rPr>
        <w:t xml:space="preserve">  </w:t>
      </w:r>
      <w:r>
        <w:rPr>
          <w:rFonts w:hint="eastAsia" w:ascii="黑体" w:hAnsi="宋体" w:eastAsia="黑体" w:cs="黑体"/>
          <w:b w:val="0"/>
          <w:color w:val="000000"/>
          <w:spacing w:val="0"/>
          <w:w w:val="100"/>
          <w:kern w:val="0"/>
          <w:sz w:val="32"/>
          <w:szCs w:val="32"/>
        </w:rPr>
        <w:t>保护和管理</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仿宋_GB2312" w:hAnsi="宋体" w:eastAsia="仿宋_GB2312" w:cs="仿宋_GB2312"/>
          <w:color w:val="000000"/>
          <w:spacing w:val="0"/>
          <w:w w:val="100"/>
          <w:kern w:val="0"/>
          <w:sz w:val="32"/>
          <w:szCs w:val="32"/>
        </w:rPr>
      </w:pP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第十七条</w:t>
      </w:r>
      <w:r>
        <w:rPr>
          <w:rFonts w:hint="eastAsia" w:ascii="仿宋_GB2312" w:hAnsi="宋体" w:eastAsia="仿宋_GB2312" w:cs="仿宋_GB2312"/>
          <w:color w:val="000000"/>
          <w:spacing w:val="0"/>
          <w:w w:val="100"/>
          <w:kern w:val="0"/>
          <w:sz w:val="32"/>
          <w:szCs w:val="32"/>
        </w:rPr>
        <w:t xml:space="preserve">  城市绿化管理工作实行行业管理、部门管理与单位、群众管理相结合的原则，并按下列规定负责管理: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（一）城市的公共绿地、生产绿地、防护绿地、风景林地、行道树及干道绿化带的绿化，由城市绿化行政主管部门管理；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（二）各单位附属绿地和生活区的绿化以及单位自建的公园、苗圃等由本单位管理；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（三）居住区的绿化，由居住区物业管理机构负责或者由城市绿化行政主管部门根据实际情况确定的单位管理；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（四）公路、铁路、河道、沟渠两侧的绿化，分别由其主管部门管理；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（五）城市居民在居住的庭院内种植的树木，归个人所有和管理。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 xml:space="preserve">第十八条 </w:t>
      </w:r>
      <w:r>
        <w:rPr>
          <w:rFonts w:hint="eastAsia" w:ascii="仿宋_GB2312" w:hAnsi="宋体" w:eastAsia="仿宋_GB2312" w:cs="仿宋_GB2312"/>
          <w:color w:val="000000"/>
          <w:spacing w:val="0"/>
          <w:w w:val="100"/>
          <w:kern w:val="0"/>
          <w:sz w:val="32"/>
          <w:szCs w:val="32"/>
        </w:rPr>
        <w:t xml:space="preserve"> 城市规划中确定的城市绿地和城市中已有的绿地，任何单位和个人不得擅自改变其用途或者破坏绿化规划用地的地形、地貌、水体和植物。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第十九条</w:t>
      </w:r>
      <w:r>
        <w:rPr>
          <w:rFonts w:hint="eastAsia" w:ascii="仿宋_GB2312" w:hAnsi="宋体" w:eastAsia="仿宋_GB2312" w:cs="仿宋_GB2312"/>
          <w:color w:val="000000"/>
          <w:spacing w:val="0"/>
          <w:w w:val="100"/>
          <w:kern w:val="0"/>
          <w:sz w:val="32"/>
          <w:szCs w:val="32"/>
        </w:rPr>
        <w:t xml:space="preserve">  因国家建设确需占用城市规划绿地或者城市中已有绿地的，须经城市规划行政主管部门或者城市绿化行政主管部门批准，缴纳占用绿地费或者绿地挖掘赔偿费，并按有关规定办理用地手续。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第二十条</w:t>
      </w:r>
      <w:r>
        <w:rPr>
          <w:rFonts w:hint="eastAsia" w:ascii="仿宋_GB2312" w:hAnsi="宋体" w:eastAsia="仿宋_GB2312" w:cs="仿宋_GB2312"/>
          <w:color w:val="000000"/>
          <w:spacing w:val="0"/>
          <w:w w:val="100"/>
          <w:kern w:val="0"/>
          <w:sz w:val="32"/>
          <w:szCs w:val="32"/>
        </w:rPr>
        <w:t xml:space="preserve">  因建设或者其他特殊需要临时占用城市绿地的，必须经城市绿化行政主管部门同意，按照有关规定办理临时用地手续。占用单位或者个人应当向绿地管理单位缴纳占用绿地费，并在临时用地期满后按原样恢复绿地。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第二十一条</w:t>
      </w:r>
      <w:r>
        <w:rPr>
          <w:rFonts w:hint="eastAsia" w:ascii="仿宋_GB2312" w:hAnsi="宋体" w:eastAsia="仿宋_GB2312" w:cs="仿宋_GB2312"/>
          <w:color w:val="000000"/>
          <w:spacing w:val="0"/>
          <w:w w:val="100"/>
          <w:kern w:val="0"/>
          <w:sz w:val="32"/>
          <w:szCs w:val="32"/>
        </w:rPr>
        <w:t xml:space="preserve">  禁止下列损害城市绿化和设施的行为: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（一）就树搭棚、盖房或者围圈树木；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（二）在绿地内放牧、堆放物料、乱倒、乱扔废弃物或者取土采石；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（三）在树木、花卉、绿篱附近堆放有毒有害物品及焚烧树叶、废纸等杂物；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（四）在公共绿地内擅自开设营业摊点；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（五）向树木、花草倾到污水、热水；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（六）在树木上钉栓刻划、攀折花木和任意采摘树叶、花果、践踏草坪；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（七）其他损害城市绿化和设施的行为。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第二十二条</w:t>
      </w:r>
      <w:r>
        <w:rPr>
          <w:rFonts w:hint="eastAsia" w:ascii="仿宋_GB2312" w:hAnsi="宋体" w:eastAsia="仿宋_GB2312" w:cs="仿宋_GB2312"/>
          <w:color w:val="000000"/>
          <w:spacing w:val="0"/>
          <w:w w:val="100"/>
          <w:kern w:val="0"/>
          <w:sz w:val="32"/>
          <w:szCs w:val="32"/>
        </w:rPr>
        <w:t xml:space="preserve">  严禁擅自砍伐或者移植树木、绿篱。因建设确需砍伐或者移植的，按下列规定办理审批手续；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（一）一处一次砍伐、移植乔木五十株或者灌木二十丛或者绿篱三十米以下的，由城市绿化行政主管部门审批；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（二）一处一次砍伐、移植乔木五十株或者灌木二十丛或者绿篱三十米以上的，由城市绿化行政主管部门审核、报城市人民政府审批。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第二十三条</w:t>
      </w:r>
      <w:r>
        <w:rPr>
          <w:rFonts w:hint="eastAsia" w:ascii="仿宋_GB2312" w:hAnsi="宋体" w:eastAsia="仿宋_GB2312" w:cs="仿宋_GB2312"/>
          <w:color w:val="000000"/>
          <w:spacing w:val="0"/>
          <w:w w:val="100"/>
          <w:kern w:val="0"/>
          <w:sz w:val="32"/>
          <w:szCs w:val="32"/>
        </w:rPr>
        <w:t xml:space="preserve">  经批准砍伐和移栽树木的，应当对树权所有者给予补偿，并按“伐一栽三”的原则予以补栽。原地无法补栽的，可交纳树木补栽所需费用，由城市绿化行政主管部门异地补栽。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因抢险救灾和处理事故等紧急情况需要砍伐树木的，可先行处理，事后应当及时向城市绿化行政主管部门报告。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第二十四条</w:t>
      </w:r>
      <w:r>
        <w:rPr>
          <w:rFonts w:hint="eastAsia" w:ascii="仿宋_GB2312" w:hAnsi="宋体" w:eastAsia="仿宋_GB2312" w:cs="仿宋_GB2312"/>
          <w:color w:val="000000"/>
          <w:spacing w:val="0"/>
          <w:w w:val="100"/>
          <w:kern w:val="0"/>
          <w:sz w:val="32"/>
          <w:szCs w:val="32"/>
        </w:rPr>
        <w:t xml:space="preserve">  禁止将城市公共绿地、防护绿地、生产绿地、风景林地出租、出让或者设定抵押。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第二十五条</w:t>
      </w:r>
      <w:r>
        <w:rPr>
          <w:rFonts w:hint="eastAsia" w:ascii="仿宋_GB2312" w:hAnsi="宋体" w:eastAsia="仿宋_GB2312" w:cs="仿宋_GB2312"/>
          <w:color w:val="000000"/>
          <w:spacing w:val="0"/>
          <w:w w:val="100"/>
          <w:kern w:val="0"/>
          <w:sz w:val="32"/>
          <w:szCs w:val="32"/>
        </w:rPr>
        <w:t xml:space="preserve">  </w:t>
      </w:r>
      <w:r>
        <w:rPr>
          <w:rFonts w:hint="eastAsia" w:ascii="仿宋_GB2312" w:eastAsia="仿宋_GB2312" w:cs="仿宋_GB2312"/>
          <w:color w:val="000000"/>
          <w:spacing w:val="0"/>
          <w:w w:val="100"/>
          <w:kern w:val="0"/>
          <w:sz w:val="32"/>
          <w:szCs w:val="32"/>
        </w:rPr>
        <w:t>在城市的公园、动物园、植物园和陵园内开设商业、服务摊点，应当持营业执照，在公共绿地管理单位指定的地点从事经营活动，并遵守公共绿地和市场监督管理的规定</w:t>
      </w:r>
      <w:r>
        <w:rPr>
          <w:rFonts w:hint="eastAsia" w:ascii="仿宋_GB2312" w:hAnsi="宋体" w:eastAsia="仿宋_GB2312" w:cs="仿宋_GB2312"/>
          <w:color w:val="000000"/>
          <w:spacing w:val="0"/>
          <w:w w:val="100"/>
          <w:kern w:val="0"/>
          <w:sz w:val="32"/>
          <w:szCs w:val="32"/>
        </w:rPr>
        <w:t xml:space="preserve">。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第二十六条</w:t>
      </w:r>
      <w:r>
        <w:rPr>
          <w:rFonts w:hint="eastAsia" w:ascii="仿宋_GB2312" w:hAnsi="宋体" w:eastAsia="仿宋_GB2312" w:cs="仿宋_GB2312"/>
          <w:color w:val="000000"/>
          <w:spacing w:val="0"/>
          <w:w w:val="100"/>
          <w:kern w:val="0"/>
          <w:sz w:val="32"/>
          <w:szCs w:val="32"/>
        </w:rPr>
        <w:t xml:space="preserve">  绿地管理单位应当加强技术管理，建立、健全管理制度，定期维护绿化设施，做好病虫害的防治工作。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凡须引进调入外地种苗的，必须经城市绿化行政主管部门会同有关部门检疫。符合植物检疫标准的种苗，方可引进调入。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单位和个人的树木发生病虫害时，应当立即采取防治措施，并及时向城市绿化行政主管部门报告。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第二十七条</w:t>
      </w:r>
      <w:r>
        <w:rPr>
          <w:rFonts w:hint="eastAsia" w:ascii="仿宋_GB2312" w:hAnsi="宋体" w:eastAsia="仿宋_GB2312" w:cs="仿宋_GB2312"/>
          <w:color w:val="000000"/>
          <w:spacing w:val="0"/>
          <w:w w:val="100"/>
          <w:kern w:val="0"/>
          <w:sz w:val="32"/>
          <w:szCs w:val="32"/>
        </w:rPr>
        <w:t xml:space="preserve">  城市树木影响管线安全使用需要修</w:t>
      </w:r>
      <w:r>
        <w:rPr>
          <w:rFonts w:hint="eastAsia" w:ascii="仿宋_GB2312" w:eastAsia="仿宋_GB2312" w:cs="仿宋_GB2312"/>
          <w:color w:val="000000"/>
          <w:spacing w:val="0"/>
          <w:w w:val="100"/>
          <w:kern w:val="0"/>
          <w:sz w:val="32"/>
          <w:szCs w:val="32"/>
        </w:rPr>
        <w:t>剪时，应当按照兼顾管线安全使用和树木正常生长的原则进行修剪。承担修剪费用的办法，由城市人民政府规定。</w:t>
      </w:r>
      <w:r>
        <w:rPr>
          <w:rFonts w:hint="eastAsia" w:ascii="仿宋_GB2312" w:hAnsi="宋体" w:eastAsia="仿宋_GB2312" w:cs="仿宋_GB2312"/>
          <w:color w:val="000000"/>
          <w:spacing w:val="0"/>
          <w:w w:val="100"/>
          <w:kern w:val="0"/>
          <w:sz w:val="32"/>
          <w:szCs w:val="32"/>
        </w:rPr>
        <w:t xml:space="preserve">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因不可抗力致使树木倾斜危及管线安全时，管线管理单位可以先行扶正或者砍伐树木</w:t>
      </w:r>
      <w:r>
        <w:rPr>
          <w:rFonts w:hint="eastAsia" w:ascii="仿宋_GB2312" w:eastAsia="仿宋_GB2312" w:cs="仿宋_GB2312"/>
          <w:color w:val="000000"/>
          <w:spacing w:val="0"/>
          <w:w w:val="100"/>
          <w:kern w:val="0"/>
          <w:sz w:val="32"/>
          <w:szCs w:val="32"/>
        </w:rPr>
        <w:t>，但是，应当</w:t>
      </w:r>
      <w:r>
        <w:rPr>
          <w:rFonts w:hint="eastAsia" w:ascii="仿宋_GB2312" w:hAnsi="宋体" w:eastAsia="仿宋_GB2312" w:cs="仿宋_GB2312"/>
          <w:color w:val="000000"/>
          <w:spacing w:val="0"/>
          <w:w w:val="100"/>
          <w:kern w:val="0"/>
          <w:sz w:val="32"/>
          <w:szCs w:val="32"/>
        </w:rPr>
        <w:t xml:space="preserve">及时报告城市绿化行政主管部门和绿地管理单位。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第二十八条</w:t>
      </w:r>
      <w:r>
        <w:rPr>
          <w:rFonts w:hint="eastAsia" w:ascii="仿宋_GB2312" w:hAnsi="宋体" w:eastAsia="仿宋_GB2312" w:cs="仿宋_GB2312"/>
          <w:color w:val="000000"/>
          <w:spacing w:val="0"/>
          <w:w w:val="100"/>
          <w:kern w:val="0"/>
          <w:sz w:val="32"/>
          <w:szCs w:val="32"/>
        </w:rPr>
        <w:t xml:space="preserve">  城市绿化行政主管部门应当对城市古树名木进行统一登记、编号、造册，设立价值说明和保护标志，划定保护范围，并建立档案，加强养护管理。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在单位管界内或者私人宅院内的古树名木，由该单位或者居民负责养护，城市绿化行政主管部门负责监督和技术指导，并补贴相应的养护费。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黑体" w:hAnsi="宋体" w:eastAsia="黑体" w:cs="黑体"/>
          <w:b w:val="0"/>
          <w:color w:val="000000"/>
          <w:spacing w:val="0"/>
          <w:w w:val="100"/>
          <w:kern w:val="0"/>
          <w:sz w:val="32"/>
          <w:szCs w:val="32"/>
        </w:rPr>
        <w:t>第二十九条</w:t>
      </w:r>
      <w:r>
        <w:rPr>
          <w:rFonts w:hint="eastAsia" w:ascii="仿宋_GB2312" w:hAnsi="宋体" w:eastAsia="仿宋_GB2312" w:cs="仿宋_GB2312"/>
          <w:color w:val="000000"/>
          <w:spacing w:val="0"/>
          <w:w w:val="100"/>
          <w:kern w:val="0"/>
          <w:sz w:val="32"/>
          <w:szCs w:val="32"/>
        </w:rPr>
        <w:t xml:space="preserve">  严禁砍伐或者迁移古树名木。因特殊需要迁移古树名木时，必须经城市绿化行政主管部门同意，报城市人民政府批准，由城市绿化行政主管部门统一组织迁移工作。迁移费用由申请迁移的单位承担。</w:t>
      </w:r>
    </w:p>
    <w:p>
      <w:pPr>
        <w:pStyle w:val="12"/>
        <w:keepNext w:val="0"/>
        <w:keepLines w:val="0"/>
        <w:pageBreakBefore w:val="0"/>
        <w:widowControl w:val="0"/>
        <w:kinsoku/>
        <w:wordWrap/>
        <w:overflowPunct/>
        <w:topLinePunct w:val="0"/>
        <w:autoSpaceDE w:val="0"/>
        <w:autoSpaceDN/>
        <w:bidi w:val="0"/>
        <w:adjustRightInd w:val="0"/>
        <w:snapToGrid w:val="0"/>
        <w:spacing w:before="599" w:beforeLines="100" w:beforeAutospacing="0" w:after="599" w:afterLines="100" w:afterAutospacing="0" w:line="240" w:lineRule="auto"/>
        <w:ind w:left="0" w:leftChars="0" w:right="0" w:rightChars="0" w:firstLine="0" w:firstLineChars="0"/>
        <w:jc w:val="center"/>
        <w:textAlignment w:val="auto"/>
        <w:outlineLvl w:val="9"/>
        <w:rPr>
          <w:rFonts w:hint="eastAsia" w:ascii="黑体" w:hAnsi="宋体" w:eastAsia="黑体" w:cs="黑体"/>
          <w:b w:val="0"/>
          <w:color w:val="000000"/>
          <w:spacing w:val="0"/>
          <w:w w:val="100"/>
          <w:kern w:val="0"/>
          <w:sz w:val="32"/>
          <w:szCs w:val="32"/>
        </w:rPr>
      </w:pPr>
      <w:r>
        <w:rPr>
          <w:rFonts w:hint="eastAsia" w:ascii="黑体" w:hAnsi="宋体" w:eastAsia="黑体" w:cs="黑体"/>
          <w:b w:val="0"/>
          <w:color w:val="000000"/>
          <w:spacing w:val="0"/>
          <w:w w:val="100"/>
          <w:kern w:val="0"/>
          <w:sz w:val="32"/>
          <w:szCs w:val="32"/>
        </w:rPr>
        <w:t>第四章</w:t>
      </w:r>
      <w:r>
        <w:rPr>
          <w:rFonts w:hint="eastAsia" w:ascii="黑体" w:eastAsia="黑体" w:cs="黑体"/>
          <w:b w:val="0"/>
          <w:color w:val="000000"/>
          <w:spacing w:val="0"/>
          <w:w w:val="100"/>
          <w:kern w:val="0"/>
          <w:sz w:val="32"/>
          <w:szCs w:val="32"/>
          <w:lang w:val="en-US" w:eastAsia="zh-CN"/>
        </w:rPr>
        <w:t xml:space="preserve">  </w:t>
      </w:r>
      <w:r>
        <w:rPr>
          <w:rFonts w:hint="eastAsia" w:ascii="黑体" w:hAnsi="宋体" w:eastAsia="黑体" w:cs="黑体"/>
          <w:b w:val="0"/>
          <w:color w:val="000000"/>
          <w:spacing w:val="0"/>
          <w:w w:val="100"/>
          <w:kern w:val="0"/>
          <w:sz w:val="32"/>
          <w:szCs w:val="32"/>
        </w:rPr>
        <w:t>法律责任</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第三十条</w:t>
      </w:r>
      <w:r>
        <w:rPr>
          <w:rFonts w:hint="eastAsia" w:ascii="仿宋_GB2312" w:hAnsi="宋体" w:eastAsia="仿宋_GB2312" w:cs="仿宋_GB2312"/>
          <w:color w:val="000000"/>
          <w:spacing w:val="0"/>
          <w:w w:val="100"/>
          <w:kern w:val="0"/>
          <w:sz w:val="32"/>
          <w:szCs w:val="32"/>
        </w:rPr>
        <w:t xml:space="preserve">  违反本条例第八条规定，建设工程绿化用地面积达不到规定标准的，由城市绿化行政主管部门责令限期改正；逾期仍达不到规定标准的，处以所缺绿化用地面积建设费用三至五倍的罚款。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第三十一条</w:t>
      </w:r>
      <w:r>
        <w:rPr>
          <w:rFonts w:hint="eastAsia" w:ascii="仿宋_GB2312" w:hAnsi="宋体" w:eastAsia="仿宋_GB2312" w:cs="仿宋_GB2312"/>
          <w:color w:val="000000"/>
          <w:spacing w:val="0"/>
          <w:w w:val="100"/>
          <w:kern w:val="0"/>
          <w:sz w:val="32"/>
          <w:szCs w:val="32"/>
        </w:rPr>
        <w:t xml:space="preserve">  违反本条例规定，工程建设项目的附属绿化工程设计方</w:t>
      </w:r>
      <w:r>
        <w:rPr>
          <w:rFonts w:hint="eastAsia" w:ascii="仿宋_GB2312" w:eastAsia="仿宋_GB2312" w:cs="仿宋_GB2312"/>
          <w:color w:val="000000"/>
          <w:spacing w:val="0"/>
          <w:w w:val="100"/>
          <w:kern w:val="0"/>
          <w:sz w:val="32"/>
          <w:szCs w:val="32"/>
        </w:rPr>
        <w:t>案，未经批准或者未按照批准的设计方案施工的，由城市绿化行政主管部门责令停止施工，限期改正或者采取其他补救措施。</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第三十二条</w:t>
      </w:r>
      <w:r>
        <w:rPr>
          <w:rFonts w:hint="eastAsia" w:ascii="仿宋_GB2312" w:hAnsi="宋体" w:eastAsia="仿宋_GB2312" w:cs="仿宋_GB2312"/>
          <w:color w:val="000000"/>
          <w:spacing w:val="0"/>
          <w:w w:val="100"/>
          <w:kern w:val="0"/>
          <w:sz w:val="32"/>
          <w:szCs w:val="32"/>
        </w:rPr>
        <w:t xml:space="preserve">  违反本条例</w:t>
      </w:r>
      <w:r>
        <w:rPr>
          <w:rFonts w:hint="eastAsia" w:ascii="仿宋_GB2312" w:eastAsia="仿宋_GB2312" w:cs="仿宋_GB2312"/>
          <w:color w:val="000000"/>
          <w:spacing w:val="0"/>
          <w:w w:val="100"/>
          <w:kern w:val="0"/>
          <w:sz w:val="32"/>
          <w:szCs w:val="32"/>
        </w:rPr>
        <w:t>第十五条规</w:t>
      </w:r>
      <w:r>
        <w:rPr>
          <w:rFonts w:hint="eastAsia" w:ascii="仿宋_GB2312" w:hAnsi="宋体" w:eastAsia="仿宋_GB2312" w:cs="仿宋_GB2312"/>
          <w:color w:val="000000"/>
          <w:spacing w:val="0"/>
          <w:w w:val="100"/>
          <w:kern w:val="0"/>
          <w:sz w:val="32"/>
          <w:szCs w:val="32"/>
        </w:rPr>
        <w:t xml:space="preserve">定，工程建设项目在主体工程投入使用后的第二个绿化季节尚未完成附属绿化工程的，由城市绿化行政主管部门责令限期完成；逾期仍未完成的，每年处以绿化工程造价百分之二十的罚款，直至完成附属绿化工程。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第三十三条</w:t>
      </w:r>
      <w:r>
        <w:rPr>
          <w:rFonts w:hint="eastAsia" w:ascii="仿宋_GB2312" w:hAnsi="宋体" w:eastAsia="仿宋_GB2312" w:cs="仿宋_GB2312"/>
          <w:color w:val="000000"/>
          <w:spacing w:val="0"/>
          <w:w w:val="100"/>
          <w:kern w:val="0"/>
          <w:sz w:val="32"/>
          <w:szCs w:val="32"/>
        </w:rPr>
        <w:t xml:space="preserve">  违反本条例</w:t>
      </w:r>
      <w:r>
        <w:rPr>
          <w:rFonts w:hint="eastAsia" w:ascii="仿宋_GB2312" w:eastAsia="仿宋_GB2312" w:cs="仿宋_GB2312"/>
          <w:color w:val="000000"/>
          <w:spacing w:val="0"/>
          <w:w w:val="100"/>
          <w:kern w:val="0"/>
          <w:sz w:val="32"/>
          <w:szCs w:val="32"/>
        </w:rPr>
        <w:t>第十九条规</w:t>
      </w:r>
      <w:r>
        <w:rPr>
          <w:rFonts w:hint="eastAsia" w:ascii="仿宋_GB2312" w:hAnsi="宋体" w:eastAsia="仿宋_GB2312" w:cs="仿宋_GB2312"/>
          <w:color w:val="000000"/>
          <w:spacing w:val="0"/>
          <w:w w:val="100"/>
          <w:kern w:val="0"/>
          <w:sz w:val="32"/>
          <w:szCs w:val="32"/>
        </w:rPr>
        <w:t xml:space="preserve">定，擅自占用城市规划绿地或者城市中已有绿地的，由城市绿化行政主管部门责令限期退还城市绿地，恢复绿地原状，并处占用绿地面积应当缴纳占用绿地费五至十倍的罚款；造成损失的，应当负赔偿责任；已形成的非法建筑物或者其他设施限期拆除，逾期不拆除的，申请人民法院强制执行。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第三十四条</w:t>
      </w:r>
      <w:r>
        <w:rPr>
          <w:rFonts w:hint="eastAsia" w:ascii="仿宋_GB2312" w:hAnsi="宋体" w:eastAsia="仿宋_GB2312" w:cs="仿宋_GB2312"/>
          <w:color w:val="000000"/>
          <w:spacing w:val="0"/>
          <w:w w:val="100"/>
          <w:kern w:val="0"/>
          <w:sz w:val="32"/>
          <w:szCs w:val="32"/>
        </w:rPr>
        <w:t xml:space="preserve">  违反本条例第二十条规定，临时占用城市绿地期满后未及时按原样恢复城市绿地的，由城市绿化行政主管部门责令限期恢复；逾期不恢复的，处以应缴占用绿地费五倍以下罚款。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第三十五条</w:t>
      </w:r>
      <w:r>
        <w:rPr>
          <w:rFonts w:hint="eastAsia" w:ascii="仿宋_GB2312" w:hAnsi="宋体" w:eastAsia="仿宋_GB2312" w:cs="仿宋_GB2312"/>
          <w:color w:val="000000"/>
          <w:spacing w:val="0"/>
          <w:w w:val="100"/>
          <w:kern w:val="0"/>
          <w:sz w:val="32"/>
          <w:szCs w:val="32"/>
        </w:rPr>
        <w:t xml:space="preserve">  违反本条例第二</w:t>
      </w:r>
      <w:r>
        <w:rPr>
          <w:rFonts w:hint="eastAsia" w:ascii="仿宋_GB2312" w:eastAsia="仿宋_GB2312" w:cs="仿宋_GB2312"/>
          <w:color w:val="000000"/>
          <w:spacing w:val="0"/>
          <w:w w:val="100"/>
          <w:kern w:val="0"/>
          <w:sz w:val="32"/>
          <w:szCs w:val="32"/>
        </w:rPr>
        <w:t>十四条</w:t>
      </w:r>
      <w:r>
        <w:rPr>
          <w:rFonts w:hint="eastAsia" w:ascii="仿宋_GB2312" w:hAnsi="宋体" w:eastAsia="仿宋_GB2312" w:cs="仿宋_GB2312"/>
          <w:color w:val="000000"/>
          <w:spacing w:val="0"/>
          <w:w w:val="100"/>
          <w:kern w:val="0"/>
          <w:sz w:val="32"/>
          <w:szCs w:val="32"/>
        </w:rPr>
        <w:t xml:space="preserve">规定，非法出租、出让或者抵押城市公共绿地、防护绿地、生产绿地、风景林地的，由城市绿化行政主管部门责令停止出租、出让或者抵押、恢复原状、没收违法所得，并处以出租、出让或者抵押城市绿地面积每平方米五十元的罚款。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第三十六条</w:t>
      </w:r>
      <w:r>
        <w:rPr>
          <w:rFonts w:hint="eastAsia" w:ascii="仿宋_GB2312" w:hAnsi="宋体" w:eastAsia="仿宋_GB2312" w:cs="仿宋_GB2312"/>
          <w:color w:val="000000"/>
          <w:spacing w:val="0"/>
          <w:w w:val="100"/>
          <w:kern w:val="0"/>
          <w:sz w:val="32"/>
          <w:szCs w:val="32"/>
        </w:rPr>
        <w:t xml:space="preserve">  对有下列行为之一的单位或者个人，由城市绿化行政主管部门按照以下规定给予处罚: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（一）违反本条例第</w:t>
      </w:r>
      <w:r>
        <w:rPr>
          <w:rFonts w:hint="eastAsia" w:ascii="仿宋_GB2312" w:eastAsia="仿宋_GB2312" w:cs="仿宋_GB2312"/>
          <w:color w:val="000000"/>
          <w:spacing w:val="0"/>
          <w:w w:val="100"/>
          <w:kern w:val="0"/>
          <w:sz w:val="32"/>
          <w:szCs w:val="32"/>
        </w:rPr>
        <w:t>二十一条规</w:t>
      </w:r>
      <w:r>
        <w:rPr>
          <w:rFonts w:hint="eastAsia" w:ascii="仿宋_GB2312" w:hAnsi="宋体" w:eastAsia="仿宋_GB2312" w:cs="仿宋_GB2312"/>
          <w:color w:val="000000"/>
          <w:spacing w:val="0"/>
          <w:w w:val="100"/>
          <w:kern w:val="0"/>
          <w:sz w:val="32"/>
          <w:szCs w:val="32"/>
        </w:rPr>
        <w:t xml:space="preserve">定，损害城市绿化和设施的，责令停止违法行为，拆除已建的非法设施，可以并处五十元至二千元的罚款；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（二）违反本条例</w:t>
      </w:r>
      <w:r>
        <w:rPr>
          <w:rFonts w:hint="eastAsia" w:ascii="仿宋_GB2312" w:eastAsia="仿宋_GB2312" w:cs="仿宋_GB2312"/>
          <w:color w:val="000000"/>
          <w:spacing w:val="0"/>
          <w:w w:val="100"/>
          <w:kern w:val="0"/>
          <w:sz w:val="32"/>
          <w:szCs w:val="32"/>
        </w:rPr>
        <w:t>第二十二条规</w:t>
      </w:r>
      <w:r>
        <w:rPr>
          <w:rFonts w:hint="eastAsia" w:ascii="仿宋_GB2312" w:hAnsi="宋体" w:eastAsia="仿宋_GB2312" w:cs="仿宋_GB2312"/>
          <w:color w:val="000000"/>
          <w:spacing w:val="0"/>
          <w:w w:val="100"/>
          <w:kern w:val="0"/>
          <w:sz w:val="32"/>
          <w:szCs w:val="32"/>
        </w:rPr>
        <w:t xml:space="preserve">定，擅自砍伐、移植树木、绿篱的，责令停止损害，并处以二百元至一千元的罚款；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仿宋_GB2312" w:eastAsia="仿宋_GB2312" w:cs="仿宋_GB2312"/>
          <w:color w:val="000000"/>
          <w:spacing w:val="0"/>
          <w:w w:val="100"/>
          <w:kern w:val="0"/>
          <w:sz w:val="32"/>
          <w:szCs w:val="32"/>
        </w:rPr>
        <w:t xml:space="preserve"> （三）违反本条例第二十六条第二款规定，未经检疫引进调入种苗的，处以五百元至二千元的罚款，不合格种苗予以强制销毁，并处以一千元至二万元的罚款；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仿宋_GB2312" w:eastAsia="仿宋_GB2312" w:cs="仿宋_GB2312"/>
          <w:color w:val="000000"/>
          <w:spacing w:val="0"/>
          <w:w w:val="100"/>
          <w:kern w:val="0"/>
          <w:sz w:val="32"/>
          <w:szCs w:val="32"/>
        </w:rPr>
        <w:t xml:space="preserve">（四）违反本条例第二十六条第三款规定，未对病虫害及时采取防治措施的，处以一千元至一万元的罚款；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仿宋_GB2312" w:eastAsia="仿宋_GB2312" w:cs="仿宋_GB2312"/>
          <w:color w:val="000000"/>
          <w:spacing w:val="0"/>
          <w:w w:val="100"/>
          <w:kern w:val="0"/>
          <w:sz w:val="32"/>
          <w:szCs w:val="32"/>
        </w:rPr>
        <w:t>（五）违反本条例第二十九条规定，擅自砍伐或者迁移古树名木的，责令其停止砍伐或者迁移，并处以五千元至五万元的罚款</w:t>
      </w:r>
      <w:r>
        <w:rPr>
          <w:rFonts w:hint="eastAsia" w:ascii="仿宋_GB2312" w:hAnsi="宋体" w:eastAsia="仿宋_GB2312" w:cs="仿宋_GB2312"/>
          <w:color w:val="000000"/>
          <w:spacing w:val="0"/>
          <w:w w:val="100"/>
          <w:kern w:val="0"/>
          <w:sz w:val="32"/>
          <w:szCs w:val="32"/>
        </w:rPr>
        <w:t xml:space="preserve">。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第三十七条</w:t>
      </w:r>
      <w:r>
        <w:rPr>
          <w:rFonts w:hint="eastAsia" w:ascii="仿宋_GB2312" w:hAnsi="宋体" w:eastAsia="仿宋_GB2312" w:cs="仿宋_GB2312"/>
          <w:color w:val="000000"/>
          <w:spacing w:val="0"/>
          <w:w w:val="100"/>
          <w:kern w:val="0"/>
          <w:sz w:val="32"/>
          <w:szCs w:val="32"/>
        </w:rPr>
        <w:t xml:space="preserve">  对违反本条例的直接责任人员或者单位负责人，由</w:t>
      </w:r>
      <w:r>
        <w:rPr>
          <w:rFonts w:hint="eastAsia" w:ascii="仿宋_GB2312" w:hAnsi="宋体" w:eastAsia="仿宋_GB2312" w:cs="仿宋_GB2312"/>
          <w:color w:val="000000"/>
          <w:spacing w:val="0"/>
          <w:w w:val="100"/>
          <w:kern w:val="0"/>
          <w:sz w:val="32"/>
          <w:szCs w:val="32"/>
          <w:lang w:eastAsia="zh-CN"/>
        </w:rPr>
        <w:t>相关有权机关给予处分；</w:t>
      </w:r>
      <w:r>
        <w:rPr>
          <w:rFonts w:hint="eastAsia" w:ascii="仿宋_GB2312" w:hAnsi="宋体" w:eastAsia="仿宋_GB2312" w:cs="仿宋_GB2312"/>
          <w:color w:val="000000"/>
          <w:spacing w:val="0"/>
          <w:w w:val="100"/>
          <w:kern w:val="0"/>
          <w:sz w:val="32"/>
          <w:szCs w:val="32"/>
        </w:rPr>
        <w:t xml:space="preserve">构成犯罪的，依法追究刑事责任。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第三十八条</w:t>
      </w:r>
      <w:r>
        <w:rPr>
          <w:rFonts w:hint="eastAsia" w:ascii="仿宋_GB2312" w:hAnsi="宋体" w:eastAsia="仿宋_GB2312" w:cs="仿宋_GB2312"/>
          <w:color w:val="000000"/>
          <w:spacing w:val="0"/>
          <w:w w:val="100"/>
          <w:kern w:val="0"/>
          <w:sz w:val="32"/>
          <w:szCs w:val="32"/>
        </w:rPr>
        <w:t xml:space="preserve">  城市绿化行政主管部门</w:t>
      </w:r>
      <w:r>
        <w:rPr>
          <w:rFonts w:hint="eastAsia" w:ascii="仿宋_GB2312" w:hAnsi="宋体" w:eastAsia="仿宋_GB2312" w:cs="仿宋_GB2312"/>
          <w:color w:val="000000"/>
          <w:spacing w:val="0"/>
          <w:w w:val="100"/>
          <w:kern w:val="0"/>
          <w:sz w:val="32"/>
          <w:szCs w:val="32"/>
          <w:lang w:eastAsia="zh-CN"/>
        </w:rPr>
        <w:t>和绿地管理单位的</w:t>
      </w:r>
      <w:r>
        <w:rPr>
          <w:rFonts w:hint="eastAsia" w:ascii="仿宋_GB2312" w:hAnsi="宋体" w:eastAsia="仿宋_GB2312" w:cs="仿宋_GB2312"/>
          <w:color w:val="000000"/>
          <w:spacing w:val="0"/>
          <w:w w:val="100"/>
          <w:kern w:val="0"/>
          <w:sz w:val="32"/>
          <w:szCs w:val="32"/>
        </w:rPr>
        <w:t>工作人员违反本条例规定，玩忽职守、滥用职权，徇私舞弊的，由</w:t>
      </w:r>
      <w:r>
        <w:rPr>
          <w:rFonts w:hint="eastAsia" w:ascii="仿宋_GB2312" w:hAnsi="宋体" w:eastAsia="仿宋_GB2312" w:cs="仿宋_GB2312"/>
          <w:color w:val="000000"/>
          <w:spacing w:val="0"/>
          <w:w w:val="100"/>
          <w:kern w:val="0"/>
          <w:sz w:val="32"/>
          <w:szCs w:val="32"/>
          <w:lang w:eastAsia="zh-CN"/>
        </w:rPr>
        <w:t>相关有权</w:t>
      </w:r>
      <w:r>
        <w:rPr>
          <w:rFonts w:hint="eastAsia" w:ascii="仿宋_GB2312" w:hAnsi="宋体" w:eastAsia="仿宋_GB2312" w:cs="仿宋_GB2312"/>
          <w:color w:val="000000"/>
          <w:spacing w:val="0"/>
          <w:w w:val="100"/>
          <w:kern w:val="0"/>
          <w:sz w:val="32"/>
          <w:szCs w:val="32"/>
        </w:rPr>
        <w:t xml:space="preserve">机关给予处分；构成犯罪的，依法追究刑事责任。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黑体" w:hAnsi="宋体" w:eastAsia="黑体" w:cs="黑体"/>
          <w:b w:val="0"/>
          <w:color w:val="000000"/>
          <w:spacing w:val="0"/>
          <w:w w:val="100"/>
          <w:kern w:val="0"/>
          <w:sz w:val="32"/>
          <w:szCs w:val="32"/>
        </w:rPr>
        <w:t>第三十九条</w:t>
      </w:r>
      <w:r>
        <w:rPr>
          <w:rFonts w:hint="eastAsia" w:ascii="仿宋_GB2312" w:hAnsi="宋体" w:eastAsia="仿宋_GB2312" w:cs="仿宋_GB2312"/>
          <w:color w:val="000000"/>
          <w:spacing w:val="0"/>
          <w:w w:val="100"/>
          <w:kern w:val="0"/>
          <w:sz w:val="32"/>
          <w:szCs w:val="32"/>
        </w:rPr>
        <w:t xml:space="preserve">  当事人对行政处罚决定不服的，可以依法申请行政复议或者提起行政诉讼。逾期不申请复议或者不向人民法院起诉，又不履行处罚决定的，由作出处罚决定的机关</w:t>
      </w:r>
      <w:r>
        <w:rPr>
          <w:rFonts w:hint="eastAsia" w:ascii="仿宋_GB2312" w:hAnsi="宋体" w:eastAsia="仿宋_GB2312" w:cs="仿宋_GB2312"/>
          <w:color w:val="000000"/>
          <w:spacing w:val="0"/>
          <w:w w:val="100"/>
          <w:kern w:val="0"/>
          <w:sz w:val="32"/>
          <w:szCs w:val="32"/>
          <w:lang w:eastAsia="zh-CN"/>
        </w:rPr>
        <w:t>依照《中华人民共和国行政处罚法》的规定执行。</w:t>
      </w:r>
    </w:p>
    <w:p>
      <w:pPr>
        <w:pStyle w:val="12"/>
        <w:keepNext w:val="0"/>
        <w:keepLines w:val="0"/>
        <w:pageBreakBefore w:val="0"/>
        <w:widowControl w:val="0"/>
        <w:kinsoku/>
        <w:wordWrap/>
        <w:overflowPunct/>
        <w:topLinePunct w:val="0"/>
        <w:autoSpaceDE w:val="0"/>
        <w:autoSpaceDN/>
        <w:bidi w:val="0"/>
        <w:adjustRightInd w:val="0"/>
        <w:snapToGrid w:val="0"/>
        <w:spacing w:before="599" w:beforeLines="100" w:beforeAutospacing="0" w:after="599" w:afterLines="100" w:afterAutospacing="0" w:line="600" w:lineRule="exact"/>
        <w:ind w:left="0" w:leftChars="0" w:right="0" w:rightChars="0" w:firstLine="0" w:firstLineChars="0"/>
        <w:jc w:val="center"/>
        <w:textAlignment w:val="auto"/>
        <w:outlineLvl w:val="9"/>
        <w:rPr>
          <w:rFonts w:hint="eastAsia" w:ascii="仿宋_GB2312" w:hAnsi="宋体" w:eastAsia="仿宋_GB2312" w:cs="仿宋_GB2312"/>
          <w:color w:val="000000"/>
          <w:spacing w:val="0"/>
          <w:w w:val="100"/>
          <w:kern w:val="0"/>
          <w:sz w:val="32"/>
          <w:szCs w:val="32"/>
        </w:rPr>
      </w:pPr>
      <w:r>
        <w:rPr>
          <w:rFonts w:hint="eastAsia" w:ascii="黑体" w:hAnsi="宋体" w:eastAsia="黑体" w:cs="黑体"/>
          <w:b w:val="0"/>
          <w:color w:val="000000"/>
          <w:spacing w:val="0"/>
          <w:w w:val="100"/>
          <w:kern w:val="0"/>
          <w:sz w:val="32"/>
          <w:szCs w:val="32"/>
        </w:rPr>
        <w:t>第五章</w:t>
      </w:r>
      <w:r>
        <w:rPr>
          <w:rFonts w:hint="eastAsia" w:ascii="黑体" w:eastAsia="黑体" w:cs="黑体"/>
          <w:b w:val="0"/>
          <w:color w:val="000000"/>
          <w:spacing w:val="0"/>
          <w:w w:val="100"/>
          <w:kern w:val="0"/>
          <w:sz w:val="32"/>
          <w:szCs w:val="32"/>
          <w:lang w:val="en-US" w:eastAsia="zh-CN"/>
        </w:rPr>
        <w:t xml:space="preserve">  </w:t>
      </w:r>
      <w:r>
        <w:rPr>
          <w:rFonts w:hint="eastAsia" w:ascii="黑体" w:hAnsi="宋体" w:eastAsia="黑体" w:cs="黑体"/>
          <w:b w:val="0"/>
          <w:color w:val="000000"/>
          <w:spacing w:val="0"/>
          <w:w w:val="100"/>
          <w:kern w:val="0"/>
          <w:sz w:val="32"/>
          <w:szCs w:val="32"/>
        </w:rPr>
        <w:t>附则</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第四十条</w:t>
      </w:r>
      <w:r>
        <w:rPr>
          <w:rFonts w:hint="eastAsia" w:ascii="仿宋_GB2312" w:hAnsi="宋体" w:eastAsia="仿宋_GB2312" w:cs="仿宋_GB2312"/>
          <w:color w:val="000000"/>
          <w:spacing w:val="0"/>
          <w:w w:val="100"/>
          <w:kern w:val="0"/>
          <w:sz w:val="32"/>
          <w:szCs w:val="32"/>
        </w:rPr>
        <w:t xml:space="preserve">  本条例所称城市绿地，包括以下六类: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（一）公共绿地:指市级、区级、居住区级公园和动物园、植物园、陵园、小游园及街道、广场绿地；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（二）居住区绿地:指居住区内除居住区级公园以外的其他绿地；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（三）单位附属绿地:指机关、团体、企业、事业单位管界内的环境绿地；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（四）生产绿地:指为城市绿地提供苗木、花草、种子的苗圃、花圃、草圃等；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（五）防护绿地:指用于城市环境、卫生、安全、防灾等用的绿带、绿地；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（六）风景林地:指具有一定景观价值，在城市整体风貌和环境中起作用，但尚没有完善游览、休息、娱乐等设施的林地。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 xml:space="preserve"> 第四十一条</w:t>
      </w:r>
      <w:r>
        <w:rPr>
          <w:rFonts w:hint="eastAsia" w:ascii="仿宋_GB2312" w:hAnsi="宋体" w:eastAsia="仿宋_GB2312" w:cs="仿宋_GB2312"/>
          <w:color w:val="000000"/>
          <w:spacing w:val="0"/>
          <w:w w:val="100"/>
          <w:kern w:val="0"/>
          <w:sz w:val="32"/>
          <w:szCs w:val="32"/>
        </w:rPr>
        <w:t xml:space="preserve">  本条例所称城市绿化设施是指城市绿地的灌溉、防护、照明、装饰、指示标志及供游览休息等设施的统称。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第四十二条</w:t>
      </w:r>
      <w:r>
        <w:rPr>
          <w:rFonts w:hint="eastAsia" w:ascii="仿宋_GB2312" w:hAnsi="宋体" w:eastAsia="仿宋_GB2312" w:cs="仿宋_GB2312"/>
          <w:color w:val="000000"/>
          <w:spacing w:val="0"/>
          <w:w w:val="100"/>
          <w:kern w:val="0"/>
          <w:sz w:val="32"/>
          <w:szCs w:val="32"/>
        </w:rPr>
        <w:t xml:space="preserve">  未设镇建设的工矿区、农林牧场、风景旅游区等城市型居民点的绿化管理工作，可参照本条例执行。 </w:t>
      </w:r>
    </w:p>
    <w:p>
      <w:pPr>
        <w:pStyle w:val="12"/>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kern w:val="0"/>
          <w:sz w:val="32"/>
          <w:szCs w:val="32"/>
        </w:rPr>
      </w:pPr>
      <w:r>
        <w:rPr>
          <w:rFonts w:hint="eastAsia" w:ascii="仿宋_GB2312" w:hAnsi="宋体" w:eastAsia="仿宋_GB2312" w:cs="仿宋_GB2312"/>
          <w:color w:val="000000"/>
          <w:spacing w:val="0"/>
          <w:w w:val="100"/>
          <w:kern w:val="0"/>
          <w:sz w:val="32"/>
          <w:szCs w:val="32"/>
        </w:rPr>
        <w:t xml:space="preserve">    </w:t>
      </w:r>
      <w:r>
        <w:rPr>
          <w:rFonts w:hint="eastAsia" w:ascii="黑体" w:hAnsi="宋体" w:eastAsia="黑体" w:cs="黑体"/>
          <w:b w:val="0"/>
          <w:color w:val="000000"/>
          <w:spacing w:val="0"/>
          <w:w w:val="100"/>
          <w:kern w:val="0"/>
          <w:sz w:val="32"/>
          <w:szCs w:val="32"/>
        </w:rPr>
        <w:t>第四十三条</w:t>
      </w:r>
      <w:r>
        <w:rPr>
          <w:rFonts w:hint="eastAsia" w:ascii="仿宋_GB2312" w:hAnsi="宋体" w:eastAsia="仿宋_GB2312" w:cs="仿宋_GB2312"/>
          <w:color w:val="000000"/>
          <w:spacing w:val="0"/>
          <w:w w:val="100"/>
          <w:kern w:val="0"/>
          <w:sz w:val="32"/>
          <w:szCs w:val="32"/>
        </w:rPr>
        <w:t xml:space="preserve">  本条例自1997年10月1日起施行。 </w:t>
      </w:r>
    </w:p>
    <w:p>
      <w:pPr>
        <w:keepNext w:val="0"/>
        <w:keepLines w:val="0"/>
        <w:pageBreakBefore w:val="0"/>
        <w:widowControl/>
        <w:kinsoku/>
        <w:wordWrap/>
        <w:overflowPunct/>
        <w:topLinePunct w:val="0"/>
        <w:autoSpaceDN/>
        <w:bidi w:val="0"/>
        <w:adjustRightInd/>
        <w:snapToGrid/>
        <w:spacing w:line="600" w:lineRule="exact"/>
        <w:ind w:left="0" w:leftChars="0" w:right="0" w:rightChars="0"/>
        <w:jc w:val="left"/>
        <w:textAlignment w:val="auto"/>
        <w:outlineLvl w:val="9"/>
        <w:rPr>
          <w:rFonts w:hint="eastAsia" w:ascii="仿宋_GB2312" w:hAnsi="仿宋_GB2312" w:eastAsia="仿宋_GB2312" w:cs="仿宋_GB2312"/>
          <w:color w:val="000000"/>
          <w:spacing w:val="0"/>
          <w:w w:val="100"/>
          <w:kern w:val="0"/>
          <w:sz w:val="32"/>
          <w:szCs w:val="32"/>
          <w:lang w:val="en-US" w:eastAsia="zh-CN"/>
        </w:rPr>
      </w:pPr>
      <w:bookmarkStart w:id="0" w:name="_GoBack"/>
      <w:bookmarkEnd w:id="0"/>
    </w:p>
    <w:sectPr>
      <w:footerReference r:id="rId5" w:type="first"/>
      <w:headerReference r:id="rId3" w:type="default"/>
      <w:footerReference r:id="rId4" w:type="default"/>
      <w:pgSz w:w="11906" w:h="16838"/>
      <w:pgMar w:top="1984" w:right="1531" w:bottom="1417" w:left="1531" w:header="851" w:footer="1134" w:gutter="0"/>
      <w:pgNumType w:fmt="numberInDash"/>
      <w:cols w:space="720" w:num="1"/>
      <w:rtlGutter w:val="0"/>
      <w:docGrid w:linePitch="59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楷体"/>
    <w:panose1 w:val="02010609030101010101"/>
    <w:charset w:val="00"/>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宋体-方正超大字符集">
    <w:altName w:val="方正书宋_GBK"/>
    <w:panose1 w:val="00000000000000000000"/>
    <w:charset w:val="00"/>
    <w:family w:val="auto"/>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snapToGrid w:val="0"/>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wrap="none" lIns="0" tIns="0" rIns="0" bIns="0" upright="false">
                      <a:spAutoFit/>
                    </wps:bodyPr>
                  </wps:wsp>
                </a:graphicData>
              </a:graphic>
            </wp:anchor>
          </w:drawing>
        </mc:Choice>
        <mc:Fallback>
          <w:pict>
            <v:shape id="文本框 1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zql5uc8AAAAFAQAADwAAAAAAAAABACAAAAA4AAAAZHJzL2Rvd25yZXYu&#10;eG1sUEsBAhQAFAAAAAgAh07iQOGkSyO1AQAAUwMAAA4AAAAAAAAAAQAgAAAANAEAAGRycy9lMm9E&#10;b2MueG1sUEsFBgAAAAAGAAYAWQEAAFsFA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15"/>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wrap="none" lIns="0" tIns="0" rIns="0" bIns="0" upright="false">
                      <a:spAutoFit/>
                    </wps:bodyPr>
                  </wps:wsp>
                </a:graphicData>
              </a:graphic>
            </wp:anchor>
          </w:drawing>
        </mc:Choice>
        <mc:Fallback>
          <w:pict>
            <v:shape id="文本框 1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zql5uc8AAAAFAQAADwAAAAAAAAABACAAAAA4AAAAZHJzL2Rvd25yZXYu&#10;eG1sUEsBAhQAFAAAAAgAh07iQMOlk+61AQAAUwMAAA4AAAAAAAAAAQAgAAAANA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10"/>
  <w:drawingGridVerticalSpacing w:val="299"/>
  <w:displayHorizontalDrawingGridEvery w:val="1"/>
  <w:displayVerticalDrawingGridEvery w:val="1"/>
  <w:doNotShadeFormData w:val="true"/>
  <w:noPunctuationKerning w:val="true"/>
  <w:characterSpacingControl w:val="compressPunctuation"/>
  <w:doNotValidateAgainstSchema/>
  <w:doNotDemarcateInvalidXml/>
  <w:compat>
    <w:spaceForUL/>
    <w:balanceSingleByteDoubleByteWidth/>
    <w:doNotLeaveBackslashAlon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7E5F"/>
    <w:rsid w:val="00721A4F"/>
    <w:rsid w:val="007E75E6"/>
    <w:rsid w:val="01191E03"/>
    <w:rsid w:val="0194261C"/>
    <w:rsid w:val="019C0876"/>
    <w:rsid w:val="019E0182"/>
    <w:rsid w:val="028E752C"/>
    <w:rsid w:val="040D3139"/>
    <w:rsid w:val="05957674"/>
    <w:rsid w:val="07152B8F"/>
    <w:rsid w:val="0B993F29"/>
    <w:rsid w:val="0C351023"/>
    <w:rsid w:val="0DD002DB"/>
    <w:rsid w:val="0E695E40"/>
    <w:rsid w:val="0F9A5B01"/>
    <w:rsid w:val="0FA77F56"/>
    <w:rsid w:val="109F5D66"/>
    <w:rsid w:val="11174C78"/>
    <w:rsid w:val="15144D2F"/>
    <w:rsid w:val="176C7889"/>
    <w:rsid w:val="192A23B8"/>
    <w:rsid w:val="19810487"/>
    <w:rsid w:val="198549D1"/>
    <w:rsid w:val="1B982628"/>
    <w:rsid w:val="1B98531B"/>
    <w:rsid w:val="1CBA5F67"/>
    <w:rsid w:val="1D155B33"/>
    <w:rsid w:val="1E0834E3"/>
    <w:rsid w:val="20A33A0C"/>
    <w:rsid w:val="21755303"/>
    <w:rsid w:val="241D14B3"/>
    <w:rsid w:val="245A370F"/>
    <w:rsid w:val="264C5416"/>
    <w:rsid w:val="26E86D04"/>
    <w:rsid w:val="2723359F"/>
    <w:rsid w:val="276C13D8"/>
    <w:rsid w:val="281779DF"/>
    <w:rsid w:val="2BAA143E"/>
    <w:rsid w:val="2C052B75"/>
    <w:rsid w:val="2C351D74"/>
    <w:rsid w:val="2ED92335"/>
    <w:rsid w:val="30E907D9"/>
    <w:rsid w:val="31D32F33"/>
    <w:rsid w:val="34A8088B"/>
    <w:rsid w:val="39215525"/>
    <w:rsid w:val="393B10B0"/>
    <w:rsid w:val="3A415874"/>
    <w:rsid w:val="3C1E079F"/>
    <w:rsid w:val="3C424B1A"/>
    <w:rsid w:val="3C576063"/>
    <w:rsid w:val="3C5B0E6B"/>
    <w:rsid w:val="3D8A76BD"/>
    <w:rsid w:val="3E7D24A2"/>
    <w:rsid w:val="3EBD53D5"/>
    <w:rsid w:val="40C22BDB"/>
    <w:rsid w:val="426A7101"/>
    <w:rsid w:val="429567AC"/>
    <w:rsid w:val="44DA4C97"/>
    <w:rsid w:val="45FC4830"/>
    <w:rsid w:val="4C251DA4"/>
    <w:rsid w:val="4C906417"/>
    <w:rsid w:val="4DAB004F"/>
    <w:rsid w:val="4E89761D"/>
    <w:rsid w:val="4F315FFB"/>
    <w:rsid w:val="4F9841F6"/>
    <w:rsid w:val="4FFF295A"/>
    <w:rsid w:val="512B0CE0"/>
    <w:rsid w:val="5142133D"/>
    <w:rsid w:val="51650D6D"/>
    <w:rsid w:val="516D2181"/>
    <w:rsid w:val="51CA4C9F"/>
    <w:rsid w:val="5402507B"/>
    <w:rsid w:val="54294138"/>
    <w:rsid w:val="56544079"/>
    <w:rsid w:val="5655677C"/>
    <w:rsid w:val="5668644C"/>
    <w:rsid w:val="590D50E6"/>
    <w:rsid w:val="5B436820"/>
    <w:rsid w:val="5B821A86"/>
    <w:rsid w:val="5C51404B"/>
    <w:rsid w:val="5D2D6A8E"/>
    <w:rsid w:val="5D547893"/>
    <w:rsid w:val="5D714965"/>
    <w:rsid w:val="613D31AA"/>
    <w:rsid w:val="61793218"/>
    <w:rsid w:val="62DF113C"/>
    <w:rsid w:val="63F90239"/>
    <w:rsid w:val="64374502"/>
    <w:rsid w:val="643756B3"/>
    <w:rsid w:val="67AA4B81"/>
    <w:rsid w:val="683E617B"/>
    <w:rsid w:val="68692EF7"/>
    <w:rsid w:val="69BB4115"/>
    <w:rsid w:val="6A0C0D26"/>
    <w:rsid w:val="6AFC7C56"/>
    <w:rsid w:val="6D9C0A54"/>
    <w:rsid w:val="6F8375CA"/>
    <w:rsid w:val="722E1C57"/>
    <w:rsid w:val="734E25BE"/>
    <w:rsid w:val="73BF501D"/>
    <w:rsid w:val="77729849"/>
    <w:rsid w:val="77F96291"/>
    <w:rsid w:val="78233CDA"/>
    <w:rsid w:val="78AA3E3E"/>
    <w:rsid w:val="79561EA9"/>
    <w:rsid w:val="7B6D6A4E"/>
    <w:rsid w:val="7BDA66B7"/>
    <w:rsid w:val="7BF367A0"/>
    <w:rsid w:val="7D5364F3"/>
    <w:rsid w:val="7DAD7B96"/>
    <w:rsid w:val="7DCF4DB1"/>
    <w:rsid w:val="7FF67A28"/>
    <w:rsid w:val="EDFD03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黑体"/>
      <w:kern w:val="2"/>
      <w:sz w:val="21"/>
      <w:szCs w:val="22"/>
      <w:lang w:val="en-US" w:eastAsia="zh-CN"/>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Date"/>
    <w:basedOn w:val="1"/>
    <w:next w:val="1"/>
    <w:qFormat/>
    <w:uiPriority w:val="0"/>
    <w:pPr>
      <w:snapToGrid w:val="0"/>
      <w:spacing w:line="300" w:lineRule="auto"/>
    </w:pPr>
    <w:rPr>
      <w:rFonts w:ascii="Calibri" w:hAnsi="Calibri" w:eastAsia="楷体_GB2312" w:cs="Times New Roman"/>
      <w:szCs w:val="22"/>
    </w:rPr>
  </w:style>
  <w:style w:type="paragraph" w:styleId="4">
    <w:name w:val="footer"/>
    <w:basedOn w:val="1"/>
    <w:next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9">
    <w:name w:val="Strong"/>
    <w:qFormat/>
    <w:uiPriority w:val="0"/>
    <w:rPr>
      <w:b/>
      <w:bCs/>
    </w:rPr>
  </w:style>
  <w:style w:type="character" w:styleId="10">
    <w:name w:val="Hyperlink"/>
    <w:basedOn w:val="8"/>
    <w:qFormat/>
    <w:uiPriority w:val="0"/>
    <w:rPr>
      <w:color w:val="0000FF"/>
      <w:u w:val="single"/>
    </w:rPr>
  </w:style>
  <w:style w:type="paragraph" w:customStyle="1" w:styleId="11">
    <w:name w:val="Date"/>
    <w:basedOn w:val="1"/>
    <w:next w:val="1"/>
    <w:qFormat/>
    <w:uiPriority w:val="0"/>
    <w:pPr>
      <w:snapToGrid w:val="0"/>
      <w:spacing w:line="300" w:lineRule="auto"/>
    </w:pPr>
    <w:rPr>
      <w:rFonts w:ascii="Times New Roman" w:hAnsi="Times New Roman" w:eastAsia="楷体_GB2312" w:cs="Times New Roman"/>
      <w:sz w:val="32"/>
      <w:szCs w:val="20"/>
    </w:rPr>
  </w:style>
  <w:style w:type="paragraph" w:customStyle="1" w:styleId="12">
    <w:name w:val="HTML 预设格式 Char"/>
    <w:basedOn w:val="1"/>
    <w:qFormat/>
    <w:uiPriority w:val="0"/>
    <w:pPr>
      <w:widowControl/>
      <w:spacing w:before="0" w:beforeAutospacing="0" w:after="0" w:afterAutospacing="0"/>
      <w:ind w:left="0" w:right="0"/>
      <w:jc w:val="left"/>
    </w:pPr>
    <w:rPr>
      <w:rFonts w:hint="eastAsia" w:ascii="宋体" w:hAnsi="宋体" w:eastAsia="宋体" w:cs="宋体"/>
      <w:kern w:val="0"/>
      <w:sz w:val="24"/>
      <w:szCs w:val="24"/>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2016-12-29T07:37:00Z</dcterms:created>
  <dc:creator>Win</dc:creator>
  <cp:lastModifiedBy>rd</cp:lastModifiedBy>
  <cp:lastPrinted>2021-08-04T23:53:00Z</cp:lastPrinted>
  <dcterms:modified xsi:type="dcterms:W3CDTF">2021-08-09T17:19:24Z</dcterms:modified>
  <dc:title>Win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113B6C90412946DFB43610C11E242F5B</vt:lpwstr>
  </property>
</Properties>
</file>