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32"/>
          <w:szCs w:val="32"/>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32"/>
          <w:szCs w:val="32"/>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r>
        <w:rPr>
          <w:rFonts w:hint="eastAsia" w:ascii="宋体" w:hAnsi="宋体" w:cs="宋体"/>
          <w:color w:val="000000"/>
          <w:spacing w:val="0"/>
          <w:w w:val="100"/>
          <w:sz w:val="44"/>
          <w:szCs w:val="44"/>
        </w:rPr>
        <w:t>宁夏回族自治区实施《中华人民共和国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cs="宋体"/>
          <w:color w:val="000000"/>
          <w:spacing w:val="0"/>
          <w:w w:val="100"/>
          <w:sz w:val="44"/>
          <w:szCs w:val="44"/>
        </w:rPr>
      </w:pPr>
      <w:r>
        <w:rPr>
          <w:rFonts w:hint="eastAsia" w:ascii="宋体" w:hAnsi="宋体" w:cs="宋体"/>
          <w:color w:val="000000"/>
          <w:spacing w:val="0"/>
          <w:w w:val="100"/>
          <w:sz w:val="44"/>
          <w:szCs w:val="44"/>
        </w:rPr>
        <w:t>文物保护法》办法</w:t>
      </w:r>
    </w:p>
    <w:p>
      <w:pPr>
        <w:widowControl w:val="0"/>
        <w:wordWrap/>
        <w:adjustRightInd/>
        <w:snapToGrid w:val="0"/>
        <w:spacing w:line="240" w:lineRule="auto"/>
        <w:ind w:left="0" w:leftChars="0" w:right="0"/>
        <w:jc w:val="center"/>
        <w:textAlignment w:val="auto"/>
        <w:outlineLvl w:val="9"/>
        <w:rPr>
          <w:rStyle w:val="9"/>
          <w:rFonts w:hint="eastAsia" w:ascii="宋体" w:hAnsi="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36" w:leftChars="303" w:right="666" w:rightChars="317" w:firstLine="0" w:firstLineChars="0"/>
        <w:jc w:val="both"/>
        <w:textAlignment w:val="auto"/>
        <w:outlineLvl w:val="9"/>
        <w:rPr>
          <w:rFonts w:hint="eastAsia" w:ascii="楷体" w:hAnsi="楷体" w:eastAsia="楷体" w:cs="楷体"/>
          <w:bCs/>
          <w:color w:val="000000"/>
          <w:spacing w:val="0"/>
          <w:w w:val="100"/>
          <w:sz w:val="32"/>
          <w:szCs w:val="32"/>
          <w:lang w:eastAsia="zh-CN"/>
        </w:rPr>
      </w:pPr>
      <w:r>
        <w:rPr>
          <w:rStyle w:val="9"/>
          <w:rFonts w:hint="eastAsia" w:ascii="楷体" w:hAnsi="楷体" w:eastAsia="楷体" w:cs="楷体"/>
          <w:b w:val="0"/>
          <w:color w:val="000000"/>
          <w:spacing w:val="0"/>
          <w:w w:val="100"/>
          <w:sz w:val="32"/>
          <w:szCs w:val="32"/>
        </w:rPr>
        <w:t>（</w:t>
      </w:r>
      <w:r>
        <w:rPr>
          <w:rFonts w:hint="eastAsia" w:ascii="楷体" w:hAnsi="楷体" w:eastAsia="楷体" w:cs="楷体"/>
          <w:color w:val="000000"/>
          <w:spacing w:val="0"/>
          <w:w w:val="100"/>
          <w:sz w:val="32"/>
          <w:szCs w:val="32"/>
        </w:rPr>
        <w:t>1982年8月18日宁夏回族自治区第四届人民代表大会常务委员会第十五次会议通过《宁夏回族自治区文物保护管理暂行办法》  1989年10月27日宁夏回族自治区第六届人民代表大会常务委员会第九次会议修改为《宁夏回族自治区文物保护条例》  2006年11月30日宁夏回族自治区第九届人民代表大会常务委员会第二十五次会议修改为《宁夏回族自治区实施〈中华人民共和国文物保护法〉办法》</w:t>
      </w:r>
      <w:r>
        <w:rPr>
          <w:rFonts w:hint="eastAsia" w:ascii="楷体" w:hAnsi="楷体" w:eastAsia="楷体" w:cs="楷体"/>
          <w:color w:val="000000"/>
          <w:spacing w:val="0"/>
          <w:w w:val="100"/>
          <w:sz w:val="32"/>
          <w:szCs w:val="32"/>
          <w:lang w:val="en-US" w:eastAsia="zh-CN"/>
        </w:rPr>
        <w:t xml:space="preserve">  </w:t>
      </w:r>
      <w:r>
        <w:rPr>
          <w:rFonts w:hint="eastAsia" w:ascii="楷体" w:hAnsi="楷体" w:eastAsia="楷体" w:cs="楷体"/>
          <w:bCs/>
          <w:color w:val="000000"/>
          <w:spacing w:val="0"/>
          <w:w w:val="100"/>
          <w:sz w:val="32"/>
          <w:szCs w:val="32"/>
          <w:lang w:eastAsia="zh-CN"/>
        </w:rPr>
        <w:t>根据</w:t>
      </w:r>
      <w:r>
        <w:rPr>
          <w:rFonts w:hint="eastAsia" w:ascii="楷体" w:hAnsi="楷体" w:eastAsia="楷体" w:cs="楷体"/>
          <w:bCs/>
          <w:color w:val="000000"/>
          <w:spacing w:val="0"/>
          <w:w w:val="100"/>
          <w:sz w:val="32"/>
          <w:szCs w:val="32"/>
        </w:rPr>
        <w:t>20</w:t>
      </w:r>
      <w:r>
        <w:rPr>
          <w:rFonts w:hint="eastAsia" w:ascii="楷体" w:hAnsi="楷体" w:eastAsia="楷体" w:cs="楷体"/>
          <w:bCs/>
          <w:color w:val="000000"/>
          <w:spacing w:val="0"/>
          <w:w w:val="100"/>
          <w:sz w:val="32"/>
          <w:szCs w:val="32"/>
          <w:lang w:val="en-US" w:eastAsia="zh-CN"/>
        </w:rPr>
        <w:t>20</w:t>
      </w:r>
      <w:r>
        <w:rPr>
          <w:rFonts w:hint="eastAsia" w:ascii="楷体" w:hAnsi="楷体" w:eastAsia="楷体" w:cs="楷体"/>
          <w:bCs/>
          <w:color w:val="000000"/>
          <w:spacing w:val="0"/>
          <w:w w:val="100"/>
          <w:sz w:val="32"/>
          <w:szCs w:val="32"/>
        </w:rPr>
        <w:t>年</w:t>
      </w:r>
      <w:r>
        <w:rPr>
          <w:rFonts w:hint="eastAsia" w:ascii="楷体" w:hAnsi="楷体" w:eastAsia="楷体" w:cs="楷体"/>
          <w:bCs/>
          <w:color w:val="000000"/>
          <w:spacing w:val="0"/>
          <w:w w:val="100"/>
          <w:sz w:val="32"/>
          <w:szCs w:val="32"/>
          <w:lang w:val="en-US" w:eastAsia="zh-CN"/>
        </w:rPr>
        <w:t>6</w:t>
      </w:r>
      <w:r>
        <w:rPr>
          <w:rFonts w:hint="eastAsia" w:ascii="楷体" w:hAnsi="楷体" w:eastAsia="楷体" w:cs="楷体"/>
          <w:bCs/>
          <w:color w:val="000000"/>
          <w:spacing w:val="0"/>
          <w:w w:val="100"/>
          <w:sz w:val="32"/>
          <w:szCs w:val="32"/>
        </w:rPr>
        <w:t>月</w:t>
      </w:r>
      <w:r>
        <w:rPr>
          <w:rFonts w:hint="eastAsia" w:ascii="楷体" w:hAnsi="楷体" w:eastAsia="楷体" w:cs="楷体"/>
          <w:bCs/>
          <w:color w:val="000000"/>
          <w:spacing w:val="0"/>
          <w:w w:val="100"/>
          <w:sz w:val="32"/>
          <w:szCs w:val="32"/>
          <w:lang w:val="en-US" w:eastAsia="zh-CN"/>
        </w:rPr>
        <w:t>9</w:t>
      </w:r>
      <w:r>
        <w:rPr>
          <w:rFonts w:hint="eastAsia" w:ascii="楷体" w:hAnsi="楷体" w:eastAsia="楷体" w:cs="楷体"/>
          <w:bCs/>
          <w:color w:val="000000"/>
          <w:spacing w:val="0"/>
          <w:w w:val="100"/>
          <w:sz w:val="32"/>
          <w:szCs w:val="32"/>
        </w:rPr>
        <w:t>日</w:t>
      </w:r>
      <w:r>
        <w:rPr>
          <w:rFonts w:hint="eastAsia" w:ascii="楷体" w:hAnsi="楷体" w:eastAsia="楷体" w:cs="楷体"/>
          <w:bCs/>
          <w:color w:val="000000"/>
          <w:spacing w:val="0"/>
          <w:w w:val="100"/>
          <w:sz w:val="32"/>
          <w:szCs w:val="32"/>
          <w:lang w:eastAsia="zh-CN"/>
        </w:rPr>
        <w:t>宁夏回族自治区</w:t>
      </w:r>
      <w:r>
        <w:rPr>
          <w:rFonts w:hint="eastAsia" w:ascii="楷体" w:hAnsi="楷体" w:eastAsia="楷体" w:cs="楷体"/>
          <w:bCs/>
          <w:color w:val="000000"/>
          <w:spacing w:val="0"/>
          <w:w w:val="100"/>
          <w:sz w:val="32"/>
          <w:szCs w:val="32"/>
        </w:rPr>
        <w:t>第十</w:t>
      </w:r>
      <w:r>
        <w:rPr>
          <w:rFonts w:hint="eastAsia" w:ascii="楷体" w:hAnsi="楷体" w:eastAsia="楷体" w:cs="楷体"/>
          <w:bCs/>
          <w:color w:val="000000"/>
          <w:spacing w:val="0"/>
          <w:w w:val="100"/>
          <w:sz w:val="32"/>
          <w:szCs w:val="32"/>
          <w:lang w:eastAsia="zh-CN"/>
        </w:rPr>
        <w:t>二</w:t>
      </w:r>
      <w:r>
        <w:rPr>
          <w:rFonts w:hint="eastAsia" w:ascii="楷体" w:hAnsi="楷体" w:eastAsia="楷体" w:cs="楷体"/>
          <w:bCs/>
          <w:color w:val="000000"/>
          <w:spacing w:val="0"/>
          <w:w w:val="100"/>
          <w:sz w:val="32"/>
          <w:szCs w:val="32"/>
        </w:rPr>
        <w:t>届人民代表大会常务委员会第</w:t>
      </w:r>
      <w:r>
        <w:rPr>
          <w:rFonts w:hint="eastAsia" w:ascii="楷体" w:hAnsi="楷体" w:eastAsia="楷体" w:cs="楷体"/>
          <w:bCs/>
          <w:color w:val="000000"/>
          <w:spacing w:val="0"/>
          <w:w w:val="100"/>
          <w:sz w:val="32"/>
          <w:szCs w:val="32"/>
          <w:lang w:eastAsia="zh-CN"/>
        </w:rPr>
        <w:t>二十</w:t>
      </w:r>
      <w:r>
        <w:rPr>
          <w:rFonts w:hint="eastAsia" w:ascii="楷体" w:hAnsi="楷体" w:eastAsia="楷体" w:cs="楷体"/>
          <w:bCs/>
          <w:color w:val="000000"/>
          <w:spacing w:val="0"/>
          <w:w w:val="100"/>
          <w:sz w:val="32"/>
          <w:szCs w:val="32"/>
        </w:rPr>
        <w:t>次会议</w:t>
      </w:r>
      <w:r>
        <w:rPr>
          <w:rFonts w:hint="eastAsia" w:ascii="楷体" w:hAnsi="楷体" w:eastAsia="楷体" w:cs="楷体"/>
          <w:color w:val="000000"/>
          <w:spacing w:val="0"/>
          <w:w w:val="100"/>
          <w:sz w:val="32"/>
          <w:szCs w:val="32"/>
        </w:rPr>
        <w:t>《</w:t>
      </w:r>
      <w:r>
        <w:rPr>
          <w:rFonts w:hint="eastAsia" w:ascii="楷体" w:hAnsi="楷体" w:eastAsia="楷体" w:cs="楷体"/>
          <w:color w:val="000000"/>
          <w:spacing w:val="0"/>
          <w:w w:val="100"/>
          <w:sz w:val="32"/>
          <w:szCs w:val="32"/>
          <w:lang w:eastAsia="zh-CN"/>
        </w:rPr>
        <w:t>关于修改</w:t>
      </w:r>
      <w:r>
        <w:rPr>
          <w:rFonts w:hint="eastAsia" w:ascii="楷体" w:hAnsi="楷体" w:eastAsia="楷体" w:cs="楷体"/>
          <w:color w:val="000000"/>
          <w:spacing w:val="0"/>
          <w:w w:val="100"/>
          <w:sz w:val="32"/>
          <w:szCs w:val="32"/>
        </w:rPr>
        <w:t>〈</w:t>
      </w:r>
      <w:r>
        <w:rPr>
          <w:rFonts w:hint="eastAsia" w:ascii="楷体" w:hAnsi="楷体" w:eastAsia="楷体" w:cs="楷体"/>
          <w:color w:val="000000"/>
          <w:spacing w:val="0"/>
          <w:w w:val="100"/>
          <w:sz w:val="32"/>
          <w:szCs w:val="32"/>
          <w:lang w:eastAsia="zh-CN"/>
        </w:rPr>
        <w:t>宁夏回族自治区建筑管理条例</w:t>
      </w:r>
      <w:r>
        <w:rPr>
          <w:rFonts w:hint="eastAsia" w:ascii="楷体" w:hAnsi="楷体" w:eastAsia="楷体" w:cs="楷体"/>
          <w:color w:val="000000"/>
          <w:spacing w:val="0"/>
          <w:w w:val="100"/>
          <w:sz w:val="32"/>
          <w:szCs w:val="32"/>
        </w:rPr>
        <w:t>〉等</w:t>
      </w:r>
      <w:r>
        <w:rPr>
          <w:rFonts w:hint="eastAsia" w:ascii="楷体" w:hAnsi="楷体" w:eastAsia="楷体" w:cs="楷体"/>
          <w:color w:val="000000"/>
          <w:spacing w:val="0"/>
          <w:w w:val="100"/>
          <w:sz w:val="32"/>
          <w:szCs w:val="32"/>
          <w:lang w:val="en-US" w:eastAsia="zh-CN"/>
        </w:rPr>
        <w:t>6件地方性法规的决定</w:t>
      </w:r>
      <w:r>
        <w:rPr>
          <w:rFonts w:hint="eastAsia" w:ascii="楷体" w:hAnsi="楷体" w:eastAsia="楷体" w:cs="楷体"/>
          <w:color w:val="000000"/>
          <w:spacing w:val="0"/>
          <w:w w:val="100"/>
          <w:sz w:val="32"/>
          <w:szCs w:val="32"/>
        </w:rPr>
        <w:t>》</w:t>
      </w:r>
      <w:r>
        <w:rPr>
          <w:rFonts w:hint="eastAsia" w:ascii="楷体" w:hAnsi="楷体" w:eastAsia="楷体" w:cs="楷体"/>
          <w:color w:val="000000"/>
          <w:spacing w:val="0"/>
          <w:w w:val="100"/>
          <w:sz w:val="32"/>
          <w:szCs w:val="32"/>
          <w:lang w:eastAsia="zh-CN"/>
        </w:rPr>
        <w:t>修正</w:t>
      </w:r>
      <w:r>
        <w:rPr>
          <w:rFonts w:hint="eastAsia" w:ascii="楷体" w:hAnsi="楷体" w:eastAsia="楷体" w:cs="楷体"/>
          <w:color w:val="000000"/>
          <w:spacing w:val="0"/>
          <w:w w:val="100"/>
          <w:sz w:val="32"/>
          <w:szCs w:val="32"/>
          <w:lang w:val="en-US" w:eastAsia="zh-CN"/>
        </w:rPr>
        <w:t xml:space="preserve"> </w:t>
      </w:r>
      <w:r>
        <w:rPr>
          <w:rFonts w:hint="eastAsia" w:ascii="楷体" w:hAnsi="楷体" w:eastAsia="楷体" w:cs="楷体"/>
          <w:bCs/>
          <w:color w:val="000000"/>
          <w:spacing w:val="0"/>
          <w:w w:val="100"/>
          <w:sz w:val="32"/>
          <w:szCs w:val="32"/>
          <w:lang w:eastAsia="zh-CN"/>
        </w:rPr>
        <w:t>根据20</w:t>
      </w:r>
      <w:r>
        <w:rPr>
          <w:rFonts w:hint="eastAsia" w:ascii="楷体" w:hAnsi="楷体" w:eastAsia="楷体" w:cs="楷体"/>
          <w:bCs/>
          <w:color w:val="000000"/>
          <w:spacing w:val="0"/>
          <w:w w:val="100"/>
          <w:sz w:val="32"/>
          <w:szCs w:val="32"/>
          <w:lang w:val="en-US" w:eastAsia="zh-CN"/>
        </w:rPr>
        <w:t>21</w:t>
      </w:r>
      <w:r>
        <w:rPr>
          <w:rFonts w:hint="eastAsia" w:ascii="楷体" w:hAnsi="楷体" w:eastAsia="楷体" w:cs="楷体"/>
          <w:bCs/>
          <w:color w:val="000000"/>
          <w:spacing w:val="0"/>
          <w:w w:val="100"/>
          <w:sz w:val="32"/>
          <w:szCs w:val="32"/>
          <w:lang w:eastAsia="zh-CN"/>
        </w:rPr>
        <w:t>年</w:t>
      </w:r>
      <w:r>
        <w:rPr>
          <w:rFonts w:hint="eastAsia" w:ascii="楷体" w:hAnsi="楷体" w:eastAsia="楷体" w:cs="楷体"/>
          <w:bCs/>
          <w:color w:val="000000"/>
          <w:spacing w:val="0"/>
          <w:w w:val="100"/>
          <w:sz w:val="32"/>
          <w:szCs w:val="32"/>
          <w:lang w:val="en-US" w:eastAsia="zh-CN"/>
        </w:rPr>
        <w:t>7</w:t>
      </w:r>
      <w:r>
        <w:rPr>
          <w:rFonts w:hint="eastAsia" w:ascii="楷体" w:hAnsi="楷体" w:eastAsia="楷体" w:cs="楷体"/>
          <w:bCs/>
          <w:color w:val="000000"/>
          <w:spacing w:val="0"/>
          <w:w w:val="100"/>
          <w:sz w:val="32"/>
          <w:szCs w:val="32"/>
          <w:lang w:eastAsia="zh-CN"/>
        </w:rPr>
        <w:t>月</w:t>
      </w:r>
      <w:r>
        <w:rPr>
          <w:rFonts w:hint="eastAsia" w:ascii="楷体" w:hAnsi="楷体" w:eastAsia="楷体" w:cs="楷体"/>
          <w:bCs/>
          <w:color w:val="000000"/>
          <w:spacing w:val="0"/>
          <w:w w:val="100"/>
          <w:sz w:val="32"/>
          <w:szCs w:val="32"/>
          <w:lang w:val="en-US" w:eastAsia="zh-CN"/>
        </w:rPr>
        <w:t>30</w:t>
      </w:r>
      <w:r>
        <w:rPr>
          <w:rFonts w:hint="eastAsia" w:ascii="楷体" w:hAnsi="楷体" w:eastAsia="楷体" w:cs="楷体"/>
          <w:bCs/>
          <w:color w:val="000000"/>
          <w:spacing w:val="0"/>
          <w:w w:val="100"/>
          <w:sz w:val="32"/>
          <w:szCs w:val="32"/>
          <w:lang w:eastAsia="zh-CN"/>
        </w:rPr>
        <w:t>日宁夏回族自治区第十二届人民代表大会常务委员会第二十八次会议《关于修改〈宁夏回族自治区城市绿化管理条例〉等四件地方性法规的决定》第二次修正）</w:t>
      </w:r>
    </w:p>
    <w:p>
      <w:pPr>
        <w:keepNext w:val="0"/>
        <w:keepLines w:val="0"/>
        <w:pageBreakBefore w:val="0"/>
        <w:widowControl w:val="0"/>
        <w:kinsoku/>
        <w:wordWrap/>
        <w:overflowPunct/>
        <w:topLinePunct w:val="0"/>
        <w:autoSpaceDE/>
        <w:autoSpaceDN/>
        <w:bidi w:val="0"/>
        <w:adjustRightInd/>
        <w:snapToGrid w:val="0"/>
        <w:spacing w:line="240" w:lineRule="auto"/>
        <w:ind w:left="638" w:leftChars="304" w:right="645" w:rightChars="307" w:firstLine="0" w:firstLineChars="0"/>
        <w:jc w:val="left"/>
        <w:textAlignment w:val="auto"/>
        <w:outlineLvl w:val="9"/>
        <w:rPr>
          <w:rFonts w:hint="eastAsia" w:ascii="楷体" w:hAnsi="楷体" w:eastAsia="楷体" w:cs="楷体"/>
          <w:color w:val="000000"/>
          <w:spacing w:val="0"/>
          <w:w w:val="100"/>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目</w:t>
      </w: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color w:val="000000"/>
          <w:spacing w:val="0"/>
          <w:w w:val="100"/>
          <w:sz w:val="32"/>
          <w:szCs w:val="32"/>
        </w:rPr>
        <w:t>录</w:t>
      </w:r>
    </w:p>
    <w:p>
      <w:pPr>
        <w:pStyle w:val="2"/>
        <w:keepNext w:val="0"/>
        <w:keepLines w:val="0"/>
        <w:pageBreakBefore w:val="0"/>
        <w:widowControl w:val="0"/>
        <w:kinsoku/>
        <w:wordWrap/>
        <w:overflowPunct/>
        <w:topLinePunct w:val="0"/>
        <w:autoSpaceDE/>
        <w:autoSpaceDN/>
        <w:bidi w:val="0"/>
        <w:adjustRightInd/>
        <w:spacing w:line="240" w:lineRule="auto"/>
        <w:textAlignment w:val="auto"/>
        <w:outlineLvl w:val="9"/>
        <w:rPr>
          <w:rFonts w:hint="eastAsia"/>
          <w:spacing w:val="0"/>
          <w:w w:val="100"/>
        </w:rPr>
      </w:pP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632" w:leftChars="301" w:right="0" w:firstLine="0" w:firstLineChars="0"/>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632" w:leftChars="301" w:right="0" w:firstLine="0" w:firstLineChars="0"/>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 xml:space="preserve"> 不可移动文物</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632" w:leftChars="301" w:right="0" w:firstLine="0" w:firstLineChars="0"/>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 xml:space="preserve"> 考古发掘</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632" w:leftChars="301" w:right="0" w:firstLine="0" w:firstLineChars="0"/>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 xml:space="preserve"> 馆藏文物</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632" w:leftChars="301" w:right="0" w:firstLine="0" w:firstLineChars="0"/>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 xml:space="preserve"> 文物流通和利用</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632" w:leftChars="301" w:right="0" w:firstLine="0" w:firstLineChars="0"/>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632" w:leftChars="301" w:right="0" w:firstLine="0" w:firstLineChars="0"/>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color w:val="000000"/>
          <w:spacing w:val="0"/>
          <w:w w:val="100"/>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仿宋_GB2312" w:hAnsi="仿宋_GB2312" w:eastAsia="仿宋_GB2312" w:cs="仿宋_GB2312"/>
          <w:color w:val="000000"/>
          <w:spacing w:val="0"/>
          <w:w w:val="1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黑体" w:hAnsi="黑体" w:eastAsia="黑体" w:cs="黑体"/>
          <w:color w:val="000000"/>
          <w:spacing w:val="0"/>
          <w:w w:val="100"/>
          <w:sz w:val="32"/>
          <w:szCs w:val="32"/>
        </w:rPr>
      </w:pPr>
      <w:r>
        <w:rPr>
          <w:rFonts w:hint="eastAsia" w:ascii="黑体" w:hAnsi="黑体" w:eastAsia="黑体" w:cs="黑体"/>
          <w:color w:val="000000"/>
          <w:spacing w:val="0"/>
          <w:w w:val="100"/>
          <w:sz w:val="32"/>
          <w:szCs w:val="32"/>
        </w:rPr>
        <w:t xml:space="preserve">  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第一条</w:t>
      </w:r>
      <w:r>
        <w:rPr>
          <w:rFonts w:hint="eastAsia" w:ascii="仿宋_GB2312" w:hAnsi="仿宋_GB2312" w:eastAsia="仿宋_GB2312" w:cs="仿宋_GB2312"/>
          <w:color w:val="000000"/>
          <w:spacing w:val="0"/>
          <w:w w:val="100"/>
          <w:sz w:val="32"/>
          <w:szCs w:val="32"/>
        </w:rPr>
        <w:t xml:space="preserve">  为了加强对文物的保护、利用和管理，根据《中华人民共和国文物保护法》、《中华人民共和国文物保护法实施条例》的规定，结合自治区实际，制定本办法。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第二条</w:t>
      </w:r>
      <w:r>
        <w:rPr>
          <w:rFonts w:hint="eastAsia" w:ascii="仿宋_GB2312" w:hAnsi="仿宋_GB2312" w:eastAsia="仿宋_GB2312" w:cs="仿宋_GB2312"/>
          <w:color w:val="000000"/>
          <w:spacing w:val="0"/>
          <w:w w:val="100"/>
          <w:sz w:val="32"/>
          <w:szCs w:val="32"/>
        </w:rPr>
        <w:t xml:space="preserve">  本自治区行政区域内的文物和具有科学价值的古脊椎动物化石、古植物化石、古人类化石、地震遗址的保护、利用和管理，适用本办法。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 xml:space="preserve">    第三条</w:t>
      </w:r>
      <w:r>
        <w:rPr>
          <w:rFonts w:hint="eastAsia" w:ascii="仿宋_GB2312" w:hAnsi="仿宋_GB2312" w:eastAsia="仿宋_GB2312" w:cs="仿宋_GB2312"/>
          <w:color w:val="000000"/>
          <w:spacing w:val="0"/>
          <w:w w:val="100"/>
          <w:sz w:val="32"/>
          <w:szCs w:val="32"/>
        </w:rPr>
        <w:t xml:space="preserve">  各级人民政府负责本行政区域内的文物保护工作。  县级以上人民政府文物行政主管部门对本行政区域内的文物保护实施监督管理。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仿宋_GB2312" w:hAnsi="仿宋_GB2312" w:eastAsia="仿宋_GB2312" w:cs="仿宋_GB2312"/>
          <w:color w:val="000000"/>
          <w:spacing w:val="0"/>
          <w:w w:val="100"/>
          <w:sz w:val="32"/>
          <w:szCs w:val="32"/>
          <w:lang w:eastAsia="zh-CN"/>
        </w:rPr>
        <w:t>住</w:t>
      </w:r>
      <w:r>
        <w:rPr>
          <w:rFonts w:hint="eastAsia" w:ascii="仿宋_GB2312" w:hAnsi="仿宋_GB2312" w:eastAsia="仿宋_GB2312" w:cs="仿宋_GB2312"/>
          <w:color w:val="000000"/>
          <w:spacing w:val="0"/>
          <w:w w:val="100"/>
          <w:kern w:val="0"/>
          <w:sz w:val="32"/>
          <w:szCs w:val="32"/>
        </w:rPr>
        <w:t>建、自然资源、市场监督管理、公安、发展和改革、宗教</w:t>
      </w:r>
      <w:r>
        <w:rPr>
          <w:rFonts w:hint="eastAsia" w:ascii="仿宋_GB2312" w:hAnsi="仿宋_GB2312" w:eastAsia="仿宋_GB2312" w:cs="仿宋_GB2312"/>
          <w:color w:val="000000"/>
          <w:spacing w:val="0"/>
          <w:w w:val="100"/>
          <w:kern w:val="0"/>
          <w:sz w:val="32"/>
          <w:szCs w:val="32"/>
          <w:lang w:eastAsia="zh-CN"/>
        </w:rPr>
        <w:t>事务</w:t>
      </w:r>
      <w:r>
        <w:rPr>
          <w:rFonts w:hint="eastAsia" w:ascii="仿宋_GB2312" w:hAnsi="仿宋_GB2312" w:eastAsia="仿宋_GB2312" w:cs="仿宋_GB2312"/>
          <w:color w:val="000000"/>
          <w:spacing w:val="0"/>
          <w:w w:val="100"/>
          <w:kern w:val="0"/>
          <w:sz w:val="32"/>
          <w:szCs w:val="32"/>
        </w:rPr>
        <w:t>、生态环境、林业和草原、海关</w:t>
      </w:r>
      <w:r>
        <w:rPr>
          <w:rFonts w:hint="eastAsia" w:ascii="仿宋_GB2312" w:hAnsi="仿宋_GB2312" w:eastAsia="仿宋_GB2312" w:cs="仿宋_GB2312"/>
          <w:color w:val="000000"/>
          <w:spacing w:val="0"/>
          <w:w w:val="100"/>
          <w:sz w:val="32"/>
          <w:szCs w:val="32"/>
        </w:rPr>
        <w:t>等部门在各自的职责范围内，做好有关的文物保护工作。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 xml:space="preserve">    第四条</w:t>
      </w:r>
      <w:r>
        <w:rPr>
          <w:rFonts w:hint="eastAsia" w:ascii="仿宋_GB2312" w:hAnsi="仿宋_GB2312" w:eastAsia="仿宋_GB2312" w:cs="仿宋_GB2312"/>
          <w:color w:val="000000"/>
          <w:spacing w:val="0"/>
          <w:w w:val="100"/>
          <w:sz w:val="32"/>
          <w:szCs w:val="32"/>
        </w:rPr>
        <w:t xml:space="preserve">  县级以上人民政府应当将文物保护事业纳入本级国民经济和社会发展规划、土地利用总体规划和城乡建设规划，将文物保护事业所需经费列入本级财政预算。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 xml:space="preserve">    第五条</w:t>
      </w:r>
      <w:r>
        <w:rPr>
          <w:rFonts w:hint="eastAsia" w:ascii="仿宋_GB2312" w:hAnsi="仿宋_GB2312" w:eastAsia="仿宋_GB2312" w:cs="仿宋_GB2312"/>
          <w:color w:val="000000"/>
          <w:spacing w:val="0"/>
          <w:w w:val="100"/>
          <w:sz w:val="32"/>
          <w:szCs w:val="32"/>
        </w:rPr>
        <w:t xml:space="preserve">  自治区境内地下、内水中遗存的一切文物，属于国家所有。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文物工作贯彻保护为主、抢救第一、合理利用、加强管理的方针。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 xml:space="preserve">    第六条</w:t>
      </w:r>
      <w:r>
        <w:rPr>
          <w:rFonts w:hint="eastAsia" w:ascii="仿宋_GB2312" w:hAnsi="仿宋_GB2312" w:eastAsia="仿宋_GB2312" w:cs="仿宋_GB2312"/>
          <w:color w:val="000000"/>
          <w:spacing w:val="0"/>
          <w:w w:val="100"/>
          <w:sz w:val="32"/>
          <w:szCs w:val="32"/>
        </w:rPr>
        <w:t xml:space="preserve">  各级人民政府应当对下列文物实行重点保护：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（一）长城、岩画、石窟寺、大型古文化遗址、古脊椎动物化石遗址、古植物化石遗址、古墓葬、古建筑；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（二）珍贵馆藏文物；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（三）有重大纪念意义的革命历史文物；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（四）其他需要重点保护的文物。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第七条</w:t>
      </w:r>
      <w:r>
        <w:rPr>
          <w:rFonts w:hint="eastAsia" w:ascii="仿宋_GB2312" w:hAnsi="仿宋_GB2312" w:eastAsia="仿宋_GB2312" w:cs="仿宋_GB2312"/>
          <w:color w:val="000000"/>
          <w:spacing w:val="0"/>
          <w:w w:val="100"/>
          <w:sz w:val="32"/>
          <w:szCs w:val="32"/>
        </w:rPr>
        <w:t xml:space="preserve">  一切机关、组织和个人都有依法保护文物的义务。  鼓励公民、法人和其他组织参与文物保护工作，捐助文物保护事业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 xml:space="preserve">    第八条  </w:t>
      </w:r>
      <w:r>
        <w:rPr>
          <w:rFonts w:hint="eastAsia" w:ascii="仿宋_GB2312" w:hAnsi="仿宋_GB2312" w:eastAsia="仿宋_GB2312" w:cs="仿宋_GB2312"/>
          <w:color w:val="000000"/>
          <w:spacing w:val="0"/>
          <w:w w:val="100"/>
          <w:sz w:val="32"/>
          <w:szCs w:val="32"/>
        </w:rPr>
        <w:t>对在文物保护工作中取得显著成绩的单位和个人，由县级以上人民政府给予表彰、奖励。</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第二章　不可移动文物</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bookmarkStart w:id="0" w:name="_GoBack"/>
      <w:bookmarkEnd w:id="0"/>
      <w:r>
        <w:rPr>
          <w:rFonts w:hint="eastAsia" w:ascii="黑体" w:hAnsi="黑体" w:eastAsia="黑体" w:cs="黑体"/>
          <w:color w:val="000000"/>
          <w:spacing w:val="0"/>
          <w:w w:val="100"/>
          <w:sz w:val="32"/>
          <w:szCs w:val="32"/>
        </w:rPr>
        <w:t xml:space="preserve">第九条  </w:t>
      </w:r>
      <w:r>
        <w:rPr>
          <w:rFonts w:hint="eastAsia" w:ascii="仿宋_GB2312" w:hAnsi="仿宋_GB2312" w:eastAsia="仿宋_GB2312" w:cs="仿宋_GB2312"/>
          <w:color w:val="000000"/>
          <w:spacing w:val="0"/>
          <w:w w:val="100"/>
          <w:sz w:val="32"/>
          <w:szCs w:val="32"/>
        </w:rPr>
        <w:t>不可移动文物实行原址保护原则。未经依法批准，不得迁移、拆除不可移动文物。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修缮、保养、迁移、使用不可移动文物，不得改变不可移动文物原状。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第十条</w:t>
      </w:r>
      <w:r>
        <w:rPr>
          <w:rFonts w:hint="eastAsia" w:ascii="仿宋_GB2312" w:hAnsi="仿宋_GB2312" w:eastAsia="仿宋_GB2312" w:cs="仿宋_GB2312"/>
          <w:color w:val="000000"/>
          <w:spacing w:val="0"/>
          <w:w w:val="100"/>
          <w:sz w:val="32"/>
          <w:szCs w:val="32"/>
        </w:rPr>
        <w:t xml:space="preserve">  文物保护工程施工，应当按照文物行政主管部门批准的工程设计方案进行；需要变更已批准的工程设计方案的，必须经原批准部门批准。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第十一条</w:t>
      </w:r>
      <w:r>
        <w:rPr>
          <w:rFonts w:hint="eastAsia" w:ascii="仿宋_GB2312" w:hAnsi="仿宋_GB2312" w:eastAsia="仿宋_GB2312" w:cs="仿宋_GB2312"/>
          <w:color w:val="000000"/>
          <w:spacing w:val="0"/>
          <w:w w:val="100"/>
          <w:sz w:val="32"/>
          <w:szCs w:val="32"/>
        </w:rPr>
        <w:t xml:space="preserve">  对新发现的不可移动文物，县级以上人民政府应当根据文物保护工作的需要，对土地利用总体规划和城乡建设规划作出适当的修改、调整。</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第十二条</w:t>
      </w:r>
      <w:r>
        <w:rPr>
          <w:rFonts w:hint="eastAsia" w:ascii="仿宋_GB2312" w:hAnsi="仿宋_GB2312" w:eastAsia="仿宋_GB2312" w:cs="仿宋_GB2312"/>
          <w:color w:val="000000"/>
          <w:spacing w:val="0"/>
          <w:w w:val="100"/>
          <w:sz w:val="32"/>
          <w:szCs w:val="32"/>
        </w:rPr>
        <w:t xml:space="preserve">  自治区文物行政主管部门负责组织制定全国重点文物保护单位和自治区级文物保护单位的具体保护措施，并公告施行。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设区的市、县（市、区）文物行政主管部门负责组织制定市、县级文物保护单位的具体保护措施，并公告施行。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尚未公布为文物保护单位的不可移动文物，由所在地县（市、区）文物行政主管部门组织调查，对其名称、类别、位置、范围等予以登记、录像，建立档案，并制定具体的保护措施。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第十三条</w:t>
      </w:r>
      <w:r>
        <w:rPr>
          <w:rFonts w:hint="eastAsia" w:ascii="仿宋_GB2312" w:hAnsi="仿宋_GB2312" w:eastAsia="仿宋_GB2312" w:cs="仿宋_GB2312"/>
          <w:color w:val="000000"/>
          <w:spacing w:val="0"/>
          <w:w w:val="100"/>
          <w:sz w:val="32"/>
          <w:szCs w:val="32"/>
        </w:rPr>
        <w:t xml:space="preserve">  文物保护单位保护范围内的非文物建筑物和构筑物，危害文物保护单位安全、</w:t>
      </w:r>
      <w:r>
        <w:rPr>
          <w:rFonts w:hint="eastAsia" w:ascii="仿宋_GB2312" w:hAnsi="仿宋_GB2312" w:eastAsia="仿宋_GB2312" w:cs="仿宋_GB2312"/>
          <w:color w:val="000000"/>
          <w:spacing w:val="0"/>
          <w:w w:val="100"/>
          <w:kern w:val="0"/>
          <w:sz w:val="32"/>
          <w:szCs w:val="32"/>
          <w:lang w:eastAsia="zh-CN"/>
        </w:rPr>
        <w:t>破坏文物保护单位历史风貌的</w:t>
      </w:r>
      <w:r>
        <w:rPr>
          <w:rFonts w:hint="eastAsia" w:ascii="仿宋_GB2312" w:hAnsi="仿宋_GB2312" w:eastAsia="仿宋_GB2312" w:cs="仿宋_GB2312"/>
          <w:color w:val="000000"/>
          <w:spacing w:val="0"/>
          <w:w w:val="100"/>
          <w:sz w:val="32"/>
          <w:szCs w:val="32"/>
        </w:rPr>
        <w:t>，应当拆除或者改造。拆除、改造费用按照文物保护单位级别由相关人民政府解决；非文物建筑物和构筑物属于违法建筑的，拆除费用由违法行为人承担。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 xml:space="preserve">    第十四条  </w:t>
      </w:r>
      <w:r>
        <w:rPr>
          <w:rFonts w:hint="eastAsia" w:ascii="仿宋_GB2312" w:hAnsi="仿宋_GB2312" w:eastAsia="仿宋_GB2312" w:cs="仿宋_GB2312"/>
          <w:color w:val="000000"/>
          <w:spacing w:val="0"/>
          <w:w w:val="100"/>
          <w:sz w:val="32"/>
          <w:szCs w:val="32"/>
        </w:rPr>
        <w:t>在文物保护单位的保护范围内和建设控制地带内，禁止从事下列活动：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（一）存放易燃、易爆、有毒和放射性、腐蚀性危险物品；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（二）采石、采矿、毁林、开荒、挖掘、取土、射击、狩猎；</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（三）排放废水、废气、废渣和其他污染物；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（四）其他可能影响文物保护单位安全及其环境的活动。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第十五条</w:t>
      </w:r>
      <w:r>
        <w:rPr>
          <w:rFonts w:hint="eastAsia" w:ascii="仿宋_GB2312" w:hAnsi="仿宋_GB2312" w:eastAsia="仿宋_GB2312" w:cs="仿宋_GB2312"/>
          <w:color w:val="000000"/>
          <w:spacing w:val="0"/>
          <w:w w:val="100"/>
          <w:sz w:val="32"/>
          <w:szCs w:val="32"/>
        </w:rPr>
        <w:t xml:space="preserve">  在文物保护单位建设控制地带内修建的建筑物或者构筑物，其形式、高度、体量、色调等必须与文物保护单位周围的环境风貌相协调。其设计方案应当征得同级文物行政主管部门的同意，并报</w:t>
      </w:r>
      <w:r>
        <w:rPr>
          <w:rFonts w:hint="eastAsia" w:ascii="仿宋_GB2312" w:hAnsi="仿宋_GB2312" w:eastAsia="仿宋_GB2312" w:cs="仿宋_GB2312"/>
          <w:color w:val="000000"/>
          <w:spacing w:val="0"/>
          <w:w w:val="100"/>
          <w:kern w:val="0"/>
          <w:sz w:val="32"/>
          <w:szCs w:val="32"/>
          <w:lang w:eastAsia="zh-CN"/>
        </w:rPr>
        <w:t>同级城乡建设规划部门</w:t>
      </w:r>
      <w:r>
        <w:rPr>
          <w:rFonts w:hint="eastAsia" w:ascii="仿宋_GB2312" w:hAnsi="仿宋_GB2312" w:eastAsia="仿宋_GB2312" w:cs="仿宋_GB2312"/>
          <w:color w:val="000000"/>
          <w:spacing w:val="0"/>
          <w:w w:val="100"/>
          <w:sz w:val="32"/>
          <w:szCs w:val="32"/>
        </w:rPr>
        <w:t>批准。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第十六条</w:t>
      </w:r>
      <w:r>
        <w:rPr>
          <w:rFonts w:hint="eastAsia" w:ascii="仿宋_GB2312" w:hAnsi="仿宋_GB2312" w:eastAsia="仿宋_GB2312" w:cs="仿宋_GB2312"/>
          <w:color w:val="000000"/>
          <w:spacing w:val="0"/>
          <w:w w:val="100"/>
          <w:sz w:val="32"/>
          <w:szCs w:val="32"/>
        </w:rPr>
        <w:t xml:space="preserve">  被列为旅游景点的文物保护单位，由文物行政主管部门指导具体管理部门制定保护方案；保护方案由文物保护单位的管理者负责实施。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被列为旅游景点的文物保护单位，其管理者应当将门票收入中不低于20%的资金专户储存，专门用于文物保护单位本体的修缮和保养，并将年度提取的资金数额和使用情况通报文物行政主管部门和财政部门，接受文物行政主管部门和财政部门的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第十七条</w:t>
      </w:r>
      <w:r>
        <w:rPr>
          <w:rFonts w:hint="eastAsia" w:ascii="仿宋_GB2312" w:hAnsi="仿宋_GB2312" w:eastAsia="仿宋_GB2312" w:cs="仿宋_GB2312"/>
          <w:color w:val="000000"/>
          <w:spacing w:val="0"/>
          <w:w w:val="100"/>
          <w:sz w:val="32"/>
          <w:szCs w:val="32"/>
        </w:rPr>
        <w:t xml:space="preserve">  宗教活动场所经依法批准为文物保护单位的，应当遵守文物保护法律法规的规定，接受文物行政主管部门和宗教事务管理部门的指导和监督。</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第三章　考古发掘</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黑体" w:hAnsi="黑体" w:eastAsia="黑体" w:cs="黑体"/>
          <w:color w:val="000000"/>
          <w:spacing w:val="0"/>
          <w:w w:val="100"/>
          <w:sz w:val="32"/>
          <w:szCs w:val="32"/>
        </w:rPr>
      </w:pPr>
      <w:r>
        <w:rPr>
          <w:rFonts w:hint="eastAsia" w:ascii="黑体" w:hAnsi="黑体" w:eastAsia="黑体" w:cs="黑体"/>
          <w:color w:val="000000"/>
          <w:spacing w:val="0"/>
          <w:w w:val="100"/>
          <w:sz w:val="32"/>
          <w:szCs w:val="32"/>
        </w:rPr>
        <w:t>第十八条</w:t>
      </w:r>
      <w:r>
        <w:rPr>
          <w:rFonts w:hint="eastAsia" w:ascii="仿宋_GB2312" w:hAnsi="仿宋_GB2312" w:eastAsia="仿宋_GB2312" w:cs="仿宋_GB2312"/>
          <w:color w:val="000000"/>
          <w:spacing w:val="0"/>
          <w:w w:val="100"/>
          <w:sz w:val="32"/>
          <w:szCs w:val="32"/>
        </w:rPr>
        <w:t xml:space="preserve">  </w:t>
      </w:r>
      <w:r>
        <w:rPr>
          <w:rFonts w:hint="eastAsia" w:ascii="仿宋_GB2312" w:hAnsi="仿宋_GB2312" w:eastAsia="仿宋_GB2312" w:cs="仿宋_GB2312"/>
          <w:color w:val="000000"/>
          <w:spacing w:val="0"/>
          <w:w w:val="100"/>
          <w:kern w:val="0"/>
          <w:sz w:val="32"/>
          <w:szCs w:val="32"/>
        </w:rPr>
        <w:t>进行大型基本建设工程，建设单位应当事先报请自治区文物行政</w:t>
      </w:r>
      <w:r>
        <w:rPr>
          <w:rFonts w:hint="eastAsia" w:ascii="仿宋_GB2312" w:hAnsi="仿宋_GB2312" w:eastAsia="仿宋_GB2312" w:cs="仿宋_GB2312"/>
          <w:color w:val="000000"/>
          <w:spacing w:val="0"/>
          <w:w w:val="100"/>
          <w:kern w:val="0"/>
          <w:sz w:val="32"/>
          <w:szCs w:val="32"/>
          <w:lang w:eastAsia="zh-CN"/>
        </w:rPr>
        <w:t>主管</w:t>
      </w:r>
      <w:r>
        <w:rPr>
          <w:rFonts w:hint="eastAsia" w:ascii="仿宋_GB2312" w:hAnsi="仿宋_GB2312" w:eastAsia="仿宋_GB2312" w:cs="仿宋_GB2312"/>
          <w:color w:val="000000"/>
          <w:spacing w:val="0"/>
          <w:w w:val="100"/>
          <w:kern w:val="0"/>
          <w:sz w:val="32"/>
          <w:szCs w:val="32"/>
        </w:rPr>
        <w:t>部门在工程范围内有可能埋藏文物的地方进行考古调查、勘探。自治区文物行政主管部门应当在接到申请之日起</w:t>
      </w:r>
      <w:r>
        <w:rPr>
          <w:rFonts w:hint="eastAsia" w:ascii="仿宋_GB2312" w:hAnsi="仿宋_GB2312" w:eastAsia="仿宋_GB2312" w:cs="仿宋_GB2312"/>
          <w:color w:val="000000"/>
          <w:spacing w:val="0"/>
          <w:w w:val="100"/>
          <w:kern w:val="0"/>
          <w:sz w:val="32"/>
          <w:szCs w:val="32"/>
          <w:lang w:eastAsia="zh-CN"/>
        </w:rPr>
        <w:t>三十</w:t>
      </w:r>
      <w:r>
        <w:rPr>
          <w:rFonts w:hint="eastAsia" w:ascii="仿宋_GB2312" w:hAnsi="仿宋_GB2312" w:eastAsia="仿宋_GB2312" w:cs="仿宋_GB2312"/>
          <w:color w:val="000000"/>
          <w:spacing w:val="0"/>
          <w:w w:val="100"/>
          <w:kern w:val="0"/>
          <w:sz w:val="32"/>
          <w:szCs w:val="32"/>
        </w:rPr>
        <w:t>个工作日内，组织从事考古发掘的单位完成考古调查、勘探，并作出考古调查、勘探结果处理意见书。</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第十九条</w:t>
      </w:r>
      <w:r>
        <w:rPr>
          <w:rFonts w:hint="eastAsia" w:ascii="仿宋_GB2312" w:hAnsi="仿宋_GB2312" w:eastAsia="仿宋_GB2312" w:cs="仿宋_GB2312"/>
          <w:color w:val="000000"/>
          <w:spacing w:val="0"/>
          <w:w w:val="100"/>
          <w:sz w:val="32"/>
          <w:szCs w:val="32"/>
        </w:rPr>
        <w:t xml:space="preserve">  在被确认有埋藏文物的地方进行工程建设的，自治区文物行政主管部门应当在开工前与建设单位签订文物保护责任书，确定文物保护责任人。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第二十条</w:t>
      </w:r>
      <w:r>
        <w:rPr>
          <w:rFonts w:hint="eastAsia" w:ascii="仿宋_GB2312" w:hAnsi="仿宋_GB2312" w:eastAsia="仿宋_GB2312" w:cs="仿宋_GB2312"/>
          <w:color w:val="000000"/>
          <w:spacing w:val="0"/>
          <w:w w:val="100"/>
          <w:sz w:val="32"/>
          <w:szCs w:val="32"/>
        </w:rPr>
        <w:t xml:space="preserve">  在日常生产生活中发现文物或者工程建设单位、工程施工人员在施工过程中发现文物的，应当立即报告文物行政主管部门。对急需抢救的文物，文物行政主管部门应当立即采取抢救措施；对需要进一步勘探、发掘的，依法报请自治区文物行政主管部门组织勘探、发掘；对已被哄抢、私分、藏匿的文物，应当立即向公安机关报告并协助公安机关及时追回。</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第二十一条</w:t>
      </w:r>
      <w:r>
        <w:rPr>
          <w:rFonts w:hint="eastAsia" w:ascii="仿宋_GB2312" w:hAnsi="仿宋_GB2312" w:eastAsia="仿宋_GB2312" w:cs="仿宋_GB2312"/>
          <w:color w:val="000000"/>
          <w:spacing w:val="0"/>
          <w:w w:val="100"/>
          <w:sz w:val="32"/>
          <w:szCs w:val="32"/>
        </w:rPr>
        <w:t xml:space="preserve">  在被确认有埋藏文物的地方进行考古发掘的，由自治区文物行政主管部门组织；需要实施原址保护的，建设工程规划应当进行调整或者另行选址。</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考古调查、发掘中的重要发现未经自治区文物行政主管部门同意的，不得对外公布。</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第二十二条</w:t>
      </w:r>
      <w:r>
        <w:rPr>
          <w:rFonts w:hint="eastAsia" w:ascii="仿宋_GB2312" w:hAnsi="仿宋_GB2312" w:eastAsia="仿宋_GB2312" w:cs="仿宋_GB2312"/>
          <w:color w:val="000000"/>
          <w:spacing w:val="0"/>
          <w:w w:val="100"/>
          <w:sz w:val="32"/>
          <w:szCs w:val="32"/>
        </w:rPr>
        <w:t xml:space="preserve">  考古发掘工作结束后，文物行政主管部门应当及时将处理意见书面通知建设单位。发现重要遗迹需要实施原址保护的，建设行政主管部门应当责成建设单位及时调整工程设计、建设方案。</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第四章　馆藏文物</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第二十三条</w:t>
      </w:r>
      <w:r>
        <w:rPr>
          <w:rFonts w:hint="eastAsia" w:ascii="仿宋_GB2312" w:hAnsi="仿宋_GB2312" w:eastAsia="仿宋_GB2312" w:cs="仿宋_GB2312"/>
          <w:color w:val="000000"/>
          <w:spacing w:val="0"/>
          <w:w w:val="100"/>
          <w:sz w:val="32"/>
          <w:szCs w:val="32"/>
        </w:rPr>
        <w:t xml:space="preserve">  文物收藏单位应当建立和落实文物安全责任制度。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不具备收藏珍贵文物条件的文物收藏单位收藏一、二级珍贵文物的，由自治区文物行政主管部门指定的文物收藏单位代为收藏。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文物收藏单位与代收藏单位的权利和义务由双方依法约定。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第二十四条</w:t>
      </w:r>
      <w:r>
        <w:rPr>
          <w:rFonts w:hint="eastAsia" w:ascii="仿宋_GB2312" w:hAnsi="仿宋_GB2312" w:eastAsia="仿宋_GB2312" w:cs="仿宋_GB2312"/>
          <w:color w:val="000000"/>
          <w:spacing w:val="0"/>
          <w:w w:val="100"/>
          <w:sz w:val="32"/>
          <w:szCs w:val="32"/>
        </w:rPr>
        <w:t xml:space="preserve">  自治区文物行政主管部门应当组织文物专家对文物收藏单位收藏的文物进行鉴定。参与鉴定的专家不得少于三人。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第二十五条</w:t>
      </w:r>
      <w:r>
        <w:rPr>
          <w:rFonts w:hint="eastAsia" w:ascii="仿宋_GB2312" w:hAnsi="仿宋_GB2312" w:eastAsia="仿宋_GB2312" w:cs="仿宋_GB2312"/>
          <w:color w:val="000000"/>
          <w:spacing w:val="0"/>
          <w:w w:val="100"/>
          <w:sz w:val="32"/>
          <w:szCs w:val="32"/>
        </w:rPr>
        <w:t>　博物馆、图书馆和其他文物收藏单位应当建立总账、分类账、卡片和档案，并建立馆藏文物核查制度，对馆藏文物定期进行检查。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未经文物行政主管部门批准，任何单位或者个人不得调取馆藏文物。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文物收藏单位应当将文物档案报同级文物行政主管部门备案。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第二十六条</w:t>
      </w:r>
      <w:r>
        <w:rPr>
          <w:rFonts w:hint="eastAsia" w:ascii="仿宋_GB2312" w:hAnsi="仿宋_GB2312" w:eastAsia="仿宋_GB2312" w:cs="仿宋_GB2312"/>
          <w:color w:val="000000"/>
          <w:spacing w:val="0"/>
          <w:w w:val="100"/>
          <w:sz w:val="32"/>
          <w:szCs w:val="32"/>
        </w:rPr>
        <w:t>　国有文物收藏单位的法定代表人、文物库房保管员工作变动时，应当按照馆藏文物档案移交馆藏文物，并经文物行政主管部门确认。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第二十七条</w:t>
      </w:r>
      <w:r>
        <w:rPr>
          <w:rFonts w:hint="eastAsia" w:ascii="仿宋_GB2312" w:hAnsi="仿宋_GB2312" w:eastAsia="仿宋_GB2312" w:cs="仿宋_GB2312"/>
          <w:color w:val="000000"/>
          <w:spacing w:val="0"/>
          <w:w w:val="100"/>
          <w:sz w:val="32"/>
          <w:szCs w:val="32"/>
        </w:rPr>
        <w:t xml:space="preserve">  国有文物收藏单位应当将其收藏的文物或者图片资料向社会开放。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国有文物收藏单位展览文物，应当向老年人、残疾人、在校学生、现役军人免费开放。</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第五章　文物流通和利用</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第二十八条</w:t>
      </w:r>
      <w:r>
        <w:rPr>
          <w:rFonts w:hint="eastAsia" w:ascii="仿宋_GB2312" w:hAnsi="仿宋_GB2312" w:eastAsia="仿宋_GB2312" w:cs="仿宋_GB2312"/>
          <w:color w:val="000000"/>
          <w:spacing w:val="0"/>
          <w:w w:val="100"/>
          <w:sz w:val="32"/>
          <w:szCs w:val="32"/>
        </w:rPr>
        <w:t xml:space="preserve">  文物收藏单位以外的公民、法人和其他组织，可以通过继承或者接受赠予等合法方式取得文物，其收藏的文物可以依法流通，但法律、行政法规禁止流通的文物除外。</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第二十九条</w:t>
      </w:r>
      <w:r>
        <w:rPr>
          <w:rFonts w:hint="eastAsia" w:ascii="仿宋_GB2312" w:hAnsi="仿宋_GB2312" w:eastAsia="仿宋_GB2312" w:cs="仿宋_GB2312"/>
          <w:color w:val="000000"/>
          <w:spacing w:val="0"/>
          <w:w w:val="100"/>
          <w:sz w:val="32"/>
          <w:szCs w:val="32"/>
        </w:rPr>
        <w:t>　文物行政主管部门应当加强对文物市场的监督检查，对违法进行交易的文物予以先行登记保存，并移送</w:t>
      </w:r>
      <w:r>
        <w:rPr>
          <w:rFonts w:hint="eastAsia" w:ascii="仿宋_GB2312" w:hAnsi="仿宋_GB2312" w:eastAsia="仿宋_GB2312" w:cs="仿宋_GB2312"/>
          <w:color w:val="000000"/>
          <w:spacing w:val="0"/>
          <w:w w:val="100"/>
          <w:kern w:val="0"/>
          <w:sz w:val="32"/>
          <w:szCs w:val="32"/>
          <w:lang w:eastAsia="zh-CN"/>
        </w:rPr>
        <w:t>市场监督管理部门</w:t>
      </w:r>
      <w:r>
        <w:rPr>
          <w:rFonts w:hint="eastAsia" w:ascii="仿宋_GB2312" w:hAnsi="仿宋_GB2312" w:eastAsia="仿宋_GB2312" w:cs="仿宋_GB2312"/>
          <w:color w:val="000000"/>
          <w:spacing w:val="0"/>
          <w:w w:val="100"/>
          <w:sz w:val="32"/>
          <w:szCs w:val="32"/>
        </w:rPr>
        <w:t xml:space="preserve">、公安机关依法处理。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第三十条</w:t>
      </w:r>
      <w:r>
        <w:rPr>
          <w:rFonts w:hint="eastAsia" w:ascii="仿宋_GB2312" w:hAnsi="仿宋_GB2312" w:eastAsia="仿宋_GB2312" w:cs="仿宋_GB2312"/>
          <w:color w:val="000000"/>
          <w:spacing w:val="0"/>
          <w:w w:val="100"/>
          <w:sz w:val="32"/>
          <w:szCs w:val="32"/>
        </w:rPr>
        <w:t>　文物商店购买、销售的文物和拍卖企业拍卖的文物，应当按照国家有关规定作出记录，</w:t>
      </w:r>
      <w:r>
        <w:rPr>
          <w:rFonts w:hint="eastAsia" w:ascii="仿宋_GB2312" w:hAnsi="仿宋_GB2312" w:eastAsia="仿宋_GB2312" w:cs="仿宋_GB2312"/>
          <w:color w:val="000000"/>
          <w:spacing w:val="0"/>
          <w:w w:val="100"/>
          <w:kern w:val="0"/>
          <w:sz w:val="32"/>
          <w:szCs w:val="32"/>
          <w:lang w:eastAsia="zh-CN"/>
        </w:rPr>
        <w:t>并于销售、拍卖文物之日起</w:t>
      </w:r>
      <w:r>
        <w:rPr>
          <w:rFonts w:hint="eastAsia" w:ascii="仿宋_GB2312" w:hAnsi="仿宋_GB2312" w:eastAsia="仿宋_GB2312" w:cs="仿宋_GB2312"/>
          <w:color w:val="000000"/>
          <w:spacing w:val="0"/>
          <w:w w:val="100"/>
          <w:kern w:val="0"/>
          <w:sz w:val="32"/>
          <w:szCs w:val="32"/>
          <w:lang w:val="en-US" w:eastAsia="zh-CN"/>
        </w:rPr>
        <w:t>三十日内</w:t>
      </w:r>
      <w:r>
        <w:rPr>
          <w:rFonts w:hint="eastAsia" w:ascii="仿宋_GB2312" w:hAnsi="仿宋_GB2312" w:eastAsia="仿宋_GB2312" w:cs="仿宋_GB2312"/>
          <w:color w:val="000000"/>
          <w:spacing w:val="0"/>
          <w:w w:val="100"/>
          <w:sz w:val="32"/>
          <w:szCs w:val="32"/>
        </w:rPr>
        <w:t>，向自治区文物行政主管部门备案。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w:t>
      </w:r>
      <w:r>
        <w:rPr>
          <w:rFonts w:hint="eastAsia" w:ascii="黑体" w:hAnsi="黑体" w:eastAsia="黑体" w:cs="黑体"/>
          <w:color w:val="000000"/>
          <w:spacing w:val="0"/>
          <w:w w:val="100"/>
          <w:sz w:val="32"/>
          <w:szCs w:val="32"/>
          <w:lang w:eastAsia="zh-CN"/>
        </w:rPr>
        <w:t>一</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w:t>
      </w:r>
      <w:r>
        <w:rPr>
          <w:rFonts w:hint="eastAsia" w:ascii="仿宋_GB2312" w:hAnsi="仿宋_GB2312" w:eastAsia="仿宋_GB2312" w:cs="仿宋_GB2312"/>
          <w:color w:val="000000"/>
          <w:spacing w:val="0"/>
          <w:w w:val="100"/>
          <w:kern w:val="0"/>
          <w:sz w:val="32"/>
          <w:szCs w:val="32"/>
          <w:lang w:eastAsia="zh-CN"/>
        </w:rPr>
        <w:t>非国有文物收藏单位</w:t>
      </w:r>
      <w:r>
        <w:rPr>
          <w:rFonts w:hint="eastAsia" w:ascii="仿宋_GB2312" w:hAnsi="仿宋_GB2312" w:eastAsia="仿宋_GB2312" w:cs="仿宋_GB2312"/>
          <w:color w:val="000000"/>
          <w:spacing w:val="0"/>
          <w:w w:val="100"/>
          <w:sz w:val="32"/>
          <w:szCs w:val="32"/>
        </w:rPr>
        <w:t>收藏、保管、利用文物的，应当遵守文物法律、法规的有关规定，并接受文物行政主管部门的监督检查。</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黑体" w:hAnsi="黑体" w:eastAsia="黑体" w:cs="黑体"/>
          <w:color w:val="000000"/>
          <w:spacing w:val="0"/>
          <w:w w:val="100"/>
          <w:sz w:val="32"/>
          <w:szCs w:val="32"/>
        </w:rPr>
      </w:pPr>
      <w:r>
        <w:rPr>
          <w:rFonts w:hint="eastAsia" w:ascii="黑体" w:hAnsi="黑体" w:eastAsia="黑体" w:cs="黑体"/>
          <w:color w:val="000000"/>
          <w:spacing w:val="0"/>
          <w:w w:val="100"/>
          <w:sz w:val="32"/>
          <w:szCs w:val="32"/>
          <w:lang w:eastAsia="zh-CN"/>
        </w:rPr>
        <w:t>第六章</w:t>
      </w:r>
      <w:r>
        <w:rPr>
          <w:rFonts w:hint="eastAsia" w:ascii="黑体" w:hAnsi="黑体" w:eastAsia="黑体" w:cs="黑体"/>
          <w:color w:val="000000"/>
          <w:spacing w:val="0"/>
          <w:w w:val="100"/>
          <w:sz w:val="32"/>
          <w:szCs w:val="32"/>
        </w:rPr>
        <w:t>　法律责任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第三十</w:t>
      </w:r>
      <w:r>
        <w:rPr>
          <w:rFonts w:hint="eastAsia" w:ascii="黑体" w:hAnsi="黑体" w:eastAsia="黑体" w:cs="黑体"/>
          <w:color w:val="000000"/>
          <w:spacing w:val="0"/>
          <w:w w:val="100"/>
          <w:sz w:val="32"/>
          <w:szCs w:val="32"/>
          <w:lang w:eastAsia="zh-CN"/>
        </w:rPr>
        <w:t>二</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违反本办法第九条、第十条、第十五条规定，有下列行为之一的，由县级以上人民政府文物行政主管部门责令改正；造成严重后果的，处五万元以上五十万元以下的罚款：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（一）擅自迁移、拆除不可移动文物的；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（二）因修缮、保养、迁移、使用不可移动文物，改变不可移动文物原状的；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（三）擅自变更已批准的不可移动文物保护工程设计方案施工的；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（四）在文物保护单位建设控制地带内修建的建筑物或者构筑物，其工程设计方案未经文物行政主管部门的同意、报</w:t>
      </w:r>
      <w:r>
        <w:rPr>
          <w:rFonts w:hint="eastAsia" w:ascii="仿宋_GB2312" w:hAnsi="仿宋_GB2312" w:eastAsia="仿宋_GB2312" w:cs="仿宋_GB2312"/>
          <w:color w:val="000000"/>
          <w:spacing w:val="0"/>
          <w:w w:val="100"/>
          <w:sz w:val="32"/>
          <w:szCs w:val="32"/>
          <w:lang w:eastAsia="zh-CN"/>
        </w:rPr>
        <w:t>城乡建设</w:t>
      </w:r>
      <w:r>
        <w:rPr>
          <w:rFonts w:hint="eastAsia" w:ascii="仿宋_GB2312" w:hAnsi="仿宋_GB2312" w:eastAsia="仿宋_GB2312" w:cs="仿宋_GB2312"/>
          <w:color w:val="000000"/>
          <w:spacing w:val="0"/>
          <w:w w:val="100"/>
          <w:sz w:val="32"/>
          <w:szCs w:val="32"/>
        </w:rPr>
        <w:t>规划部门批准，对文物保护单位的历史风貌造成破坏的。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第三十</w:t>
      </w:r>
      <w:r>
        <w:rPr>
          <w:rFonts w:hint="eastAsia" w:ascii="黑体" w:hAnsi="黑体" w:eastAsia="黑体" w:cs="黑体"/>
          <w:color w:val="000000"/>
          <w:spacing w:val="0"/>
          <w:w w:val="100"/>
          <w:sz w:val="32"/>
          <w:szCs w:val="32"/>
          <w:lang w:eastAsia="zh-CN"/>
        </w:rPr>
        <w:t>三</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违反本办法，有第十四条规定行为之一的，由</w:t>
      </w:r>
      <w:r>
        <w:rPr>
          <w:rFonts w:hint="eastAsia" w:ascii="仿宋_GB2312" w:hAnsi="仿宋_GB2312" w:eastAsia="仿宋_GB2312" w:cs="仿宋_GB2312"/>
          <w:color w:val="000000"/>
          <w:spacing w:val="0"/>
          <w:w w:val="100"/>
          <w:kern w:val="0"/>
          <w:sz w:val="32"/>
          <w:szCs w:val="32"/>
          <w:lang w:eastAsia="zh-CN"/>
        </w:rPr>
        <w:t>公安、自然资源、生态环境、林业和草原</w:t>
      </w:r>
      <w:r>
        <w:rPr>
          <w:rFonts w:hint="eastAsia" w:ascii="仿宋_GB2312" w:hAnsi="仿宋_GB2312" w:eastAsia="仿宋_GB2312" w:cs="仿宋_GB2312"/>
          <w:color w:val="000000"/>
          <w:spacing w:val="0"/>
          <w:w w:val="100"/>
          <w:sz w:val="32"/>
          <w:szCs w:val="32"/>
        </w:rPr>
        <w:t>等部门依法予以处罚。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 xml:space="preserve">    第三十</w:t>
      </w:r>
      <w:r>
        <w:rPr>
          <w:rFonts w:hint="eastAsia" w:ascii="黑体" w:hAnsi="黑体" w:eastAsia="黑体" w:cs="黑体"/>
          <w:color w:val="000000"/>
          <w:spacing w:val="0"/>
          <w:w w:val="100"/>
          <w:sz w:val="32"/>
          <w:szCs w:val="32"/>
          <w:lang w:eastAsia="zh-CN"/>
        </w:rPr>
        <w:t>四</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违反本办法第二十五条第二款规定，未经批准擅自调取馆藏文物的，由县级以上人民政府文物行政主管部门责令改正。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违反本办法第二十六条规定，未按照馆藏文物档案移交馆藏文物，或者所移交的馆藏文物与馆藏文物档案不符的，由县级以上人民政府文物行政主管部门责令改正，可以并处二万元以下的罚款；造成文物灭失、损毁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w:t>
      </w:r>
      <w:r>
        <w:rPr>
          <w:rFonts w:hint="eastAsia" w:ascii="黑体" w:hAnsi="黑体" w:eastAsia="黑体" w:cs="黑体"/>
          <w:color w:val="000000"/>
          <w:spacing w:val="0"/>
          <w:w w:val="100"/>
          <w:sz w:val="32"/>
          <w:szCs w:val="32"/>
          <w:lang w:eastAsia="zh-CN"/>
        </w:rPr>
        <w:t>三十五</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上级人民政府对下级人民政府不履行文物保护职责的，应当责令改正；对直接负责的主管人员和其他直接责任人员依法给予处分。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文物行政主管部门和其他有关部门的工作人员，在文物保护工作中玩忽职守、滥用职权、徇私舞弊的，由</w:t>
      </w:r>
      <w:r>
        <w:rPr>
          <w:rFonts w:hint="eastAsia" w:ascii="仿宋_GB2312" w:hAnsi="仿宋_GB2312" w:eastAsia="仿宋_GB2312" w:cs="仿宋_GB2312"/>
          <w:color w:val="000000"/>
          <w:spacing w:val="0"/>
          <w:w w:val="100"/>
          <w:sz w:val="32"/>
          <w:szCs w:val="32"/>
          <w:lang w:eastAsia="zh-CN"/>
        </w:rPr>
        <w:t>相关有权机关给予处分</w:t>
      </w:r>
      <w:r>
        <w:rPr>
          <w:rFonts w:hint="eastAsia" w:ascii="仿宋_GB2312" w:hAnsi="仿宋_GB2312" w:eastAsia="仿宋_GB2312" w:cs="仿宋_GB2312"/>
          <w:color w:val="000000"/>
          <w:spacing w:val="0"/>
          <w:w w:val="10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w:t>
      </w:r>
      <w:r>
        <w:rPr>
          <w:rFonts w:hint="eastAsia" w:ascii="黑体" w:hAnsi="黑体" w:eastAsia="黑体" w:cs="黑体"/>
          <w:color w:val="000000"/>
          <w:spacing w:val="0"/>
          <w:w w:val="100"/>
          <w:sz w:val="32"/>
          <w:szCs w:val="32"/>
          <w:lang w:eastAsia="zh-CN"/>
        </w:rPr>
        <w:t>三十六</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当事人对行政机关做出的行政处罚决定不服的，可以依法申请行政复议或者提起行政诉讼。</w:t>
      </w:r>
    </w:p>
    <w:p>
      <w:pPr>
        <w:keepNext w:val="0"/>
        <w:keepLines w:val="0"/>
        <w:pageBreakBefore w:val="0"/>
        <w:widowControl w:val="0"/>
        <w:numPr>
          <w:ilvl w:val="0"/>
          <w:numId w:val="0"/>
        </w:numPr>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黑体" w:hAnsi="黑体" w:eastAsia="黑体" w:cs="黑体"/>
          <w:color w:val="000000"/>
          <w:spacing w:val="0"/>
          <w:w w:val="100"/>
          <w:sz w:val="32"/>
          <w:szCs w:val="32"/>
        </w:rPr>
      </w:pPr>
      <w:r>
        <w:rPr>
          <w:rFonts w:hint="eastAsia" w:ascii="黑体" w:hAnsi="黑体" w:eastAsia="黑体" w:cs="黑体"/>
          <w:color w:val="000000"/>
          <w:spacing w:val="0"/>
          <w:w w:val="100"/>
          <w:sz w:val="32"/>
          <w:szCs w:val="32"/>
          <w:lang w:eastAsia="zh-CN"/>
        </w:rPr>
        <w:t>第七章</w:t>
      </w:r>
      <w:r>
        <w:rPr>
          <w:rFonts w:hint="eastAsia" w:ascii="黑体" w:hAnsi="黑体" w:eastAsia="黑体" w:cs="黑体"/>
          <w:color w:val="000000"/>
          <w:spacing w:val="0"/>
          <w:w w:val="100"/>
          <w:sz w:val="32"/>
          <w:szCs w:val="32"/>
        </w:rPr>
        <w:t>　附则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xml:space="preserve">    </w:t>
      </w:r>
      <w:r>
        <w:rPr>
          <w:rFonts w:hint="eastAsia" w:ascii="黑体" w:hAnsi="黑体" w:eastAsia="黑体" w:cs="黑体"/>
          <w:color w:val="000000"/>
          <w:spacing w:val="0"/>
          <w:w w:val="100"/>
          <w:sz w:val="32"/>
          <w:szCs w:val="32"/>
        </w:rPr>
        <w:t>第</w:t>
      </w:r>
      <w:r>
        <w:rPr>
          <w:rFonts w:hint="eastAsia" w:ascii="黑体" w:hAnsi="黑体" w:eastAsia="黑体" w:cs="黑体"/>
          <w:color w:val="000000"/>
          <w:spacing w:val="0"/>
          <w:w w:val="100"/>
          <w:sz w:val="32"/>
          <w:szCs w:val="32"/>
          <w:lang w:eastAsia="zh-CN"/>
        </w:rPr>
        <w:t>三十七</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本办法自2007年1月1日起施行。1989年10月27日自治区第六届人民代表大会常务委员会第九次会议通过的《宁夏回族自治区文物保护条例》同时废止。</w:t>
      </w:r>
    </w:p>
    <w:p>
      <w:pPr>
        <w:pStyle w:val="2"/>
        <w:rPr>
          <w:rFonts w:hint="eastAsia"/>
          <w:spacing w:val="0"/>
          <w:w w:val="100"/>
        </w:rPr>
      </w:pPr>
    </w:p>
    <w:p>
      <w:pPr>
        <w:rPr>
          <w:rFonts w:hint="eastAsia"/>
          <w:spacing w:val="0"/>
          <w:w w:val="100"/>
        </w:rPr>
      </w:pPr>
    </w:p>
    <w:p>
      <w:pPr>
        <w:pStyle w:val="2"/>
        <w:rPr>
          <w:rFonts w:hint="eastAsia"/>
          <w:spacing w:val="0"/>
          <w:w w:val="100"/>
        </w:rPr>
      </w:pPr>
    </w:p>
    <w:p>
      <w:pPr>
        <w:rPr>
          <w:rFonts w:hint="eastAsia"/>
          <w:spacing w:val="0"/>
          <w:w w:val="100"/>
          <w:sz w:val="32"/>
          <w:szCs w:val="32"/>
        </w:rPr>
      </w:pPr>
    </w:p>
    <w:p>
      <w:pPr>
        <w:pStyle w:val="2"/>
        <w:rPr>
          <w:rFonts w:hint="eastAsia"/>
          <w:spacing w:val="0"/>
          <w:w w:val="100"/>
          <w:sz w:val="32"/>
          <w:szCs w:val="32"/>
        </w:rPr>
      </w:pPr>
    </w:p>
    <w:p>
      <w:pPr>
        <w:rPr>
          <w:rFonts w:hint="eastAsia"/>
          <w:spacing w:val="0"/>
          <w:w w:val="100"/>
          <w:sz w:val="32"/>
          <w:szCs w:val="32"/>
        </w:rPr>
      </w:pPr>
    </w:p>
    <w:p>
      <w:pPr>
        <w:pStyle w:val="2"/>
        <w:rPr>
          <w:rFonts w:hint="eastAsia"/>
          <w:spacing w:val="0"/>
          <w:w w:val="100"/>
          <w:sz w:val="32"/>
          <w:szCs w:val="32"/>
        </w:rPr>
      </w:pPr>
    </w:p>
    <w:p>
      <w:pPr>
        <w:rPr>
          <w:rFonts w:hint="eastAsia"/>
          <w:spacing w:val="0"/>
          <w:w w:val="100"/>
          <w:sz w:val="32"/>
          <w:szCs w:val="32"/>
        </w:rPr>
      </w:pPr>
    </w:p>
    <w:p>
      <w:pPr>
        <w:pStyle w:val="2"/>
        <w:rPr>
          <w:rFonts w:hint="eastAsia"/>
          <w:spacing w:val="0"/>
          <w:w w:val="100"/>
          <w:sz w:val="32"/>
          <w:szCs w:val="32"/>
        </w:rPr>
      </w:pPr>
    </w:p>
    <w:p>
      <w:pPr>
        <w:rPr>
          <w:rFonts w:hint="eastAsia"/>
          <w:spacing w:val="0"/>
          <w:w w:val="100"/>
          <w:sz w:val="32"/>
          <w:szCs w:val="32"/>
        </w:rPr>
      </w:pPr>
    </w:p>
    <w:p>
      <w:pPr>
        <w:adjustRightInd w:val="0"/>
        <w:snapToGrid w:val="0"/>
        <w:jc w:val="center"/>
        <w:rPr>
          <w:rFonts w:hint="eastAsia" w:ascii="宋体" w:hAnsi="宋体" w:cs="宋体"/>
          <w:b w:val="0"/>
          <w:bCs w:val="0"/>
          <w:spacing w:val="0"/>
          <w:w w:val="100"/>
          <w:sz w:val="44"/>
          <w:szCs w:val="44"/>
        </w:rPr>
      </w:pPr>
    </w:p>
    <w:p>
      <w:pPr>
        <w:adjustRightInd w:val="0"/>
        <w:snapToGrid w:val="0"/>
        <w:jc w:val="center"/>
        <w:rPr>
          <w:rFonts w:hint="eastAsia" w:ascii="宋体" w:hAnsi="宋体" w:cs="宋体"/>
          <w:b w:val="0"/>
          <w:bCs w:val="0"/>
          <w:spacing w:val="0"/>
          <w:w w:val="100"/>
          <w:sz w:val="44"/>
          <w:szCs w:val="44"/>
        </w:rPr>
      </w:pPr>
    </w:p>
    <w:p>
      <w:pPr>
        <w:pStyle w:val="2"/>
        <w:rPr>
          <w:rFonts w:hint="eastAsia" w:ascii="宋体" w:hAnsi="宋体" w:cs="宋体"/>
          <w:b w:val="0"/>
          <w:bCs w:val="0"/>
          <w:spacing w:val="0"/>
          <w:w w:val="100"/>
          <w:sz w:val="44"/>
          <w:szCs w:val="44"/>
        </w:rPr>
      </w:pPr>
    </w:p>
    <w:p>
      <w:pPr>
        <w:rPr>
          <w:rFonts w:hint="eastAsia" w:ascii="宋体" w:hAnsi="宋体" w:cs="宋体"/>
          <w:b w:val="0"/>
          <w:bCs w:val="0"/>
          <w:spacing w:val="0"/>
          <w:w w:val="100"/>
          <w:sz w:val="44"/>
          <w:szCs w:val="44"/>
        </w:rPr>
      </w:pPr>
    </w:p>
    <w:p>
      <w:pPr>
        <w:pStyle w:val="2"/>
        <w:rPr>
          <w:rFonts w:hint="eastAsia" w:ascii="宋体" w:hAnsi="宋体" w:cs="宋体"/>
          <w:b w:val="0"/>
          <w:bCs w:val="0"/>
          <w:spacing w:val="0"/>
          <w:w w:val="100"/>
          <w:sz w:val="44"/>
          <w:szCs w:val="44"/>
        </w:rPr>
      </w:pPr>
    </w:p>
    <w:p>
      <w:pPr>
        <w:rPr>
          <w:rFonts w:hint="eastAsia"/>
        </w:rPr>
      </w:pPr>
    </w:p>
    <w:p>
      <w:pPr>
        <w:adjustRightInd w:val="0"/>
        <w:snapToGrid w:val="0"/>
        <w:jc w:val="center"/>
        <w:rPr>
          <w:rFonts w:hint="eastAsia" w:ascii="宋体" w:hAnsi="宋体" w:cs="宋体"/>
          <w:b w:val="0"/>
          <w:bCs w:val="0"/>
          <w:spacing w:val="0"/>
          <w:w w:val="100"/>
          <w:sz w:val="44"/>
          <w:szCs w:val="44"/>
          <w:lang w:val="en-US" w:eastAsia="zh-CN"/>
        </w:rPr>
      </w:pPr>
    </w:p>
    <w:sectPr>
      <w:footerReference r:id="rId5" w:type="first"/>
      <w:headerReference r:id="rId3" w:type="default"/>
      <w:footerReference r:id="rId4" w:type="default"/>
      <w:pgSz w:w="11906" w:h="16838"/>
      <w:pgMar w:top="1984" w:right="1531" w:bottom="1417" w:left="1531" w:header="851" w:footer="1134" w:gutter="0"/>
      <w:pgNumType w:fmt="numberInDash"/>
      <w:cols w:space="720" w:num="1"/>
      <w:rtlGutter w:val="0"/>
      <w:docGrid w:linePitch="59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文本框 1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gYFtMkBAACa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rFTaDEcYsDv3z/dvnx6/LzK1m+&#10;zvr0AWpMewiYmIY7P+TcyQ/ozLQHFW3+IiGCcVT3fFVXDomI/Gi9Wq8rDAmMzRfEYY/PQ4T0VnpL&#10;stHQiOMrqvLTe0hj6pySqzl/r41BP6+N+8uBmNnDcu9jj9lKw36YGt/79ox8epx8Qx0uOiXmnUNh&#10;85LMRpyN/WwcQ9SHrmxRrgfh9piwidJbrjDCToVxZIXdtF55J/68l6zHX2r7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uBgW0yQEAAJoDAAAOAAAAAAAAAAEAIAAAAB4BAABkcnMvZTJvRG9j&#10;LnhtbFBLBQYAAAAABgAGAFkBAABZBQ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文本框 15"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S6dK8kBAACa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IoSxy0O/PL92+XHr8vPr2T5&#10;OuvTB6gx7SFgYhru/IBbM/sBnZn2oKLNXyREMI7qnq/qyiERkR+tV+t1hSGBsfmC+OzxeYiQ3kpv&#10;STYaGnF8RVV+eg9pTJ1TcjXn77UxZYTG/eVAzOxhufexx2ylYT9MhPa+PSOfHiffUIeLTol551DY&#10;vCSzEWdjPxvHEPWhK1uU60G4PSZsovSWK4ywU2EcWWE3rVfeiT/vJevxl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BVLp0ryQEAAJoDAAAOAAAAAAAAAAEAIAAAAB4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singleLevel"/>
    <w:tmpl w:val="00000008"/>
    <w:lvl w:ilvl="0" w:tentative="0">
      <w:start w:val="1"/>
      <w:numFmt w:val="chineseCounting"/>
      <w:suff w:val="space"/>
      <w:lvlText w:val="第%1章"/>
      <w:lvlJc w:val="left"/>
    </w:lvl>
  </w:abstractNum>
  <w:abstractNum w:abstractNumId="1">
    <w:nsid w:val="00000009"/>
    <w:multiLevelType w:val="singleLevel"/>
    <w:tmpl w:val="0000000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rawingGridVerticalSpacing w:val="299"/>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7E5F"/>
    <w:rsid w:val="00721A4F"/>
    <w:rsid w:val="007E75E6"/>
    <w:rsid w:val="01191E03"/>
    <w:rsid w:val="0194261C"/>
    <w:rsid w:val="019C0876"/>
    <w:rsid w:val="019E0182"/>
    <w:rsid w:val="028E752C"/>
    <w:rsid w:val="040D3139"/>
    <w:rsid w:val="05957674"/>
    <w:rsid w:val="07152B8F"/>
    <w:rsid w:val="0B993F29"/>
    <w:rsid w:val="0C351023"/>
    <w:rsid w:val="0DD002DB"/>
    <w:rsid w:val="0E695E40"/>
    <w:rsid w:val="0F9A5B01"/>
    <w:rsid w:val="0FA77F56"/>
    <w:rsid w:val="109F5D66"/>
    <w:rsid w:val="11174C78"/>
    <w:rsid w:val="15144D2F"/>
    <w:rsid w:val="176C7889"/>
    <w:rsid w:val="192A23B8"/>
    <w:rsid w:val="19810487"/>
    <w:rsid w:val="198549D1"/>
    <w:rsid w:val="1B982628"/>
    <w:rsid w:val="1B98531B"/>
    <w:rsid w:val="1CBA5F67"/>
    <w:rsid w:val="1D155B33"/>
    <w:rsid w:val="1E0834E3"/>
    <w:rsid w:val="20A33A0C"/>
    <w:rsid w:val="21755303"/>
    <w:rsid w:val="241D14B3"/>
    <w:rsid w:val="245A370F"/>
    <w:rsid w:val="264C5416"/>
    <w:rsid w:val="26E86D04"/>
    <w:rsid w:val="2723359F"/>
    <w:rsid w:val="276C13D8"/>
    <w:rsid w:val="281779DF"/>
    <w:rsid w:val="2BAA143E"/>
    <w:rsid w:val="2C052B75"/>
    <w:rsid w:val="2C351D74"/>
    <w:rsid w:val="2ED92335"/>
    <w:rsid w:val="30E907D9"/>
    <w:rsid w:val="31D32F33"/>
    <w:rsid w:val="34A8088B"/>
    <w:rsid w:val="39215525"/>
    <w:rsid w:val="393B10B0"/>
    <w:rsid w:val="3A415874"/>
    <w:rsid w:val="3C1E079F"/>
    <w:rsid w:val="3C424B1A"/>
    <w:rsid w:val="3C576063"/>
    <w:rsid w:val="3C5B0E6B"/>
    <w:rsid w:val="3D8A76BD"/>
    <w:rsid w:val="3E7D24A2"/>
    <w:rsid w:val="3EBD53D5"/>
    <w:rsid w:val="40C22BDB"/>
    <w:rsid w:val="426A7101"/>
    <w:rsid w:val="429567AC"/>
    <w:rsid w:val="44DA4C97"/>
    <w:rsid w:val="45FC4830"/>
    <w:rsid w:val="4C251DA4"/>
    <w:rsid w:val="4C906417"/>
    <w:rsid w:val="4DAB004F"/>
    <w:rsid w:val="4E89761D"/>
    <w:rsid w:val="4F315FFB"/>
    <w:rsid w:val="4F9841F6"/>
    <w:rsid w:val="4FFF295A"/>
    <w:rsid w:val="512B0CE0"/>
    <w:rsid w:val="5142133D"/>
    <w:rsid w:val="51650D6D"/>
    <w:rsid w:val="516D2181"/>
    <w:rsid w:val="51CA4C9F"/>
    <w:rsid w:val="5402507B"/>
    <w:rsid w:val="54294138"/>
    <w:rsid w:val="56544079"/>
    <w:rsid w:val="5655677C"/>
    <w:rsid w:val="5668644C"/>
    <w:rsid w:val="590D50E6"/>
    <w:rsid w:val="5B436820"/>
    <w:rsid w:val="5B821A86"/>
    <w:rsid w:val="5C51404B"/>
    <w:rsid w:val="5D2D6A8E"/>
    <w:rsid w:val="5D547893"/>
    <w:rsid w:val="5D714965"/>
    <w:rsid w:val="5FEB57A0"/>
    <w:rsid w:val="613D31AA"/>
    <w:rsid w:val="61793218"/>
    <w:rsid w:val="62DF113C"/>
    <w:rsid w:val="63F90239"/>
    <w:rsid w:val="64374502"/>
    <w:rsid w:val="643756B3"/>
    <w:rsid w:val="64BF1CC4"/>
    <w:rsid w:val="67AA4B81"/>
    <w:rsid w:val="683E617B"/>
    <w:rsid w:val="68692EF7"/>
    <w:rsid w:val="69BB4115"/>
    <w:rsid w:val="6A0C0D26"/>
    <w:rsid w:val="6AFC7C56"/>
    <w:rsid w:val="6D9C0A54"/>
    <w:rsid w:val="6F8375CA"/>
    <w:rsid w:val="722E1C57"/>
    <w:rsid w:val="734E25BE"/>
    <w:rsid w:val="73BF501D"/>
    <w:rsid w:val="77729849"/>
    <w:rsid w:val="77F96291"/>
    <w:rsid w:val="78233CDA"/>
    <w:rsid w:val="78AA3E3E"/>
    <w:rsid w:val="79561EA9"/>
    <w:rsid w:val="7B6D6A4E"/>
    <w:rsid w:val="7BDA66B7"/>
    <w:rsid w:val="7BF367A0"/>
    <w:rsid w:val="7D287698"/>
    <w:rsid w:val="7D5364F3"/>
    <w:rsid w:val="7DAD7B96"/>
    <w:rsid w:val="7DCF4DB1"/>
    <w:rsid w:val="EDFD03AD"/>
    <w:rsid w:val="FE7F7E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2"/>
      <w:lang w:val="en-US" w:eastAsia="zh-CN"/>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Date"/>
    <w:basedOn w:val="1"/>
    <w:next w:val="1"/>
    <w:qFormat/>
    <w:uiPriority w:val="0"/>
    <w:pPr>
      <w:snapToGrid w:val="0"/>
      <w:spacing w:line="300" w:lineRule="auto"/>
    </w:pPr>
    <w:rPr>
      <w:rFonts w:ascii="Calibri" w:hAnsi="Calibri" w:eastAsia="楷体_GB2312" w:cs="Times New Roman"/>
      <w:szCs w:val="22"/>
    </w:rPr>
  </w:style>
  <w:style w:type="paragraph" w:styleId="4">
    <w:name w:val="footer"/>
    <w:basedOn w:val="1"/>
    <w:next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Hyperlink"/>
    <w:basedOn w:val="8"/>
    <w:qFormat/>
    <w:uiPriority w:val="0"/>
    <w:rPr>
      <w:color w:val="0000FF"/>
      <w:u w:val="single"/>
    </w:rPr>
  </w:style>
  <w:style w:type="paragraph" w:customStyle="1" w:styleId="11">
    <w:name w:val="Date"/>
    <w:basedOn w:val="1"/>
    <w:next w:val="1"/>
    <w:qFormat/>
    <w:uiPriority w:val="0"/>
    <w:pPr>
      <w:snapToGrid w:val="0"/>
      <w:spacing w:line="300" w:lineRule="auto"/>
    </w:pPr>
    <w:rPr>
      <w:rFonts w:ascii="Times New Roman" w:hAnsi="Times New Roman" w:eastAsia="楷体_GB2312" w:cs="Times New Roman"/>
      <w:sz w:val="32"/>
      <w:szCs w:val="20"/>
    </w:rPr>
  </w:style>
  <w:style w:type="paragraph" w:customStyle="1" w:styleId="12">
    <w:name w:val="HTML 预设格式 Char"/>
    <w:basedOn w:val="1"/>
    <w:qFormat/>
    <w:uiPriority w:val="0"/>
    <w:pPr>
      <w:widowControl/>
      <w:spacing w:before="0" w:beforeAutospacing="0" w:after="0" w:afterAutospacing="0"/>
      <w:ind w:left="0" w:right="0"/>
      <w:jc w:val="left"/>
    </w:pPr>
    <w:rPr>
      <w:rFonts w:hint="eastAsia" w:ascii="宋体" w:hAnsi="宋体" w:eastAsia="宋体" w:cs="宋体"/>
      <w:kern w:val="0"/>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2016-12-29T07:37:00Z</dcterms:created>
  <dc:creator>Win</dc:creator>
  <cp:lastModifiedBy>湖人进季后赛了吗</cp:lastModifiedBy>
  <cp:lastPrinted>2021-08-04T23:53:00Z</cp:lastPrinted>
  <dcterms:modified xsi:type="dcterms:W3CDTF">2021-08-19T07:41:23Z</dcterms:modified>
  <dc:title>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113B6C90412946DFB43610C11E242F5B</vt:lpwstr>
  </property>
</Properties>
</file>