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autoSpaceDE/>
        <w:autoSpaceDN/>
        <w:bidi w:val="0"/>
        <w:adjustRightInd/>
        <w:spacing w:line="57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autoSpaceDE/>
        <w:autoSpaceDN/>
        <w:bidi w:val="0"/>
        <w:adjustRightInd/>
        <w:spacing w:line="57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0"/>
        <w:rPr>
          <w:rFonts w:hint="eastAsia" w:ascii="宋体" w:hAnsi="宋体" w:eastAsia="宋体" w:cs="宋体"/>
          <w:b/>
          <w:bCs/>
          <w:kern w:val="0"/>
          <w:sz w:val="44"/>
          <w:szCs w:val="44"/>
        </w:rPr>
      </w:pPr>
      <w:r>
        <w:rPr>
          <w:rFonts w:hint="eastAsia" w:ascii="宋体" w:hAnsi="宋体" w:eastAsia="宋体" w:cs="宋体"/>
          <w:b/>
          <w:bCs/>
          <w:kern w:val="0"/>
          <w:sz w:val="44"/>
          <w:szCs w:val="44"/>
        </w:rPr>
        <w:t>银川市公共餐饮具卫生管理条例</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outlineLvl w:val="9"/>
        <w:rPr>
          <w:rFonts w:hint="eastAsia" w:ascii="宋体" w:hAnsi="宋体"/>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622" w:leftChars="296" w:right="645" w:rightChars="307" w:firstLine="16" w:firstLineChars="5"/>
        <w:jc w:val="both"/>
        <w:textAlignment w:val="auto"/>
        <w:outlineLvl w:val="9"/>
        <w:rPr>
          <w:rFonts w:ascii="楷体_GB2312" w:eastAsia="楷体_GB2312"/>
          <w:sz w:val="32"/>
          <w:szCs w:val="32"/>
        </w:rPr>
      </w:pPr>
      <w:r>
        <w:rPr>
          <w:rFonts w:hint="eastAsia" w:ascii="楷体_GB2312" w:hAnsi="楷体_GB2312" w:eastAsia="楷体_GB2312" w:cs="楷体_GB2312"/>
          <w:sz w:val="32"/>
          <w:szCs w:val="32"/>
          <w:lang w:eastAsia="zh-CN"/>
        </w:rPr>
        <w:t>（2008年10月23日银川市第十三届人民代表大会常务委员会第七次会议通过  2008年11月28日宁夏回族自治区第十届人民代表大会常务委员会第六次会议批准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eastAsia="zh-CN"/>
        </w:rPr>
        <w:t>2021年9月7日</w:t>
      </w:r>
      <w:r>
        <w:rPr>
          <w:rFonts w:hint="eastAsia" w:ascii="楷体_GB2312" w:hAnsi="楷体_GB2312" w:eastAsia="楷体_GB2312" w:cs="楷体_GB2312"/>
          <w:sz w:val="32"/>
          <w:szCs w:val="32"/>
          <w:lang w:eastAsia="zh-CN"/>
        </w:rPr>
        <w:t>银川市第十五届人民代表大会常务委员会第三十</w:t>
      </w:r>
      <w:r>
        <w:rPr>
          <w:rFonts w:hint="eastAsia" w:ascii="楷体_GB2312" w:hAnsi="楷体_GB2312" w:eastAsia="楷体_GB2312" w:cs="楷体_GB2312"/>
          <w:sz w:val="32"/>
          <w:szCs w:val="32"/>
          <w:lang w:val="en-US" w:eastAsia="zh-CN"/>
        </w:rPr>
        <w:t>九</w:t>
      </w:r>
      <w:r>
        <w:rPr>
          <w:rFonts w:hint="eastAsia" w:ascii="楷体_GB2312" w:hAnsi="楷体_GB2312" w:eastAsia="楷体_GB2312" w:cs="楷体_GB2312"/>
          <w:sz w:val="32"/>
          <w:szCs w:val="32"/>
          <w:lang w:eastAsia="zh-CN"/>
        </w:rPr>
        <w:t>次会议通过并</w:t>
      </w:r>
      <w:r>
        <w:rPr>
          <w:rFonts w:hint="eastAsia" w:ascii="楷体_GB2312" w:hAnsi="楷体_GB2312" w:eastAsia="楷体_GB2312" w:cs="楷体_GB2312"/>
          <w:sz w:val="32"/>
          <w:szCs w:val="32"/>
          <w:lang w:val="en-US" w:eastAsia="zh-CN"/>
        </w:rPr>
        <w:t>经</w:t>
      </w:r>
      <w:r>
        <w:rPr>
          <w:rFonts w:hint="eastAsia" w:ascii="楷体_GB2312" w:hAnsi="楷体_GB2312" w:eastAsia="楷体_GB2312" w:cs="楷体_GB2312"/>
          <w:sz w:val="32"/>
          <w:szCs w:val="32"/>
          <w:lang w:eastAsia="zh-CN"/>
        </w:rPr>
        <w:t>2021年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24</w:t>
      </w:r>
      <w:r>
        <w:rPr>
          <w:rFonts w:hint="eastAsia" w:ascii="楷体_GB2312" w:hAnsi="楷体_GB2312" w:eastAsia="楷体_GB2312" w:cs="楷体_GB2312"/>
          <w:sz w:val="32"/>
          <w:szCs w:val="32"/>
          <w:lang w:eastAsia="zh-CN"/>
        </w:rPr>
        <w:t>日宁夏回族自治区第十二届人民代表大会常务委员会第二十</w:t>
      </w:r>
      <w:r>
        <w:rPr>
          <w:rFonts w:hint="eastAsia" w:ascii="楷体_GB2312" w:hAnsi="楷体_GB2312" w:eastAsia="楷体_GB2312" w:cs="楷体_GB2312"/>
          <w:sz w:val="32"/>
          <w:szCs w:val="32"/>
          <w:lang w:val="en-US" w:eastAsia="zh-CN"/>
        </w:rPr>
        <w:t>九</w:t>
      </w:r>
      <w:r>
        <w:rPr>
          <w:rFonts w:hint="eastAsia" w:ascii="楷体_GB2312" w:hAnsi="楷体_GB2312" w:eastAsia="楷体_GB2312" w:cs="楷体_GB2312"/>
          <w:sz w:val="32"/>
          <w:szCs w:val="32"/>
          <w:lang w:eastAsia="zh-CN"/>
        </w:rPr>
        <w:t>次会议批准的《银川市人民代表大会常务委员会关于修改</w:t>
      </w:r>
      <w:r>
        <w:rPr>
          <w:rFonts w:hint="eastAsia" w:ascii="楷体_GB2312" w:hAnsi="楷体_GB2312" w:eastAsia="楷体_GB2312" w:cs="楷体_GB2312"/>
          <w:sz w:val="32"/>
          <w:szCs w:val="32"/>
          <w:lang w:val="en-US" w:eastAsia="zh-CN"/>
        </w:rPr>
        <w:t>〈银川市学生校外就餐休息场所卫生管理条例〉等六件地方性法规的决定</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修正</w:t>
      </w:r>
      <w:r>
        <w:rPr>
          <w:rFonts w:hint="eastAsia" w:ascii="楷体_GB2312" w:eastAsia="楷体_GB2312"/>
          <w:sz w:val="32"/>
          <w:szCs w:val="32"/>
        </w:rPr>
        <w:t>）</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464" w:leftChars="221" w:right="426" w:rightChars="203"/>
        <w:jc w:val="both"/>
        <w:textAlignment w:val="auto"/>
        <w:outlineLvl w:val="9"/>
        <w:rPr>
          <w:rFonts w:ascii="楷体_GB2312" w:eastAsia="楷体_GB2312"/>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right="426" w:rightChars="203"/>
        <w:jc w:val="center"/>
        <w:textAlignment w:val="auto"/>
        <w:outlineLvl w:val="9"/>
        <w:rPr>
          <w:rFonts w:hint="eastAsia" w:ascii="楷体_GB2312" w:eastAsia="楷体_GB2312"/>
          <w:sz w:val="32"/>
          <w:szCs w:val="32"/>
        </w:rPr>
      </w:pPr>
      <w:r>
        <w:rPr>
          <w:rFonts w:hint="eastAsia" w:ascii="楷体_GB2312" w:eastAsia="楷体_GB2312"/>
          <w:sz w:val="32"/>
          <w:szCs w:val="32"/>
        </w:rPr>
        <w:t>目    录</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462" w:leftChars="220" w:right="426" w:rightChars="203" w:firstLine="176" w:firstLineChars="55"/>
        <w:jc w:val="both"/>
        <w:textAlignment w:val="auto"/>
        <w:outlineLvl w:val="0"/>
        <w:rPr>
          <w:rFonts w:hint="eastAsia" w:ascii="楷体_GB2312" w:eastAsia="楷体_GB2312"/>
          <w:sz w:val="32"/>
          <w:szCs w:val="32"/>
        </w:rPr>
      </w:pPr>
      <w:r>
        <w:rPr>
          <w:rFonts w:hint="eastAsia" w:ascii="楷体_GB2312" w:eastAsia="楷体_GB2312"/>
          <w:sz w:val="32"/>
          <w:szCs w:val="32"/>
        </w:rPr>
        <w:t>第一章  总则</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462" w:leftChars="220" w:firstLine="176" w:firstLineChars="55"/>
        <w:jc w:val="both"/>
        <w:textAlignment w:val="auto"/>
        <w:outlineLvl w:val="0"/>
        <w:rPr>
          <w:rFonts w:hint="eastAsia" w:ascii="楷体_GB2312" w:eastAsia="楷体_GB2312"/>
          <w:sz w:val="32"/>
          <w:szCs w:val="32"/>
        </w:rPr>
      </w:pPr>
      <w:r>
        <w:rPr>
          <w:rFonts w:hint="eastAsia" w:ascii="楷体_GB2312" w:eastAsia="楷体_GB2312"/>
          <w:sz w:val="32"/>
          <w:szCs w:val="32"/>
        </w:rPr>
        <w:t>第二章  餐饮业、公共场所公共餐饮具卫生管理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462" w:leftChars="220" w:firstLine="176" w:firstLineChars="55"/>
        <w:jc w:val="both"/>
        <w:textAlignment w:val="auto"/>
        <w:outlineLvl w:val="0"/>
        <w:rPr>
          <w:rFonts w:hint="eastAsia" w:ascii="楷体_GB2312" w:eastAsia="楷体_GB2312"/>
          <w:sz w:val="32"/>
          <w:szCs w:val="32"/>
        </w:rPr>
      </w:pPr>
      <w:r>
        <w:rPr>
          <w:rFonts w:hint="eastAsia" w:ascii="楷体_GB2312" w:eastAsia="楷体_GB2312"/>
          <w:sz w:val="32"/>
          <w:szCs w:val="32"/>
        </w:rPr>
        <w:t>第三章  集中式餐饮具消毒企业卫生管理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462" w:leftChars="220" w:firstLine="176" w:firstLineChars="55"/>
        <w:jc w:val="both"/>
        <w:textAlignment w:val="auto"/>
        <w:outlineLvl w:val="0"/>
        <w:rPr>
          <w:rFonts w:hint="eastAsia" w:ascii="楷体_GB2312" w:eastAsia="楷体_GB2312"/>
          <w:sz w:val="32"/>
          <w:szCs w:val="32"/>
        </w:rPr>
      </w:pPr>
      <w:r>
        <w:rPr>
          <w:rFonts w:hint="eastAsia" w:ascii="楷体_GB2312" w:eastAsia="楷体_GB2312"/>
          <w:sz w:val="32"/>
          <w:szCs w:val="32"/>
        </w:rPr>
        <w:t>第四章  监督管理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462" w:leftChars="220" w:firstLine="176" w:firstLineChars="55"/>
        <w:jc w:val="both"/>
        <w:textAlignment w:val="auto"/>
        <w:outlineLvl w:val="0"/>
        <w:rPr>
          <w:rFonts w:hint="eastAsia" w:ascii="楷体_GB2312" w:eastAsia="楷体_GB2312"/>
          <w:sz w:val="32"/>
          <w:szCs w:val="32"/>
        </w:rPr>
      </w:pPr>
      <w:r>
        <w:rPr>
          <w:rFonts w:hint="eastAsia" w:ascii="楷体_GB2312" w:eastAsia="楷体_GB2312"/>
          <w:sz w:val="32"/>
          <w:szCs w:val="32"/>
        </w:rPr>
        <w:t>第五章  法律责任</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462" w:leftChars="220" w:firstLine="176" w:firstLineChars="55"/>
        <w:jc w:val="both"/>
        <w:textAlignment w:val="auto"/>
        <w:outlineLvl w:val="0"/>
        <w:rPr>
          <w:rFonts w:hint="eastAsia" w:ascii="楷体_GB2312" w:eastAsia="楷体_GB2312"/>
          <w:sz w:val="32"/>
          <w:szCs w:val="32"/>
        </w:rPr>
      </w:pPr>
      <w:r>
        <w:rPr>
          <w:rFonts w:hint="eastAsia" w:ascii="楷体_GB2312" w:eastAsia="楷体_GB2312"/>
          <w:sz w:val="32"/>
          <w:szCs w:val="32"/>
        </w:rPr>
        <w:t>第六章  附则</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464" w:leftChars="221" w:right="426" w:rightChars="203"/>
        <w:jc w:val="both"/>
        <w:textAlignment w:val="auto"/>
        <w:outlineLvl w:val="9"/>
        <w:rPr>
          <w:rFonts w:hint="eastAsia" w:ascii="楷体_GB2312" w:eastAsia="楷体_GB2312"/>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jc w:val="center"/>
        <w:textAlignment w:val="auto"/>
        <w:outlineLvl w:val="0"/>
        <w:rPr>
          <w:rFonts w:hint="eastAsia" w:ascii="黑体" w:hAnsi="黑体" w:eastAsia="黑体"/>
          <w:b w:val="0"/>
          <w:bCs w:val="0"/>
          <w:sz w:val="32"/>
          <w:szCs w:val="32"/>
        </w:rPr>
      </w:pPr>
      <w:r>
        <w:rPr>
          <w:rFonts w:hint="eastAsia" w:ascii="黑体" w:hAnsi="黑体" w:eastAsia="黑体"/>
          <w:b w:val="0"/>
          <w:bCs w:val="0"/>
          <w:sz w:val="32"/>
          <w:szCs w:val="32"/>
        </w:rPr>
        <w:t>第一章  总则</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jc w:val="both"/>
        <w:textAlignment w:val="auto"/>
        <w:outlineLvl w:val="9"/>
        <w:rPr>
          <w:rFonts w:hint="eastAsia" w:ascii="仿宋_GB2312" w:eastAsia="仿宋_GB2312"/>
          <w:b w:val="0"/>
          <w:bCs w:val="0"/>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b w:val="0"/>
          <w:bCs w:val="0"/>
          <w:sz w:val="32"/>
          <w:szCs w:val="32"/>
        </w:rPr>
      </w:pPr>
      <w:r>
        <w:rPr>
          <w:rFonts w:hint="eastAsia" w:ascii="黑体" w:hAnsi="黑体" w:eastAsia="黑体"/>
          <w:b w:val="0"/>
          <w:bCs w:val="0"/>
          <w:sz w:val="32"/>
          <w:szCs w:val="32"/>
        </w:rPr>
        <w:t>第一条</w:t>
      </w:r>
      <w:r>
        <w:rPr>
          <w:rFonts w:hint="eastAsia" w:ascii="仿宋_GB2312" w:eastAsia="仿宋_GB2312"/>
          <w:b w:val="0"/>
          <w:bCs w:val="0"/>
          <w:sz w:val="32"/>
          <w:szCs w:val="32"/>
        </w:rPr>
        <w:t xml:space="preserve">  </w:t>
      </w:r>
      <w:r>
        <w:rPr>
          <w:rFonts w:hint="eastAsia" w:ascii="仿宋_GB2312" w:eastAsia="仿宋_GB2312" w:cs="Times New Roman"/>
          <w:b w:val="0"/>
          <w:bCs w:val="0"/>
          <w:sz w:val="32"/>
          <w:szCs w:val="32"/>
          <w:lang w:val="en-US" w:eastAsia="zh-CN"/>
        </w:rPr>
        <w:t>为加强公共餐饮具卫生管理，保证公共餐饮具卫生质量，防止传染病发生，保障人民身体健康，根据《中华人民共和国食品安全法》《中华人民共和国食品安全法实施条例》等法律、法规，结合本市实际，制定本条例。</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b w:val="0"/>
          <w:bCs w:val="0"/>
          <w:sz w:val="32"/>
          <w:szCs w:val="32"/>
        </w:rPr>
      </w:pPr>
      <w:r>
        <w:rPr>
          <w:rFonts w:hint="eastAsia" w:ascii="黑体" w:hAnsi="黑体" w:eastAsia="黑体"/>
          <w:b w:val="0"/>
          <w:bCs w:val="0"/>
          <w:sz w:val="32"/>
          <w:szCs w:val="32"/>
        </w:rPr>
        <w:t>第二条</w:t>
      </w:r>
      <w:r>
        <w:rPr>
          <w:rFonts w:hint="eastAsia" w:ascii="黑体" w:hAnsi="黑体" w:eastAsia="黑体"/>
          <w:b w:val="0"/>
          <w:bCs w:val="0"/>
          <w:sz w:val="32"/>
          <w:szCs w:val="32"/>
          <w:lang w:val="en-US" w:eastAsia="zh-CN"/>
        </w:rPr>
        <w:t xml:space="preserve">  </w:t>
      </w:r>
      <w:r>
        <w:rPr>
          <w:rFonts w:hint="eastAsia" w:ascii="仿宋_GB2312" w:eastAsia="仿宋_GB2312" w:cs="Times New Roman"/>
          <w:b w:val="0"/>
          <w:bCs w:val="0"/>
          <w:sz w:val="32"/>
          <w:szCs w:val="32"/>
          <w:lang w:val="en-US" w:eastAsia="zh-CN"/>
        </w:rPr>
        <w:t>本条例适用于本市行政区域内公共餐饮具的清洗、消毒、使用和管理。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b w:val="0"/>
          <w:bCs w:val="0"/>
          <w:sz w:val="32"/>
          <w:szCs w:val="32"/>
        </w:rPr>
        <w:t>第三条</w:t>
      </w:r>
      <w:r>
        <w:rPr>
          <w:rFonts w:hint="eastAsia" w:ascii="仿宋_GB2312" w:eastAsia="仿宋_GB2312"/>
          <w:b w:val="0"/>
          <w:bCs w:val="0"/>
          <w:sz w:val="32"/>
          <w:szCs w:val="32"/>
        </w:rPr>
        <w:t>　</w:t>
      </w:r>
      <w:r>
        <w:rPr>
          <w:rFonts w:hint="eastAsia" w:ascii="仿宋_GB2312" w:eastAsia="仿宋_GB2312" w:cs="Times New Roman"/>
          <w:b w:val="0"/>
          <w:bCs w:val="0"/>
          <w:sz w:val="32"/>
          <w:szCs w:val="32"/>
          <w:lang w:val="en-US" w:eastAsia="zh-CN"/>
        </w:rPr>
        <w:t>市、县（市）区卫生健康主管部门负责公共餐饮具集中消毒服务单位集中消毒的监督管理工作。</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市、县（市）区市场监督管理部门负责餐饮服务提供者公共餐饮具消毒的监督管理工作。</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lang w:val="en-US" w:eastAsia="zh-CN"/>
        </w:rPr>
        <w:t>卫生监督机构受本级卫生健康主管部门委托，具体负责本辖区内公共餐饮具卫生的日常监督管理工作。</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b w:val="0"/>
          <w:bCs w:val="0"/>
          <w:sz w:val="32"/>
          <w:szCs w:val="32"/>
        </w:rPr>
        <w:t>第四条</w:t>
      </w:r>
      <w:r>
        <w:rPr>
          <w:rFonts w:hint="eastAsia" w:ascii="仿宋_GB2312" w:eastAsia="仿宋_GB2312"/>
          <w:b w:val="0"/>
          <w:bCs w:val="0"/>
          <w:sz w:val="32"/>
          <w:szCs w:val="32"/>
        </w:rPr>
        <w:t xml:space="preserve">  </w:t>
      </w:r>
      <w:r>
        <w:rPr>
          <w:rFonts w:hint="eastAsia" w:ascii="仿宋_GB2312" w:eastAsia="仿宋_GB2312" w:cs="Times New Roman"/>
          <w:b w:val="0"/>
          <w:bCs w:val="0"/>
          <w:sz w:val="32"/>
          <w:szCs w:val="32"/>
          <w:lang w:val="en-US" w:eastAsia="zh-CN"/>
        </w:rPr>
        <w:t>对违反本条例的行为，任何单位和个人都有权检举和控告。</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jc w:val="both"/>
        <w:textAlignment w:val="auto"/>
        <w:outlineLvl w:val="9"/>
        <w:rPr>
          <w:rFonts w:hint="eastAsia" w:ascii="仿宋_GB2312" w:eastAsia="仿宋_GB2312"/>
          <w:b w:val="0"/>
          <w:bCs w:val="0"/>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jc w:val="center"/>
        <w:textAlignment w:val="auto"/>
        <w:outlineLvl w:val="0"/>
        <w:rPr>
          <w:rFonts w:hint="eastAsia" w:ascii="黑体" w:hAnsi="黑体" w:eastAsia="黑体"/>
          <w:b w:val="0"/>
          <w:bCs w:val="0"/>
          <w:sz w:val="32"/>
          <w:szCs w:val="32"/>
        </w:rPr>
      </w:pPr>
      <w:r>
        <w:rPr>
          <w:rFonts w:hint="eastAsia" w:ascii="黑体" w:hAnsi="黑体" w:eastAsia="黑体"/>
          <w:b w:val="0"/>
          <w:bCs w:val="0"/>
          <w:sz w:val="32"/>
          <w:szCs w:val="32"/>
        </w:rPr>
        <w:t>第二章  餐饮业、公共场所公共餐饮具卫生管理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b w:val="0"/>
          <w:bCs w:val="0"/>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b w:val="0"/>
          <w:bCs w:val="0"/>
          <w:sz w:val="32"/>
          <w:szCs w:val="32"/>
        </w:rPr>
        <w:t>第五条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val="en-US" w:eastAsia="zh-CN"/>
        </w:rPr>
        <w:t xml:space="preserve"> </w:t>
      </w:r>
      <w:r>
        <w:rPr>
          <w:rFonts w:hint="eastAsia" w:ascii="仿宋_GB2312" w:eastAsia="仿宋_GB2312" w:cs="Times New Roman"/>
          <w:b w:val="0"/>
          <w:bCs w:val="0"/>
          <w:sz w:val="32"/>
          <w:szCs w:val="32"/>
          <w:lang w:val="en-US" w:eastAsia="zh-CN"/>
        </w:rPr>
        <w:t>餐饮业、公共场所为公众提供的公共餐饮具应当符合相关食品安全国家标准，不得提供未经消毒或消毒效果达不到食品安全国家标准的公共餐饮具。</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b w:val="0"/>
          <w:bCs w:val="0"/>
          <w:sz w:val="32"/>
          <w:szCs w:val="32"/>
        </w:rPr>
        <w:t>第六条</w:t>
      </w:r>
      <w:r>
        <w:rPr>
          <w:rFonts w:hint="eastAsia" w:ascii="仿宋_GB2312" w:eastAsia="仿宋_GB2312"/>
          <w:b w:val="0"/>
          <w:bCs w:val="0"/>
          <w:sz w:val="32"/>
          <w:szCs w:val="32"/>
        </w:rPr>
        <w:t xml:space="preserve">  </w:t>
      </w:r>
      <w:r>
        <w:rPr>
          <w:rFonts w:hint="eastAsia" w:ascii="仿宋_GB2312" w:eastAsia="仿宋_GB2312" w:cs="Times New Roman"/>
          <w:b w:val="0"/>
          <w:bCs w:val="0"/>
          <w:sz w:val="32"/>
          <w:szCs w:val="32"/>
          <w:lang w:val="en-US" w:eastAsia="zh-CN"/>
        </w:rPr>
        <w:t>餐饮业、公共场所自行清洗、消毒公共餐饮具的，应当具备下列条件：</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（一）设有专（兼）职卫生管理人员，建立公共餐饮具清洗、消毒、保洁制度；</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（二）具有与公共餐饮具清洗、消毒规模相适应的场所、设施，其地面、墙面应当防水、防潮，易于清洗，污水按规定排放；</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（三）配备最大接待量3倍以上的公共餐饮具；</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（四）清洗、消毒设施的大小和数量应当能够满足需要；</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（五）公共餐饮具清洗消毒设施应当专用，水池应当使用不锈钢或陶瓷等不透水、不易积垢并易于清洗的无毒、防腐蚀材料。采用化学方式消毒的，至少设有3个专用水池，各类水池应当以明显标识标明其用途；</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（六）采用自动清洗消毒设备的，设备上应当有温度显示和清洗消毒剂自动添加装置；</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（七）设有专供存放消毒后餐饮具的保洁设施，其结构应当密闭并易于清洁。</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eastAsia="仿宋_GB2312" w:cs="Times New Roman"/>
          <w:b w:val="0"/>
          <w:bCs w:val="0"/>
          <w:sz w:val="32"/>
          <w:szCs w:val="32"/>
          <w:lang w:val="en-US" w:eastAsia="zh-CN"/>
        </w:rPr>
        <w:t>公共餐饮具应当使用热力方法进行消毒，因材质、大小等原因无法采用的，可以使用化学方法消毒。</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b w:val="0"/>
          <w:bCs w:val="0"/>
          <w:sz w:val="32"/>
          <w:szCs w:val="32"/>
        </w:rPr>
        <w:t>第七条</w:t>
      </w:r>
      <w:r>
        <w:rPr>
          <w:rFonts w:hint="eastAsia" w:ascii="仿宋_GB2312" w:eastAsia="仿宋_GB2312"/>
          <w:b w:val="0"/>
          <w:bCs w:val="0"/>
          <w:sz w:val="32"/>
          <w:szCs w:val="32"/>
        </w:rPr>
        <w:t xml:space="preserve">  </w:t>
      </w:r>
      <w:r>
        <w:rPr>
          <w:rFonts w:hint="eastAsia" w:ascii="仿宋_GB2312" w:eastAsia="仿宋_GB2312" w:cs="Times New Roman"/>
          <w:b w:val="0"/>
          <w:bCs w:val="0"/>
          <w:sz w:val="32"/>
          <w:szCs w:val="32"/>
          <w:lang w:val="en-US" w:eastAsia="zh-CN"/>
        </w:rPr>
        <w:t>集体用餐单位用餐人员自备餐具的，单位应当设置公共餐饮具清洗、消毒区域，清洗、消毒设施的大小和数量应当能满足需要。</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b w:val="0"/>
          <w:bCs w:val="0"/>
          <w:sz w:val="32"/>
          <w:szCs w:val="32"/>
        </w:rPr>
      </w:pPr>
      <w:r>
        <w:rPr>
          <w:rFonts w:hint="eastAsia" w:ascii="黑体" w:hAnsi="黑体" w:eastAsia="黑体"/>
          <w:b w:val="0"/>
          <w:bCs w:val="0"/>
          <w:sz w:val="32"/>
          <w:szCs w:val="32"/>
        </w:rPr>
        <w:t>第八条</w:t>
      </w:r>
      <w:r>
        <w:rPr>
          <w:rFonts w:hint="eastAsia" w:ascii="仿宋_GB2312" w:eastAsia="仿宋_GB2312"/>
          <w:b w:val="0"/>
          <w:bCs w:val="0"/>
          <w:sz w:val="32"/>
          <w:szCs w:val="32"/>
        </w:rPr>
        <w:t xml:space="preserve">  </w:t>
      </w:r>
      <w:r>
        <w:rPr>
          <w:rFonts w:hint="eastAsia" w:ascii="仿宋_GB2312" w:eastAsia="仿宋_GB2312" w:cs="Times New Roman"/>
          <w:b w:val="0"/>
          <w:bCs w:val="0"/>
          <w:sz w:val="32"/>
          <w:szCs w:val="32"/>
          <w:lang w:val="en-US" w:eastAsia="zh-CN"/>
        </w:rPr>
        <w:t>餐饮业、公共场所不具备公共餐饮具清洗、消毒条件的，不得自行清洗、消毒餐饮具，应当使用集中式消毒餐饮具或一次性餐饮具。</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b w:val="0"/>
          <w:bCs w:val="0"/>
          <w:sz w:val="32"/>
          <w:szCs w:val="32"/>
        </w:rPr>
        <w:t>第九条</w:t>
      </w:r>
      <w:r>
        <w:rPr>
          <w:rFonts w:hint="eastAsia" w:ascii="仿宋_GB2312" w:eastAsia="仿宋_GB2312"/>
          <w:b w:val="0"/>
          <w:bCs w:val="0"/>
          <w:sz w:val="32"/>
          <w:szCs w:val="32"/>
        </w:rPr>
        <w:t xml:space="preserve">  </w:t>
      </w:r>
      <w:r>
        <w:rPr>
          <w:rFonts w:hint="eastAsia" w:ascii="仿宋_GB2312" w:eastAsia="仿宋_GB2312" w:cs="Times New Roman"/>
          <w:b w:val="0"/>
          <w:bCs w:val="0"/>
          <w:sz w:val="32"/>
          <w:szCs w:val="32"/>
          <w:lang w:val="en-US" w:eastAsia="zh-CN"/>
        </w:rPr>
        <w:t>使用集中式消毒餐饮具或一次性餐饮具的餐饮业和公共场所，应当设置专间（区）存放未使用的集中消毒餐饮具或一次性餐饮具；未使用时不得拆损包装，保证公共餐饮具不受二次污染。</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ascii="仿宋_GB2312" w:eastAsia="仿宋_GB2312"/>
          <w:b w:val="0"/>
          <w:bCs w:val="0"/>
          <w:sz w:val="32"/>
          <w:szCs w:val="32"/>
        </w:rPr>
      </w:pPr>
      <w:r>
        <w:rPr>
          <w:rFonts w:hint="eastAsia" w:ascii="仿宋_GB2312" w:eastAsia="仿宋_GB2312" w:cs="Times New Roman"/>
          <w:b w:val="0"/>
          <w:bCs w:val="0"/>
          <w:sz w:val="32"/>
          <w:szCs w:val="32"/>
          <w:lang w:val="en-US" w:eastAsia="zh-CN"/>
        </w:rPr>
        <w:t>集中式消毒餐饮具或一次性餐饮具，使用后不得自行清洗、消毒供公众使用。</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jc w:val="center"/>
        <w:textAlignment w:val="auto"/>
        <w:outlineLvl w:val="0"/>
        <w:rPr>
          <w:rFonts w:hint="eastAsia" w:ascii="黑体" w:hAnsi="黑体" w:eastAsia="黑体"/>
          <w:sz w:val="32"/>
          <w:szCs w:val="32"/>
        </w:rPr>
      </w:pPr>
      <w:r>
        <w:rPr>
          <w:rFonts w:hint="eastAsia" w:ascii="黑体" w:hAnsi="黑体" w:eastAsia="黑体"/>
          <w:sz w:val="32"/>
          <w:szCs w:val="32"/>
        </w:rPr>
        <w:t>第三章  集中式餐饮具消毒企业卫生管理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732" w:firstLineChars="229"/>
        <w:jc w:val="both"/>
        <w:textAlignment w:val="auto"/>
        <w:outlineLvl w:val="9"/>
        <w:rPr>
          <w:rFonts w:ascii="黑体" w:hAnsi="黑体" w:eastAsia="黑体"/>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732" w:firstLineChars="229"/>
        <w:jc w:val="both"/>
        <w:textAlignment w:val="auto"/>
        <w:outlineLvl w:val="9"/>
        <w:rPr>
          <w:rFonts w:hint="eastAsia" w:ascii="仿宋_GB2312" w:eastAsia="仿宋_GB2312"/>
          <w:sz w:val="32"/>
          <w:szCs w:val="32"/>
        </w:rPr>
      </w:pPr>
      <w:r>
        <w:rPr>
          <w:rFonts w:hint="eastAsia" w:ascii="黑体" w:hAnsi="黑体" w:eastAsia="黑体"/>
          <w:sz w:val="32"/>
          <w:szCs w:val="32"/>
        </w:rPr>
        <w:t>第十条</w:t>
      </w:r>
      <w:r>
        <w:rPr>
          <w:rFonts w:hint="eastAsia" w:ascii="黑体" w:hAnsi="黑体" w:eastAsia="黑体"/>
          <w:sz w:val="32"/>
          <w:szCs w:val="32"/>
          <w:lang w:val="en-US" w:eastAsia="zh-CN"/>
        </w:rPr>
        <w:t xml:space="preserve"> </w:t>
      </w:r>
      <w:r>
        <w:rPr>
          <w:rFonts w:hint="eastAsia" w:ascii="仿宋_GB2312" w:eastAsia="仿宋_GB2312" w:cs="Times New Roman"/>
          <w:b w:val="0"/>
          <w:bCs w:val="0"/>
          <w:sz w:val="32"/>
          <w:szCs w:val="32"/>
          <w:lang w:val="en-US" w:eastAsia="zh-CN"/>
        </w:rPr>
        <w:t xml:space="preserve"> 集中式公共餐饮具清洗、消毒企业（以下简称餐饮具消毒企业）实行卫生许可证制度。未取得卫生许可证的，不得从事集中式餐饮具的清洗、消毒、配送活动。</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sz w:val="32"/>
          <w:szCs w:val="32"/>
        </w:rPr>
        <w:t>第十一条</w:t>
      </w:r>
      <w:r>
        <w:rPr>
          <w:rFonts w:hint="eastAsia" w:ascii="仿宋_GB2312" w:eastAsia="仿宋_GB2312"/>
          <w:sz w:val="32"/>
          <w:szCs w:val="32"/>
        </w:rPr>
        <w:t xml:space="preserve">  </w:t>
      </w:r>
      <w:r>
        <w:rPr>
          <w:rFonts w:hint="eastAsia" w:ascii="仿宋_GB2312" w:eastAsia="仿宋_GB2312" w:cs="Times New Roman"/>
          <w:b w:val="0"/>
          <w:bCs w:val="0"/>
          <w:sz w:val="32"/>
          <w:szCs w:val="32"/>
          <w:lang w:val="en-US" w:eastAsia="zh-CN"/>
        </w:rPr>
        <w:t>餐饮具消毒企业办理卫生许可证应当具备以下条件：</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(一)选址、内外环境、厂房、设施、设备及工艺流程应当符合餐饮具集中消毒卫生规范的相关要求；</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 xml:space="preserve">(二)具有卫生组织机构、管理制度和经过职业培训的专（兼）职食品卫生管理人员；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(三)具有在工艺流程和生产加工过程中控制污染的条件和措施；</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(四)具有符合卫生要求的生产原料、辅助材料、工具、容器及包装物料；</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(五)具有能对产品进行卫生检测的机构、人员以及必要的仪器设备；</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b w:val="0"/>
          <w:bCs w:val="0"/>
          <w:sz w:val="32"/>
          <w:szCs w:val="32"/>
        </w:rPr>
      </w:pPr>
      <w:r>
        <w:rPr>
          <w:rFonts w:hint="eastAsia" w:ascii="仿宋_GB2312" w:eastAsia="仿宋_GB2312" w:cs="Times New Roman"/>
          <w:b w:val="0"/>
          <w:bCs w:val="0"/>
          <w:sz w:val="32"/>
          <w:szCs w:val="32"/>
          <w:lang w:val="en-US" w:eastAsia="zh-CN"/>
        </w:rPr>
        <w:t>(六)具有符合国家《生活饮用水卫生标准》的生产用水。</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cs="Times New Roman"/>
          <w:b w:val="0"/>
          <w:bCs w:val="0"/>
          <w:sz w:val="32"/>
          <w:szCs w:val="32"/>
        </w:rPr>
        <w:t>第十</w:t>
      </w:r>
      <w:r>
        <w:rPr>
          <w:rFonts w:hint="eastAsia" w:ascii="黑体" w:hAnsi="黑体" w:eastAsia="黑体" w:cs="Times New Roman"/>
          <w:b w:val="0"/>
          <w:bCs w:val="0"/>
          <w:sz w:val="32"/>
          <w:szCs w:val="32"/>
          <w:lang w:val="en-US" w:eastAsia="zh-CN"/>
        </w:rPr>
        <w:t>二</w:t>
      </w:r>
      <w:r>
        <w:rPr>
          <w:rFonts w:hint="eastAsia" w:ascii="黑体" w:hAnsi="黑体" w:eastAsia="黑体" w:cs="Times New Roman"/>
          <w:b w:val="0"/>
          <w:bCs w:val="0"/>
          <w:sz w:val="32"/>
          <w:szCs w:val="32"/>
        </w:rPr>
        <w:t>条</w:t>
      </w:r>
      <w:r>
        <w:rPr>
          <w:rFonts w:hint="eastAsia" w:ascii="仿宋_GB2312" w:eastAsia="仿宋_GB2312" w:cs="Times New Roman"/>
          <w:b w:val="0"/>
          <w:bCs w:val="0"/>
          <w:sz w:val="32"/>
        </w:rPr>
        <w:t xml:space="preserve">  </w:t>
      </w:r>
      <w:r>
        <w:rPr>
          <w:rFonts w:hint="eastAsia" w:ascii="仿宋_GB2312" w:eastAsia="仿宋_GB2312" w:cs="Times New Roman"/>
          <w:b w:val="0"/>
          <w:bCs w:val="0"/>
          <w:sz w:val="32"/>
          <w:szCs w:val="32"/>
          <w:lang w:val="en-US" w:eastAsia="zh-CN"/>
        </w:rPr>
        <w:t>餐饮具消毒企业在从事餐饮具清洗、消毒、配送活动前，应当向市卫生健康主管部门提交申请书和本条例第十一条规定的有关资料。市卫生健康主管部门应当自受理申请书之日起十五个工作日内完成审查核实工作，经审查合格的，予以颁发卫生许可证；经审查不合格，不予颁发卫生许可证的，应当书面通知申请单位，并说明理由。</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rPr>
      </w:pPr>
      <w:r>
        <w:rPr>
          <w:rFonts w:hint="eastAsia" w:ascii="仿宋_GB2312" w:eastAsia="仿宋_GB2312" w:cs="Times New Roman"/>
          <w:b w:val="0"/>
          <w:bCs w:val="0"/>
          <w:sz w:val="32"/>
          <w:szCs w:val="32"/>
          <w:lang w:val="en-US" w:eastAsia="zh-CN"/>
        </w:rPr>
        <w:t>卫生许可证有效期为四年。</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cs="Times New Roman"/>
          <w:b w:val="0"/>
          <w:bCs w:val="0"/>
          <w:sz w:val="32"/>
          <w:szCs w:val="32"/>
        </w:rPr>
        <w:t>第十</w:t>
      </w:r>
      <w:r>
        <w:rPr>
          <w:rFonts w:hint="eastAsia" w:ascii="黑体" w:hAnsi="黑体" w:eastAsia="黑体" w:cs="Times New Roman"/>
          <w:b w:val="0"/>
          <w:bCs w:val="0"/>
          <w:sz w:val="32"/>
          <w:szCs w:val="32"/>
          <w:lang w:val="en-US" w:eastAsia="zh-CN"/>
        </w:rPr>
        <w:t>三</w:t>
      </w:r>
      <w:r>
        <w:rPr>
          <w:rFonts w:hint="eastAsia" w:ascii="黑体" w:hAnsi="黑体" w:eastAsia="黑体" w:cs="Times New Roman"/>
          <w:b w:val="0"/>
          <w:bCs w:val="0"/>
          <w:sz w:val="32"/>
          <w:szCs w:val="32"/>
        </w:rPr>
        <w:t>条</w:t>
      </w:r>
      <w:r>
        <w:rPr>
          <w:rFonts w:hint="eastAsia" w:ascii="仿宋_GB2312" w:eastAsia="仿宋_GB2312" w:cs="Times New Roman"/>
          <w:b w:val="0"/>
          <w:bCs w:val="0"/>
          <w:sz w:val="32"/>
        </w:rPr>
        <w:t xml:space="preserve">  </w:t>
      </w:r>
      <w:r>
        <w:rPr>
          <w:rFonts w:hint="eastAsia" w:ascii="仿宋_GB2312" w:eastAsia="仿宋_GB2312" w:cs="Times New Roman"/>
          <w:b w:val="0"/>
          <w:bCs w:val="0"/>
          <w:sz w:val="32"/>
          <w:szCs w:val="32"/>
          <w:lang w:val="en-US" w:eastAsia="zh-CN"/>
        </w:rPr>
        <w:t>餐饮具消毒企业需要延续卫生许可证的，应当在卫生许可证有效期届满前60日内向原发证机关提出申请。</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同意延续卫生许可证的，原编号不变，有效期为四年。</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逾期提出延续申请的，按新申请卫生许可证办理。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b w:val="0"/>
          <w:bCs w:val="0"/>
          <w:sz w:val="32"/>
          <w:szCs w:val="32"/>
        </w:rPr>
      </w:pPr>
      <w:r>
        <w:rPr>
          <w:rFonts w:hint="eastAsia" w:ascii="黑体" w:hAnsi="黑体" w:eastAsia="黑体"/>
          <w:b w:val="0"/>
          <w:bCs w:val="0"/>
          <w:sz w:val="32"/>
          <w:szCs w:val="32"/>
        </w:rPr>
        <w:t>第十</w:t>
      </w:r>
      <w:r>
        <w:rPr>
          <w:rFonts w:hint="eastAsia" w:ascii="黑体" w:hAnsi="黑体" w:eastAsia="黑体"/>
          <w:b w:val="0"/>
          <w:bCs w:val="0"/>
          <w:sz w:val="32"/>
          <w:szCs w:val="32"/>
          <w:lang w:val="en-US" w:eastAsia="zh-CN"/>
        </w:rPr>
        <w:t>四</w:t>
      </w:r>
      <w:r>
        <w:rPr>
          <w:rFonts w:hint="eastAsia" w:ascii="黑体" w:hAnsi="黑体" w:eastAsia="黑体"/>
          <w:b w:val="0"/>
          <w:bCs w:val="0"/>
          <w:sz w:val="32"/>
          <w:szCs w:val="32"/>
        </w:rPr>
        <w:t>条</w:t>
      </w:r>
      <w:r>
        <w:rPr>
          <w:rFonts w:hint="eastAsia" w:ascii="黑体" w:hAnsi="黑体" w:eastAsia="黑体"/>
          <w:b w:val="0"/>
          <w:bCs w:val="0"/>
          <w:sz w:val="32"/>
          <w:szCs w:val="32"/>
          <w:lang w:val="en-US" w:eastAsia="zh-CN"/>
        </w:rPr>
        <w:t xml:space="preserve">  </w:t>
      </w:r>
      <w:r>
        <w:rPr>
          <w:rFonts w:hint="eastAsia" w:ascii="仿宋_GB2312" w:eastAsia="仿宋_GB2312" w:cs="Times New Roman"/>
          <w:b w:val="0"/>
          <w:bCs w:val="0"/>
          <w:sz w:val="32"/>
          <w:szCs w:val="32"/>
          <w:lang w:val="en-US" w:eastAsia="zh-CN"/>
        </w:rPr>
        <w:t>餐饮具消毒企业自取得卫生许可证之日起每满一年，市卫生健康主管部门应当对其进行检测。经检测达不到卫生标准的，不得继续从事餐饮具的清洗、消毒、配送活动。</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b w:val="0"/>
          <w:bCs w:val="0"/>
          <w:sz w:val="32"/>
          <w:szCs w:val="32"/>
        </w:rPr>
        <w:t>第十</w:t>
      </w:r>
      <w:r>
        <w:rPr>
          <w:rFonts w:hint="eastAsia" w:ascii="黑体" w:hAnsi="黑体" w:eastAsia="黑体"/>
          <w:b w:val="0"/>
          <w:bCs w:val="0"/>
          <w:sz w:val="32"/>
          <w:szCs w:val="32"/>
          <w:lang w:val="en-US" w:eastAsia="zh-CN"/>
        </w:rPr>
        <w:t>五</w:t>
      </w:r>
      <w:r>
        <w:rPr>
          <w:rFonts w:hint="eastAsia" w:ascii="黑体" w:hAnsi="黑体" w:eastAsia="黑体"/>
          <w:b w:val="0"/>
          <w:bCs w:val="0"/>
          <w:sz w:val="32"/>
          <w:szCs w:val="32"/>
        </w:rPr>
        <w:t>条</w:t>
      </w:r>
      <w:r>
        <w:rPr>
          <w:rFonts w:hint="eastAsia" w:ascii="黑体" w:hAnsi="黑体" w:eastAsia="黑体"/>
          <w:b w:val="0"/>
          <w:bCs w:val="0"/>
          <w:sz w:val="32"/>
          <w:szCs w:val="32"/>
          <w:lang w:val="en-US" w:eastAsia="zh-CN"/>
        </w:rPr>
        <w:t xml:space="preserve">  </w:t>
      </w:r>
      <w:r>
        <w:rPr>
          <w:rFonts w:hint="eastAsia" w:ascii="仿宋_GB2312" w:eastAsia="仿宋_GB2312" w:cs="Times New Roman"/>
          <w:b w:val="0"/>
          <w:bCs w:val="0"/>
          <w:sz w:val="32"/>
          <w:szCs w:val="32"/>
          <w:lang w:val="en-US" w:eastAsia="zh-CN"/>
        </w:rPr>
        <w:t>餐饮具消毒企业在生产、贮存、配送过程中应当遵守下列规定：</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（一）保持内外环境整洁，具有消除苍蝇、老鼠、蟑螂和其他有害昆虫及其孳生条件的措施，与厕所、垃圾堆放、有毒、有害场所保持规定的距离；</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b w:val="0"/>
          <w:bCs w:val="0"/>
          <w:sz w:val="32"/>
          <w:szCs w:val="32"/>
        </w:rPr>
      </w:pPr>
      <w:r>
        <w:rPr>
          <w:rFonts w:hint="eastAsia" w:ascii="仿宋_GB2312" w:eastAsia="仿宋_GB2312" w:cs="Times New Roman"/>
          <w:b w:val="0"/>
          <w:bCs w:val="0"/>
          <w:sz w:val="32"/>
          <w:szCs w:val="32"/>
          <w:lang w:val="en-US" w:eastAsia="zh-CN"/>
        </w:rPr>
        <w:t>（二）包装、贮存、运输和装卸餐饮具的容器、工具、设备及场所安全、无害，保持清洁；</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（三）从业人员应当保持个人卫生，生产、加工时，应当将手洗净，穿戴清洁的工作衣、帽；</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lang w:val="en-US" w:eastAsia="zh-CN"/>
        </w:rPr>
        <w:t>（四）</w:t>
      </w:r>
      <w:r>
        <w:rPr>
          <w:rFonts w:hint="default" w:ascii="仿宋_GB2312" w:eastAsia="仿宋_GB2312" w:cs="Times New Roman"/>
          <w:b w:val="0"/>
          <w:bCs w:val="0"/>
          <w:sz w:val="32"/>
          <w:szCs w:val="32"/>
          <w:lang w:val="en-US" w:eastAsia="zh-CN"/>
        </w:rPr>
        <w:t>用水和使用的洗涤剂、消毒剂应当符合相关食品安全国家标准和其他国家标准、卫生规范。</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b w:val="0"/>
          <w:bCs w:val="0"/>
          <w:sz w:val="32"/>
          <w:szCs w:val="32"/>
        </w:rPr>
        <w:t>第十</w:t>
      </w:r>
      <w:r>
        <w:rPr>
          <w:rFonts w:hint="eastAsia" w:ascii="黑体" w:hAnsi="黑体" w:eastAsia="黑体"/>
          <w:b w:val="0"/>
          <w:bCs w:val="0"/>
          <w:sz w:val="32"/>
          <w:szCs w:val="32"/>
          <w:lang w:val="en-US" w:eastAsia="zh-CN"/>
        </w:rPr>
        <w:t>六</w:t>
      </w:r>
      <w:r>
        <w:rPr>
          <w:rFonts w:hint="eastAsia" w:ascii="黑体" w:hAnsi="黑体" w:eastAsia="黑体"/>
          <w:b w:val="0"/>
          <w:bCs w:val="0"/>
          <w:sz w:val="32"/>
          <w:szCs w:val="32"/>
        </w:rPr>
        <w:t xml:space="preserve">条 </w:t>
      </w:r>
      <w:r>
        <w:rPr>
          <w:rFonts w:hint="eastAsia" w:ascii="仿宋_GB2312" w:eastAsia="仿宋_GB2312"/>
          <w:b w:val="0"/>
          <w:bCs w:val="0"/>
          <w:sz w:val="32"/>
          <w:szCs w:val="32"/>
        </w:rPr>
        <w:t xml:space="preserve"> </w:t>
      </w:r>
      <w:r>
        <w:rPr>
          <w:rFonts w:hint="eastAsia" w:ascii="仿宋_GB2312" w:eastAsia="仿宋_GB2312" w:cs="Times New Roman"/>
          <w:b w:val="0"/>
          <w:bCs w:val="0"/>
          <w:sz w:val="32"/>
          <w:szCs w:val="32"/>
          <w:lang w:val="en-US" w:eastAsia="zh-CN"/>
        </w:rPr>
        <w:t>餐饮具消毒企业应当对消毒后的集中式消毒餐饮具进行密封包装，包装材料应当符合食品卫生标准，外包装上应当有明显标识，标明清洗消毒单位名称、地址、消毒日期、使用期限等。</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b w:val="0"/>
          <w:bCs w:val="0"/>
          <w:sz w:val="32"/>
          <w:szCs w:val="32"/>
        </w:rPr>
        <w:t>第十</w:t>
      </w:r>
      <w:r>
        <w:rPr>
          <w:rFonts w:hint="eastAsia" w:ascii="黑体" w:hAnsi="黑体" w:eastAsia="黑体"/>
          <w:b w:val="0"/>
          <w:bCs w:val="0"/>
          <w:sz w:val="32"/>
          <w:szCs w:val="32"/>
          <w:lang w:val="en-US" w:eastAsia="zh-CN"/>
        </w:rPr>
        <w:t>七</w:t>
      </w:r>
      <w:r>
        <w:rPr>
          <w:rFonts w:hint="eastAsia" w:ascii="黑体" w:hAnsi="黑体" w:eastAsia="黑体"/>
          <w:b w:val="0"/>
          <w:bCs w:val="0"/>
          <w:sz w:val="32"/>
          <w:szCs w:val="32"/>
        </w:rPr>
        <w:t>条</w:t>
      </w:r>
      <w:r>
        <w:rPr>
          <w:rFonts w:hint="eastAsia" w:ascii="仿宋_GB2312" w:eastAsia="仿宋_GB2312"/>
          <w:b w:val="0"/>
          <w:bCs w:val="0"/>
          <w:sz w:val="32"/>
          <w:szCs w:val="32"/>
        </w:rPr>
        <w:t xml:space="preserve"> </w:t>
      </w:r>
      <w:r>
        <w:rPr>
          <w:rFonts w:hint="eastAsia" w:ascii="仿宋_GB2312" w:eastAsia="仿宋_GB2312" w:cs="Times New Roman"/>
          <w:b w:val="0"/>
          <w:bCs w:val="0"/>
          <w:sz w:val="32"/>
          <w:szCs w:val="32"/>
          <w:lang w:val="en-US" w:eastAsia="zh-CN"/>
        </w:rPr>
        <w:t xml:space="preserve"> 集中消毒、配送的餐饮具应当符合相关食品安全国家标准。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b w:val="0"/>
          <w:bCs w:val="0"/>
          <w:sz w:val="32"/>
          <w:szCs w:val="32"/>
        </w:rPr>
      </w:pPr>
      <w:r>
        <w:rPr>
          <w:rFonts w:hint="eastAsia" w:ascii="仿宋_GB2312" w:eastAsia="仿宋_GB2312" w:cs="Times New Roman"/>
          <w:b w:val="0"/>
          <w:bCs w:val="0"/>
          <w:sz w:val="32"/>
          <w:szCs w:val="32"/>
          <w:lang w:val="en-US" w:eastAsia="zh-CN"/>
        </w:rPr>
        <w:t>每批次的集中式消毒餐饮具须经检验合格后方可出厂。</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b w:val="0"/>
          <w:bCs w:val="0"/>
          <w:sz w:val="32"/>
          <w:szCs w:val="32"/>
        </w:rPr>
      </w:pPr>
      <w:r>
        <w:rPr>
          <w:rFonts w:hint="eastAsia" w:ascii="黑体" w:hAnsi="黑体" w:eastAsia="黑体"/>
          <w:b w:val="0"/>
          <w:bCs w:val="0"/>
          <w:sz w:val="32"/>
          <w:szCs w:val="32"/>
        </w:rPr>
        <w:t>第十</w:t>
      </w:r>
      <w:r>
        <w:rPr>
          <w:rFonts w:hint="eastAsia" w:ascii="黑体" w:hAnsi="黑体" w:eastAsia="黑体"/>
          <w:b w:val="0"/>
          <w:bCs w:val="0"/>
          <w:sz w:val="32"/>
          <w:szCs w:val="32"/>
          <w:lang w:val="en-US" w:eastAsia="zh-CN"/>
        </w:rPr>
        <w:t>八</w:t>
      </w:r>
      <w:r>
        <w:rPr>
          <w:rFonts w:hint="eastAsia" w:ascii="黑体" w:hAnsi="黑体" w:eastAsia="黑体"/>
          <w:b w:val="0"/>
          <w:bCs w:val="0"/>
          <w:sz w:val="32"/>
          <w:szCs w:val="32"/>
        </w:rPr>
        <w:t>条</w:t>
      </w:r>
      <w:r>
        <w:rPr>
          <w:rFonts w:hint="eastAsia" w:ascii="仿宋_GB2312" w:eastAsia="仿宋_GB2312"/>
          <w:b w:val="0"/>
          <w:bCs w:val="0"/>
          <w:sz w:val="32"/>
          <w:szCs w:val="32"/>
        </w:rPr>
        <w:t>　</w:t>
      </w:r>
      <w:r>
        <w:rPr>
          <w:rFonts w:hint="eastAsia" w:ascii="仿宋_GB2312" w:eastAsia="仿宋_GB2312" w:cs="Times New Roman"/>
          <w:b w:val="0"/>
          <w:bCs w:val="0"/>
          <w:sz w:val="32"/>
          <w:szCs w:val="32"/>
          <w:lang w:val="en-US" w:eastAsia="zh-CN"/>
        </w:rPr>
        <w:t>餐饮具消毒企业的从业人员应当进行健康检查，取得有效健康证后方可上岗从业。</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2698" w:firstLineChars="840"/>
        <w:jc w:val="both"/>
        <w:textAlignment w:val="auto"/>
        <w:outlineLvl w:val="9"/>
        <w:rPr>
          <w:rFonts w:hint="eastAsia" w:ascii="仿宋_GB2312" w:eastAsia="仿宋_GB2312"/>
          <w:b/>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jc w:val="center"/>
        <w:textAlignment w:val="auto"/>
        <w:outlineLvl w:val="0"/>
        <w:rPr>
          <w:rFonts w:hint="eastAsia" w:ascii="黑体" w:hAnsi="黑体" w:eastAsia="黑体"/>
          <w:sz w:val="32"/>
          <w:szCs w:val="32"/>
        </w:rPr>
      </w:pPr>
      <w:r>
        <w:rPr>
          <w:rFonts w:hint="eastAsia" w:ascii="黑体" w:hAnsi="黑体" w:eastAsia="黑体"/>
          <w:sz w:val="32"/>
          <w:szCs w:val="32"/>
        </w:rPr>
        <w:t>第四章  监督管理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2688" w:firstLineChars="840"/>
        <w:jc w:val="both"/>
        <w:textAlignment w:val="auto"/>
        <w:outlineLvl w:val="9"/>
        <w:rPr>
          <w:rFonts w:ascii="黑体" w:hAnsi="黑体" w:eastAsia="黑体"/>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sz w:val="32"/>
          <w:szCs w:val="32"/>
        </w:rPr>
        <w:t>第</w:t>
      </w:r>
      <w:r>
        <w:rPr>
          <w:rFonts w:hint="eastAsia" w:ascii="黑体" w:hAnsi="黑体" w:eastAsia="黑体"/>
          <w:sz w:val="32"/>
          <w:szCs w:val="32"/>
          <w:lang w:val="en-US" w:eastAsia="zh-CN"/>
        </w:rPr>
        <w:t>十九</w:t>
      </w:r>
      <w:r>
        <w:rPr>
          <w:rFonts w:hint="eastAsia" w:ascii="黑体" w:hAnsi="黑体" w:eastAsia="黑体"/>
          <w:sz w:val="32"/>
          <w:szCs w:val="32"/>
        </w:rPr>
        <w:t>条</w:t>
      </w:r>
      <w:r>
        <w:rPr>
          <w:rFonts w:hint="eastAsia" w:ascii="仿宋_GB2312" w:eastAsia="仿宋_GB2312"/>
          <w:b w:val="0"/>
          <w:bCs w:val="0"/>
          <w:sz w:val="32"/>
          <w:szCs w:val="32"/>
        </w:rPr>
        <w:t xml:space="preserve"> </w:t>
      </w:r>
      <w:r>
        <w:rPr>
          <w:rFonts w:hint="eastAsia" w:ascii="仿宋_GB2312" w:eastAsia="仿宋_GB2312"/>
          <w:b w:val="0"/>
          <w:bCs w:val="0"/>
          <w:color w:val="FF0000"/>
          <w:sz w:val="32"/>
          <w:szCs w:val="32"/>
        </w:rPr>
        <w:t xml:space="preserve"> </w:t>
      </w:r>
      <w:r>
        <w:rPr>
          <w:rFonts w:hint="eastAsia" w:ascii="仿宋_GB2312" w:eastAsia="仿宋_GB2312" w:cs="Times New Roman"/>
          <w:b w:val="0"/>
          <w:bCs w:val="0"/>
          <w:sz w:val="32"/>
          <w:szCs w:val="32"/>
          <w:lang w:val="en-US" w:eastAsia="zh-CN"/>
        </w:rPr>
        <w:t>各级卫生健康主管部门、市场监督管理部门负责本辖区内公共餐饮具清洗消毒的监督、检测和技术指导：</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（一）负责公共餐饮具的检测，并定期向社会公布检测结果；</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（二）监督公共餐饮具清洗消毒人员定期进行健康检查；</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（三）对违反本条例的行为依法进行查处；</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（四）宣传公共餐饮具清洗消毒的卫生法律、法规和卫生知识，对公共餐饮具清洗消毒人员进行卫生法律、法规和卫生知识的培训；</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（五）设立投诉举报电话，受理投诉举报案件；</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（六）其他公共餐饮具卫生监督、管理事项。</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b w:val="0"/>
          <w:bCs w:val="0"/>
          <w:sz w:val="32"/>
          <w:szCs w:val="32"/>
        </w:rPr>
        <w:t>第二十条</w:t>
      </w:r>
      <w:r>
        <w:rPr>
          <w:rFonts w:hint="eastAsia" w:ascii="仿宋_GB2312" w:eastAsia="仿宋_GB2312"/>
          <w:b w:val="0"/>
          <w:bCs w:val="0"/>
          <w:sz w:val="32"/>
          <w:szCs w:val="32"/>
        </w:rPr>
        <w:t>　</w:t>
      </w:r>
      <w:r>
        <w:rPr>
          <w:rFonts w:hint="eastAsia" w:ascii="仿宋_GB2312" w:eastAsia="仿宋_GB2312" w:cs="Times New Roman"/>
          <w:b w:val="0"/>
          <w:bCs w:val="0"/>
          <w:sz w:val="32"/>
          <w:szCs w:val="32"/>
          <w:lang w:val="en-US" w:eastAsia="zh-CN"/>
        </w:rPr>
        <w:t>卫生健康主管部门、市场监督管理部门工作人员在进行卫生监督检查时，须有两人以上并出示工作证件。</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b w:val="0"/>
          <w:bCs w:val="0"/>
          <w:sz w:val="32"/>
          <w:szCs w:val="32"/>
        </w:rPr>
      </w:pPr>
      <w:r>
        <w:rPr>
          <w:rFonts w:hint="eastAsia" w:ascii="仿宋_GB2312" w:eastAsia="仿宋_GB2312" w:cs="Times New Roman"/>
          <w:b w:val="0"/>
          <w:bCs w:val="0"/>
          <w:sz w:val="32"/>
          <w:szCs w:val="32"/>
          <w:lang w:val="en-US" w:eastAsia="zh-CN"/>
        </w:rPr>
        <w:t>卫生健康主管部门、市场监督管理部门工作人员在进行卫生监督检查时，有权向餐饮业、公共场所、餐饮具消毒企业了解情况，索取必要的资料，进入生产、经营场所检查，按照规定进行采样。当事人不得拒绝或者隐瞒。卫生健康主管部门、市场监督管理部门工作人员对生产经营者提供的技术资料负有保密义务。</w:t>
      </w:r>
      <w:r>
        <w:rPr>
          <w:rFonts w:hint="eastAsia" w:ascii="仿宋_GB2312" w:eastAsia="仿宋_GB2312"/>
          <w:b w:val="0"/>
          <w:bCs w:val="0"/>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cs="Times New Roman"/>
          <w:b w:val="0"/>
          <w:bCs w:val="0"/>
          <w:sz w:val="32"/>
          <w:szCs w:val="32"/>
        </w:rPr>
        <w:t>第二十</w:t>
      </w:r>
      <w:r>
        <w:rPr>
          <w:rFonts w:hint="eastAsia" w:ascii="黑体" w:hAnsi="黑体" w:eastAsia="黑体" w:cs="Times New Roman"/>
          <w:b w:val="0"/>
          <w:bCs w:val="0"/>
          <w:sz w:val="32"/>
          <w:szCs w:val="32"/>
          <w:lang w:val="en-US" w:eastAsia="zh-CN"/>
        </w:rPr>
        <w:t>一</w:t>
      </w:r>
      <w:r>
        <w:rPr>
          <w:rFonts w:hint="eastAsia" w:ascii="黑体" w:hAnsi="黑体" w:eastAsia="黑体" w:cs="Times New Roman"/>
          <w:b w:val="0"/>
          <w:bCs w:val="0"/>
          <w:sz w:val="32"/>
          <w:szCs w:val="32"/>
        </w:rPr>
        <w:t>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卫生健康主管部门、市场监督管理部门及其工作人员应当秉公执法，忠于职守，不得利用职权谋取私利，并自觉接受社会和公众的监督。</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ascii="仿宋_GB2312" w:eastAsia="仿宋_GB2312"/>
          <w:b w:val="0"/>
          <w:bCs w:val="0"/>
          <w:sz w:val="32"/>
          <w:szCs w:val="32"/>
        </w:rPr>
      </w:pPr>
      <w:r>
        <w:rPr>
          <w:rFonts w:hint="eastAsia" w:ascii="仿宋_GB2312" w:eastAsia="仿宋_GB2312" w:cs="Times New Roman"/>
          <w:b w:val="0"/>
          <w:bCs w:val="0"/>
          <w:sz w:val="32"/>
          <w:szCs w:val="32"/>
          <w:lang w:val="en-US" w:eastAsia="zh-CN"/>
        </w:rPr>
        <w:t>卫生健康主管部门、市场监督管理部门应当依法建立健全内部监督制度，对其工作人员依据法定职权和程序履行职责的情况进行监督。</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仿宋_GB2312" w:eastAsia="仿宋_GB2312"/>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jc w:val="center"/>
        <w:textAlignment w:val="auto"/>
        <w:outlineLvl w:val="0"/>
        <w:rPr>
          <w:rFonts w:hint="eastAsia" w:ascii="黑体" w:hAnsi="黑体" w:eastAsia="黑体"/>
          <w:sz w:val="32"/>
          <w:szCs w:val="32"/>
        </w:rPr>
      </w:pPr>
      <w:r>
        <w:rPr>
          <w:rFonts w:hint="eastAsia" w:ascii="黑体" w:hAnsi="黑体" w:eastAsia="黑体"/>
          <w:sz w:val="32"/>
          <w:szCs w:val="32"/>
        </w:rPr>
        <w:t>第五章  法律责任</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right="0" w:rightChars="0" w:firstLine="562"/>
        <w:jc w:val="both"/>
        <w:textAlignment w:val="auto"/>
        <w:outlineLvl w:val="9"/>
        <w:rPr>
          <w:rFonts w:ascii="黑体" w:hAnsi="黑体" w:eastAsia="黑体"/>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sz w:val="32"/>
          <w:szCs w:val="32"/>
        </w:rPr>
        <w:t>第二十</w:t>
      </w:r>
      <w:r>
        <w:rPr>
          <w:rFonts w:hint="eastAsia" w:ascii="黑体" w:hAnsi="黑体" w:eastAsia="黑体"/>
          <w:sz w:val="32"/>
          <w:szCs w:val="32"/>
          <w:lang w:val="en-US" w:eastAsia="zh-CN"/>
        </w:rPr>
        <w:t>二</w:t>
      </w:r>
      <w:r>
        <w:rPr>
          <w:rFonts w:hint="eastAsia" w:ascii="黑体" w:hAnsi="黑体" w:eastAsia="黑体"/>
          <w:sz w:val="32"/>
          <w:szCs w:val="32"/>
        </w:rPr>
        <w:t>条</w:t>
      </w:r>
      <w:r>
        <w:rPr>
          <w:rFonts w:hint="eastAsia" w:ascii="仿宋_GB2312" w:eastAsia="仿宋_GB2312"/>
          <w:sz w:val="32"/>
          <w:szCs w:val="32"/>
        </w:rPr>
        <w:t xml:space="preserve">  </w:t>
      </w:r>
      <w:r>
        <w:rPr>
          <w:rFonts w:hint="eastAsia" w:ascii="仿宋_GB2312" w:eastAsia="仿宋_GB2312" w:cs="Times New Roman"/>
          <w:b w:val="0"/>
          <w:bCs w:val="0"/>
          <w:sz w:val="32"/>
          <w:szCs w:val="32"/>
          <w:lang w:val="en-US" w:eastAsia="zh-CN"/>
        </w:rPr>
        <w:t>违反本条例规定，有下列行为之一的，由市场监督管理部门责令改正，给予警告，并处以五百元以上二千元以下的罚款；拒不改正或者有其他严重情节的，责令停产停业:</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（一）不具备公共餐饮具清洗消毒条件的餐饮业、公共场所自行清洗、消毒公共餐饮具的；</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hAnsi="宋体" w:eastAsia="仿宋_GB2312" w:cs="Times New Roman"/>
          <w:b w:val="0"/>
          <w:bCs w:val="0"/>
          <w:kern w:val="0"/>
          <w:sz w:val="32"/>
          <w:szCs w:val="32"/>
          <w:lang w:val="en-US" w:eastAsia="zh-CN" w:bidi="ar-SA"/>
        </w:rPr>
      </w:pPr>
      <w:r>
        <w:rPr>
          <w:rFonts w:hint="eastAsia" w:ascii="仿宋_GB2312" w:eastAsia="仿宋_GB2312" w:cs="Times New Roman"/>
          <w:b w:val="0"/>
          <w:bCs w:val="0"/>
          <w:sz w:val="32"/>
          <w:szCs w:val="32"/>
          <w:lang w:val="en-US" w:eastAsia="zh-CN"/>
        </w:rPr>
        <w:t>（二）使用集中式消毒餐饮具或一次性餐饮具的餐饮业、公共场所，未设置专间（区）存放未使用的集中消毒公共餐饮具或一次性餐饮具的。</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b w:val="0"/>
          <w:bCs w:val="0"/>
          <w:sz w:val="32"/>
          <w:szCs w:val="32"/>
        </w:rPr>
      </w:pPr>
      <w:r>
        <w:rPr>
          <w:rFonts w:hint="eastAsia" w:ascii="黑体" w:hAnsi="黑体" w:eastAsia="黑体"/>
          <w:b w:val="0"/>
          <w:bCs w:val="0"/>
          <w:sz w:val="32"/>
          <w:szCs w:val="32"/>
        </w:rPr>
        <w:t>第二十</w:t>
      </w:r>
      <w:r>
        <w:rPr>
          <w:rFonts w:hint="eastAsia" w:ascii="黑体" w:hAnsi="黑体" w:eastAsia="黑体"/>
          <w:b w:val="0"/>
          <w:bCs w:val="0"/>
          <w:sz w:val="32"/>
          <w:szCs w:val="32"/>
          <w:lang w:val="en-US" w:eastAsia="zh-CN"/>
        </w:rPr>
        <w:t>三</w:t>
      </w:r>
      <w:r>
        <w:rPr>
          <w:rFonts w:hint="eastAsia" w:ascii="黑体" w:hAnsi="黑体" w:eastAsia="黑体"/>
          <w:b w:val="0"/>
          <w:bCs w:val="0"/>
          <w:sz w:val="32"/>
          <w:szCs w:val="32"/>
        </w:rPr>
        <w:t xml:space="preserve">条 </w:t>
      </w:r>
      <w:r>
        <w:rPr>
          <w:rFonts w:hint="eastAsia" w:ascii="仿宋_GB2312" w:eastAsia="仿宋_GB2312"/>
          <w:b w:val="0"/>
          <w:bCs w:val="0"/>
          <w:sz w:val="32"/>
          <w:szCs w:val="32"/>
        </w:rPr>
        <w:t xml:space="preserve"> </w:t>
      </w:r>
      <w:r>
        <w:rPr>
          <w:rFonts w:hint="eastAsia" w:ascii="仿宋_GB2312" w:eastAsia="仿宋_GB2312" w:cs="Times New Roman"/>
          <w:b w:val="0"/>
          <w:bCs w:val="0"/>
          <w:sz w:val="32"/>
          <w:szCs w:val="32"/>
          <w:lang w:val="en-US" w:eastAsia="zh-CN"/>
        </w:rPr>
        <w:t>违反本条例规定，餐饮业、公共场所自行清洗使用过的集中式消毒餐饮具供公众使用的，由市场监督管理部门责令改正，处以一千元以上五千元以下的罚款；拒不改正或者有其他严重情节的，责令停产停业。</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480" w:firstLineChars="150"/>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b w:val="0"/>
          <w:bCs w:val="0"/>
          <w:sz w:val="32"/>
          <w:szCs w:val="32"/>
        </w:rPr>
        <w:t>第二十</w:t>
      </w:r>
      <w:r>
        <w:rPr>
          <w:rFonts w:hint="eastAsia" w:ascii="黑体" w:hAnsi="黑体" w:eastAsia="黑体"/>
          <w:b w:val="0"/>
          <w:bCs w:val="0"/>
          <w:sz w:val="32"/>
          <w:szCs w:val="32"/>
          <w:lang w:val="en-US" w:eastAsia="zh-CN"/>
        </w:rPr>
        <w:t>四</w:t>
      </w:r>
      <w:r>
        <w:rPr>
          <w:rFonts w:hint="eastAsia" w:ascii="黑体" w:hAnsi="黑体" w:eastAsia="黑体"/>
          <w:b w:val="0"/>
          <w:bCs w:val="0"/>
          <w:sz w:val="32"/>
          <w:szCs w:val="32"/>
        </w:rPr>
        <w:t>条</w:t>
      </w:r>
      <w:r>
        <w:rPr>
          <w:rFonts w:hint="eastAsia" w:ascii="仿宋_GB2312" w:eastAsia="仿宋_GB2312"/>
          <w:b w:val="0"/>
          <w:bCs w:val="0"/>
          <w:sz w:val="32"/>
          <w:szCs w:val="32"/>
        </w:rPr>
        <w:t xml:space="preserve"> </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违反本条例第十五条第二项、第三项规定的，由卫生健康主管部门责令改正，给予警告，并处以一千元以上五千元以下的罚款。</w:t>
      </w:r>
    </w:p>
    <w:p>
      <w:pPr>
        <w:keepNext w:val="0"/>
        <w:keepLines w:val="0"/>
        <w:pageBreakBefore w:val="0"/>
        <w:widowControl w:val="0"/>
        <w:kinsoku/>
        <w:wordWrap/>
        <w:overflowPunct/>
        <w:topLinePunct w:val="0"/>
        <w:autoSpaceDE/>
        <w:autoSpaceDN/>
        <w:bidi w:val="0"/>
        <w:adjustRightInd/>
        <w:snapToGrid/>
        <w:spacing w:line="570" w:lineRule="exact"/>
        <w:ind w:firstLine="560"/>
        <w:jc w:val="both"/>
        <w:textAlignment w:val="auto"/>
        <w:outlineLvl w:val="9"/>
        <w:rPr>
          <w:rFonts w:hint="eastAsia" w:ascii="仿宋_GB2312" w:hAnsi="宋体" w:eastAsia="仿宋_GB2312" w:cs="Times New Roman"/>
          <w:b w:val="0"/>
          <w:bCs w:val="0"/>
          <w:kern w:val="0"/>
          <w:sz w:val="32"/>
          <w:szCs w:val="32"/>
          <w:lang w:val="en-US" w:eastAsia="zh-CN" w:bidi="ar-SA"/>
        </w:rPr>
      </w:pPr>
      <w:r>
        <w:rPr>
          <w:rFonts w:hint="eastAsia" w:ascii="黑体" w:hAnsi="黑体" w:eastAsia="黑体" w:cs="Times New Roman"/>
          <w:b w:val="0"/>
          <w:bCs w:val="0"/>
          <w:kern w:val="0"/>
          <w:sz w:val="32"/>
          <w:szCs w:val="32"/>
          <w:lang w:val="en-US" w:eastAsia="zh-CN" w:bidi="ar-SA"/>
        </w:rPr>
        <w:t>第二十五条</w:t>
      </w:r>
      <w:r>
        <w:rPr>
          <w:rFonts w:hint="eastAsia" w:ascii="仿宋_GB2312" w:hAnsi="宋体" w:eastAsia="仿宋_GB2312" w:cs="Times New Roman"/>
          <w:b w:val="0"/>
          <w:bCs w:val="0"/>
          <w:kern w:val="0"/>
          <w:sz w:val="32"/>
          <w:szCs w:val="32"/>
          <w:lang w:val="en-US" w:eastAsia="zh-CN" w:bidi="ar-SA"/>
        </w:rPr>
        <w:t xml:space="preserve">  违反本条例规定，法律法规已有处罚规定的，从其规定。</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b w:val="0"/>
          <w:bCs w:val="0"/>
          <w:sz w:val="32"/>
          <w:szCs w:val="32"/>
        </w:rPr>
      </w:pPr>
      <w:r>
        <w:rPr>
          <w:rFonts w:hint="eastAsia" w:ascii="黑体" w:hAnsi="黑体" w:eastAsia="黑体"/>
          <w:b w:val="0"/>
          <w:bCs w:val="0"/>
          <w:sz w:val="32"/>
          <w:szCs w:val="32"/>
        </w:rPr>
        <w:t>第</w:t>
      </w:r>
      <w:r>
        <w:rPr>
          <w:rFonts w:hint="eastAsia" w:ascii="黑体" w:hAnsi="黑体" w:eastAsia="黑体"/>
          <w:b w:val="0"/>
          <w:bCs w:val="0"/>
          <w:sz w:val="32"/>
          <w:szCs w:val="32"/>
          <w:lang w:val="en-US" w:eastAsia="zh-CN"/>
        </w:rPr>
        <w:t>二十六</w:t>
      </w:r>
      <w:r>
        <w:rPr>
          <w:rFonts w:hint="eastAsia" w:ascii="黑体" w:hAnsi="黑体" w:eastAsia="黑体"/>
          <w:b w:val="0"/>
          <w:bCs w:val="0"/>
          <w:sz w:val="32"/>
          <w:szCs w:val="32"/>
        </w:rPr>
        <w:t>条</w:t>
      </w:r>
      <w:r>
        <w:rPr>
          <w:rFonts w:hint="eastAsia" w:ascii="仿宋_GB2312" w:eastAsia="仿宋_GB2312"/>
          <w:b w:val="0"/>
          <w:bCs w:val="0"/>
          <w:sz w:val="32"/>
          <w:szCs w:val="32"/>
        </w:rPr>
        <w:t>　</w:t>
      </w:r>
      <w:r>
        <w:rPr>
          <w:rFonts w:hint="eastAsia" w:ascii="仿宋_GB2312" w:eastAsia="仿宋_GB2312" w:cs="Times New Roman"/>
          <w:b w:val="0"/>
          <w:bCs w:val="0"/>
          <w:sz w:val="32"/>
          <w:szCs w:val="32"/>
          <w:lang w:val="en-US" w:eastAsia="zh-CN"/>
        </w:rPr>
        <w:t>当事人对卫生健康主管部门、市场监督管理部门给予的行政处罚不服的，可以依法申请行政复议或者提起行政诉讼。逾期不申请复议也不提起行政诉讼，又不履行行政处罚决定的，由作出处罚决定的机关申请人民法院强制执行。</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b w:val="0"/>
          <w:bCs w:val="0"/>
          <w:sz w:val="32"/>
          <w:szCs w:val="32"/>
        </w:rPr>
      </w:pPr>
      <w:r>
        <w:rPr>
          <w:rFonts w:hint="eastAsia" w:ascii="黑体" w:hAnsi="黑体" w:eastAsia="黑体"/>
          <w:b w:val="0"/>
          <w:bCs w:val="0"/>
          <w:sz w:val="32"/>
          <w:szCs w:val="32"/>
        </w:rPr>
        <w:t>第</w:t>
      </w:r>
      <w:r>
        <w:rPr>
          <w:rFonts w:hint="eastAsia" w:ascii="黑体" w:hAnsi="黑体" w:eastAsia="黑体"/>
          <w:b w:val="0"/>
          <w:bCs w:val="0"/>
          <w:sz w:val="32"/>
          <w:szCs w:val="32"/>
          <w:lang w:val="en-US" w:eastAsia="zh-CN"/>
        </w:rPr>
        <w:t>二十七</w:t>
      </w:r>
      <w:r>
        <w:rPr>
          <w:rFonts w:hint="eastAsia" w:ascii="黑体" w:hAnsi="黑体" w:eastAsia="黑体"/>
          <w:b w:val="0"/>
          <w:bCs w:val="0"/>
          <w:sz w:val="32"/>
          <w:szCs w:val="32"/>
        </w:rPr>
        <w:t xml:space="preserve">条 </w:t>
      </w:r>
      <w:r>
        <w:rPr>
          <w:rFonts w:hint="eastAsia" w:ascii="仿宋_GB2312" w:eastAsia="仿宋_GB2312"/>
          <w:b w:val="0"/>
          <w:bCs w:val="0"/>
          <w:sz w:val="32"/>
          <w:szCs w:val="32"/>
        </w:rPr>
        <w:t xml:space="preserve"> </w:t>
      </w:r>
      <w:r>
        <w:rPr>
          <w:rFonts w:hint="eastAsia" w:ascii="仿宋_GB2312" w:eastAsia="仿宋_GB2312" w:cs="Times New Roman"/>
          <w:b w:val="0"/>
          <w:bCs w:val="0"/>
          <w:sz w:val="32"/>
          <w:szCs w:val="32"/>
          <w:lang w:val="en-US" w:eastAsia="zh-CN"/>
        </w:rPr>
        <w:t>卫生健康主管部门、市场监督管理部门工作人员滥用职权、玩忽职守、徇私舞弊，不构成犯罪的，依法给予行政处分；构成犯罪的，依法追究刑事责任。</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jc w:val="both"/>
        <w:textAlignment w:val="auto"/>
        <w:outlineLvl w:val="9"/>
        <w:rPr>
          <w:rFonts w:hint="eastAsia" w:ascii="仿宋_GB2312" w:eastAsia="仿宋_GB2312"/>
          <w:b/>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jc w:val="center"/>
        <w:textAlignment w:val="auto"/>
        <w:outlineLvl w:val="0"/>
        <w:rPr>
          <w:rFonts w:hint="eastAsia" w:ascii="黑体" w:hAnsi="黑体" w:eastAsia="黑体"/>
          <w:sz w:val="32"/>
          <w:szCs w:val="32"/>
        </w:rPr>
      </w:pPr>
      <w:r>
        <w:rPr>
          <w:rFonts w:hint="eastAsia" w:ascii="黑体" w:hAnsi="黑体" w:eastAsia="黑体"/>
          <w:sz w:val="32"/>
          <w:szCs w:val="32"/>
        </w:rPr>
        <w:t>第六章  附则</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jc w:val="both"/>
        <w:textAlignment w:val="auto"/>
        <w:outlineLvl w:val="9"/>
        <w:rPr>
          <w:rFonts w:hint="eastAsia" w:ascii="仿宋_GB2312" w:eastAsia="仿宋_GB2312"/>
          <w:b/>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val="en-US" w:eastAsia="zh-CN"/>
        </w:rPr>
        <w:t>二十八</w:t>
      </w:r>
      <w:r>
        <w:rPr>
          <w:rFonts w:hint="eastAsia" w:ascii="黑体" w:hAnsi="黑体" w:eastAsia="黑体"/>
          <w:sz w:val="32"/>
          <w:szCs w:val="32"/>
        </w:rPr>
        <w:t>条</w:t>
      </w:r>
      <w:r>
        <w:rPr>
          <w:rFonts w:hint="eastAsia" w:ascii="仿宋_GB2312" w:eastAsia="仿宋_GB2312"/>
          <w:sz w:val="32"/>
          <w:szCs w:val="32"/>
        </w:rPr>
        <w:t>　</w:t>
      </w:r>
      <w:r>
        <w:rPr>
          <w:rFonts w:hint="eastAsia" w:ascii="仿宋_GB2312" w:eastAsia="仿宋_GB2312" w:cs="Times New Roman"/>
          <w:b w:val="0"/>
          <w:bCs w:val="0"/>
          <w:sz w:val="32"/>
          <w:szCs w:val="32"/>
          <w:lang w:val="en-US" w:eastAsia="zh-CN"/>
        </w:rPr>
        <w:t>本条例自2009年1月1日起施行。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both"/>
        <w:textAlignment w:val="auto"/>
        <w:rPr>
          <w:rFonts w:hint="eastAsia" w:ascii="Times New Roman" w:hAnsi="Times New Roman" w:eastAsia="方正小标宋简体" w:cs="Times New Roman"/>
          <w:b w:val="0"/>
          <w:bCs w:val="0"/>
          <w:kern w:val="0"/>
          <w:sz w:val="44"/>
          <w:szCs w:val="44"/>
        </w:rPr>
      </w:pPr>
    </w:p>
    <w:p>
      <w:pPr>
        <w:pStyle w:val="2"/>
        <w:keepNext w:val="0"/>
        <w:keepLines w:val="0"/>
        <w:pageBreakBefore w:val="0"/>
        <w:widowControl w:val="0"/>
        <w:kinsoku/>
        <w:wordWrap/>
        <w:overflowPunct/>
        <w:autoSpaceDE/>
        <w:autoSpaceDN/>
        <w:bidi w:val="0"/>
        <w:adjustRightInd/>
        <w:spacing w:line="570" w:lineRule="exact"/>
        <w:textAlignment w:val="auto"/>
        <w:rPr>
          <w:rFonts w:hint="eastAsia" w:ascii="Times New Roman" w:hAnsi="Times New Roman" w:eastAsia="方正小标宋简体" w:cs="Times New Roman"/>
          <w:b w:val="0"/>
          <w:bCs w:val="0"/>
          <w:kern w:val="0"/>
          <w:sz w:val="44"/>
          <w:szCs w:val="44"/>
        </w:rPr>
      </w:pPr>
    </w:p>
    <w:p>
      <w:pPr>
        <w:pStyle w:val="2"/>
        <w:keepNext w:val="0"/>
        <w:keepLines w:val="0"/>
        <w:pageBreakBefore w:val="0"/>
        <w:widowControl w:val="0"/>
        <w:kinsoku/>
        <w:wordWrap/>
        <w:overflowPunct/>
        <w:autoSpaceDE/>
        <w:autoSpaceDN/>
        <w:bidi w:val="0"/>
        <w:adjustRightInd/>
        <w:spacing w:line="570" w:lineRule="exact"/>
        <w:ind w:left="0" w:leftChars="0" w:firstLine="0" w:firstLineChars="0"/>
        <w:textAlignment w:val="auto"/>
        <w:rPr>
          <w:rFonts w:hint="eastAsia"/>
          <w:sz w:val="32"/>
          <w:szCs w:val="32"/>
        </w:rPr>
      </w:pPr>
    </w:p>
    <w:p>
      <w:pPr>
        <w:rPr>
          <w:rFonts w:hint="eastAsia"/>
          <w:sz w:val="32"/>
          <w:szCs w:val="32"/>
        </w:rPr>
      </w:pPr>
    </w:p>
    <w:p>
      <w:pPr>
        <w:pStyle w:val="2"/>
        <w:rPr>
          <w:rFonts w:hint="eastAsia"/>
          <w:sz w:val="32"/>
          <w:szCs w:val="32"/>
        </w:rPr>
      </w:pPr>
    </w:p>
    <w:p>
      <w:pPr>
        <w:rPr>
          <w:rFonts w:hint="eastAsia"/>
          <w:sz w:val="32"/>
          <w:szCs w:val="32"/>
        </w:rPr>
      </w:pPr>
    </w:p>
    <w:p>
      <w:pPr>
        <w:pStyle w:val="2"/>
        <w:rPr>
          <w:rFonts w:hint="eastAsia"/>
          <w:sz w:val="32"/>
          <w:szCs w:val="32"/>
        </w:rPr>
      </w:pPr>
    </w:p>
    <w:p>
      <w:pPr>
        <w:rPr>
          <w:rFonts w:hint="eastAsia"/>
          <w:sz w:val="32"/>
          <w:szCs w:val="32"/>
        </w:rPr>
      </w:pPr>
    </w:p>
    <w:p>
      <w:pPr>
        <w:pStyle w:val="2"/>
        <w:rPr>
          <w:rFonts w:hint="eastAsia"/>
          <w:sz w:val="32"/>
          <w:szCs w:val="32"/>
        </w:rPr>
      </w:pPr>
      <w:bookmarkStart w:id="0" w:name="_GoBack"/>
      <w:bookmarkEnd w:id="0"/>
    </w:p>
    <w:p>
      <w:pPr>
        <w:rPr>
          <w:rFonts w:hint="eastAsia"/>
          <w:sz w:val="32"/>
          <w:szCs w:val="32"/>
        </w:rPr>
      </w:pPr>
    </w:p>
    <w:p>
      <w:pPr>
        <w:pStyle w:val="2"/>
        <w:rPr>
          <w:rFonts w:hint="eastAsia"/>
          <w:sz w:val="32"/>
          <w:szCs w:val="32"/>
        </w:rPr>
      </w:pPr>
    </w:p>
    <w:p>
      <w:pPr>
        <w:pStyle w:val="2"/>
        <w:ind w:left="0" w:leftChars="0" w:firstLine="0" w:firstLineChars="0"/>
        <w:rPr>
          <w:rFonts w:hint="default"/>
          <w:sz w:val="32"/>
          <w:szCs w:val="32"/>
        </w:rPr>
      </w:pPr>
    </w:p>
    <w:sectPr>
      <w:footerReference r:id="rId3" w:type="default"/>
      <w:pgSz w:w="11906" w:h="16838"/>
      <w:pgMar w:top="2098" w:right="1474" w:bottom="1928" w:left="1587" w:header="851" w:footer="1417"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 w:name="楷体_GB2312">
    <w:altName w:val="楷体"/>
    <w:panose1 w:val="02010609030101010101"/>
    <w:charset w:val="00"/>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方正宋体S-超大字符集">
    <w:panose1 w:val="02000000000000000000"/>
    <w:charset w:val="86"/>
    <w:family w:val="auto"/>
    <w:pitch w:val="default"/>
    <w:sig w:usb0="00000001" w:usb1="08000000" w:usb2="00000000" w:usb3="00000000" w:csb0="00040000" w:csb1="0000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-165100</wp:posOffset>
              </wp:positionV>
              <wp:extent cx="569595" cy="30607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569595" cy="306070"/>
                      </a:xfrm>
                      <a:prstGeom prst="rect">
                        <a:avLst/>
                      </a:prstGeom>
                      <a:noFill/>
                      <a:ln w="15875">
                        <a:noFill/>
                      </a:ln>
                    </wps:spPr>
                    <wps:txbx>
                      <w:txbxContent>
                        <w:p>
                          <w:pPr>
                            <w:pStyle w:val="7"/>
                            <w:rPr>
                              <w:rStyle w:val="14"/>
                              <w:sz w:val="24"/>
                              <w:szCs w:val="24"/>
                            </w:rPr>
                          </w:pPr>
                          <w:r>
                            <w:rPr>
                              <w:rFonts w:hint="eastAsia" w:ascii="宋体" w:hAnsi="宋体" w:eastAsia="宋体" w:cs="宋体"/>
                              <w:sz w:val="28"/>
                              <w:szCs w:val="28"/>
                            </w:rPr>
                            <w:fldChar w:fldCharType="begin"/>
                          </w:r>
                          <w:r>
                            <w:rPr>
                              <w:rStyle w:val="1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4"/>
                              <w:rFonts w:hint="eastAsia" w:ascii="宋体" w:hAnsi="宋体" w:eastAsia="宋体" w:cs="宋体"/>
                              <w:sz w:val="28"/>
                              <w:szCs w:val="28"/>
                            </w:rPr>
                            <w:t>3</w:t>
                          </w:r>
                          <w:r>
                            <w:rPr>
                              <w:rFonts w:hint="eastAsia" w:ascii="宋体" w:hAnsi="宋体" w:eastAsia="宋体" w:cs="宋体"/>
                              <w:sz w:val="28"/>
                              <w:szCs w:val="28"/>
                            </w:rPr>
                            <w:fldChar w:fldCharType="end"/>
                          </w:r>
                        </w:p>
                      </w:txbxContent>
                    </wps:txbx>
                    <wps:bodyPr vert="horz" wrap="square" lIns="0" tIns="0" rIns="0" bIns="0" anchor="t" anchorCtr="false" upright="false"/>
                  </wps:wsp>
                </a:graphicData>
              </a:graphic>
            </wp:anchor>
          </w:drawing>
        </mc:Choice>
        <mc:Fallback>
          <w:pict>
            <v:shape id="_x0000_s1026" o:spid="_x0000_s1026" o:spt="202" type="#_x0000_t202" style="position:absolute;left:0pt;margin-top:-13pt;height:24.1pt;width:44.85pt;mso-position-horizontal:outside;mso-position-horizontal-relative:margin;z-index:251658240;mso-width-relative:page;mso-height-relative:page;" filled="f" stroked="f" coordsize="21600,21600" o:gfxdata="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BlmkU1gAAAAYB&#10;AAAPAAAAAAAAAAEAIAAAADgAAABkcnMvZG93bnJldi54bWxQSwECFAAUAAAACACHTuJAYnQeQM4B&#10;AABrAwAADgAAAAAAAAABACAAAAA7AQAAZHJzL2Uyb0RvYy54bWxQSwUGAAAAAAYABgBZAQAAewUA&#10;AAAA&#10;">
              <v:fill on="f" focussize="0,0"/>
              <v:stroke on="f" weight="1.25pt"/>
              <v:imagedata o:title=""/>
              <o:lock v:ext="edit" aspectratio="f"/>
              <v:textbox inset="0mm,0mm,0mm,0mm">
                <w:txbxContent>
                  <w:p>
                    <w:pPr>
                      <w:pStyle w:val="7"/>
                      <w:rPr>
                        <w:rStyle w:val="14"/>
                        <w:sz w:val="24"/>
                        <w:szCs w:val="24"/>
                      </w:rPr>
                    </w:pPr>
                    <w:r>
                      <w:rPr>
                        <w:rFonts w:hint="eastAsia" w:ascii="宋体" w:hAnsi="宋体" w:eastAsia="宋体" w:cs="宋体"/>
                        <w:sz w:val="28"/>
                        <w:szCs w:val="28"/>
                      </w:rPr>
                      <w:fldChar w:fldCharType="begin"/>
                    </w:r>
                    <w:r>
                      <w:rPr>
                        <w:rStyle w:val="1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4"/>
                        <w:rFonts w:hint="eastAsia" w:ascii="宋体" w:hAnsi="宋体" w:eastAsia="宋体" w:cs="宋体"/>
                        <w:sz w:val="28"/>
                        <w:szCs w:val="28"/>
                      </w:rPr>
                      <w:t>3</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BC7"/>
    <w:rsid w:val="00104179"/>
    <w:rsid w:val="00123BC7"/>
    <w:rsid w:val="00182C6E"/>
    <w:rsid w:val="00195E38"/>
    <w:rsid w:val="001C6A44"/>
    <w:rsid w:val="0027423C"/>
    <w:rsid w:val="0031481D"/>
    <w:rsid w:val="003D0CDE"/>
    <w:rsid w:val="00441173"/>
    <w:rsid w:val="00507613"/>
    <w:rsid w:val="00571D94"/>
    <w:rsid w:val="00637911"/>
    <w:rsid w:val="0074562C"/>
    <w:rsid w:val="007C54B6"/>
    <w:rsid w:val="00A86BEC"/>
    <w:rsid w:val="00B50A57"/>
    <w:rsid w:val="00B6387D"/>
    <w:rsid w:val="00B93B1E"/>
    <w:rsid w:val="00C01C69"/>
    <w:rsid w:val="00D054BC"/>
    <w:rsid w:val="00DD3D98"/>
    <w:rsid w:val="00DF117F"/>
    <w:rsid w:val="00E31395"/>
    <w:rsid w:val="00EA01FB"/>
    <w:rsid w:val="00F052ED"/>
    <w:rsid w:val="00F0558C"/>
    <w:rsid w:val="00F163F1"/>
    <w:rsid w:val="00F16CB9"/>
    <w:rsid w:val="00F43AB5"/>
    <w:rsid w:val="00F91EE5"/>
    <w:rsid w:val="00FC7B8E"/>
    <w:rsid w:val="010712FA"/>
    <w:rsid w:val="01DC339D"/>
    <w:rsid w:val="0217116C"/>
    <w:rsid w:val="02C971BC"/>
    <w:rsid w:val="02F52D66"/>
    <w:rsid w:val="030E3E69"/>
    <w:rsid w:val="034F507D"/>
    <w:rsid w:val="038B3922"/>
    <w:rsid w:val="03A515BC"/>
    <w:rsid w:val="03D15285"/>
    <w:rsid w:val="04173020"/>
    <w:rsid w:val="0425785D"/>
    <w:rsid w:val="044B2488"/>
    <w:rsid w:val="046837CA"/>
    <w:rsid w:val="05530308"/>
    <w:rsid w:val="05C920C6"/>
    <w:rsid w:val="06822F93"/>
    <w:rsid w:val="078773B8"/>
    <w:rsid w:val="07FE2945"/>
    <w:rsid w:val="082B63F3"/>
    <w:rsid w:val="08814A5B"/>
    <w:rsid w:val="089B79BD"/>
    <w:rsid w:val="09297398"/>
    <w:rsid w:val="095B4567"/>
    <w:rsid w:val="09F734B9"/>
    <w:rsid w:val="0A0E79F0"/>
    <w:rsid w:val="0A6F5752"/>
    <w:rsid w:val="0AE72DF4"/>
    <w:rsid w:val="0AEF000D"/>
    <w:rsid w:val="0AF843B1"/>
    <w:rsid w:val="0B2F7965"/>
    <w:rsid w:val="0BA57976"/>
    <w:rsid w:val="0C4279D8"/>
    <w:rsid w:val="0C815114"/>
    <w:rsid w:val="0C9B5CBE"/>
    <w:rsid w:val="0D003A46"/>
    <w:rsid w:val="0D545EB8"/>
    <w:rsid w:val="0D9C13F3"/>
    <w:rsid w:val="0E34508D"/>
    <w:rsid w:val="0E752FC5"/>
    <w:rsid w:val="0E814859"/>
    <w:rsid w:val="0EA942A8"/>
    <w:rsid w:val="0F3C2696"/>
    <w:rsid w:val="0FBE3C11"/>
    <w:rsid w:val="10272822"/>
    <w:rsid w:val="10480942"/>
    <w:rsid w:val="1108338A"/>
    <w:rsid w:val="114A2242"/>
    <w:rsid w:val="11791BA6"/>
    <w:rsid w:val="11D501CB"/>
    <w:rsid w:val="12321551"/>
    <w:rsid w:val="125D1750"/>
    <w:rsid w:val="12854495"/>
    <w:rsid w:val="146033E6"/>
    <w:rsid w:val="14A12245"/>
    <w:rsid w:val="14C07817"/>
    <w:rsid w:val="155D1E87"/>
    <w:rsid w:val="15E553FB"/>
    <w:rsid w:val="16991CEC"/>
    <w:rsid w:val="16DA6B03"/>
    <w:rsid w:val="16E22537"/>
    <w:rsid w:val="17154CF4"/>
    <w:rsid w:val="17607933"/>
    <w:rsid w:val="17B43D5F"/>
    <w:rsid w:val="1862248E"/>
    <w:rsid w:val="19A838A8"/>
    <w:rsid w:val="1A651933"/>
    <w:rsid w:val="1AF30046"/>
    <w:rsid w:val="1B0A67F3"/>
    <w:rsid w:val="1B1737B4"/>
    <w:rsid w:val="1B2D6277"/>
    <w:rsid w:val="1BF925E9"/>
    <w:rsid w:val="1C3C4F93"/>
    <w:rsid w:val="1D097731"/>
    <w:rsid w:val="1D0C28B4"/>
    <w:rsid w:val="1DB67C5F"/>
    <w:rsid w:val="1E2F1712"/>
    <w:rsid w:val="1E6E38DC"/>
    <w:rsid w:val="1E985DC0"/>
    <w:rsid w:val="1E9B4E89"/>
    <w:rsid w:val="1EE56935"/>
    <w:rsid w:val="1EEC4564"/>
    <w:rsid w:val="1F22770E"/>
    <w:rsid w:val="1FA1287C"/>
    <w:rsid w:val="1FE830A4"/>
    <w:rsid w:val="1FEC41F4"/>
    <w:rsid w:val="20040E8D"/>
    <w:rsid w:val="20830AF7"/>
    <w:rsid w:val="21391A9D"/>
    <w:rsid w:val="215A629E"/>
    <w:rsid w:val="21791BF7"/>
    <w:rsid w:val="21D349DC"/>
    <w:rsid w:val="21D923C1"/>
    <w:rsid w:val="221863B4"/>
    <w:rsid w:val="222E4DC7"/>
    <w:rsid w:val="2275432C"/>
    <w:rsid w:val="22D111F8"/>
    <w:rsid w:val="22D8435B"/>
    <w:rsid w:val="2319783E"/>
    <w:rsid w:val="23966029"/>
    <w:rsid w:val="242F15AB"/>
    <w:rsid w:val="254216E3"/>
    <w:rsid w:val="25713F19"/>
    <w:rsid w:val="259A09F0"/>
    <w:rsid w:val="26035DEB"/>
    <w:rsid w:val="2671641F"/>
    <w:rsid w:val="26A7631A"/>
    <w:rsid w:val="26C3758D"/>
    <w:rsid w:val="26C809CB"/>
    <w:rsid w:val="27837532"/>
    <w:rsid w:val="2832437A"/>
    <w:rsid w:val="288B0779"/>
    <w:rsid w:val="28CF3603"/>
    <w:rsid w:val="2924038B"/>
    <w:rsid w:val="29D22168"/>
    <w:rsid w:val="2A187D22"/>
    <w:rsid w:val="2AAF6EA0"/>
    <w:rsid w:val="2BF204D4"/>
    <w:rsid w:val="2C2A6866"/>
    <w:rsid w:val="2CD5161C"/>
    <w:rsid w:val="2DFC10C7"/>
    <w:rsid w:val="2E7B4C48"/>
    <w:rsid w:val="2EF63D38"/>
    <w:rsid w:val="30426838"/>
    <w:rsid w:val="31A94EB4"/>
    <w:rsid w:val="31DE0F5F"/>
    <w:rsid w:val="31E60914"/>
    <w:rsid w:val="31EF094D"/>
    <w:rsid w:val="320B3B52"/>
    <w:rsid w:val="322D0AB2"/>
    <w:rsid w:val="323634F2"/>
    <w:rsid w:val="32CB1FA8"/>
    <w:rsid w:val="33213359"/>
    <w:rsid w:val="334B7856"/>
    <w:rsid w:val="3355689D"/>
    <w:rsid w:val="33D91660"/>
    <w:rsid w:val="33E071C0"/>
    <w:rsid w:val="34492213"/>
    <w:rsid w:val="34847373"/>
    <w:rsid w:val="34A87402"/>
    <w:rsid w:val="35057D26"/>
    <w:rsid w:val="351F4BE6"/>
    <w:rsid w:val="35375FDF"/>
    <w:rsid w:val="35876A7B"/>
    <w:rsid w:val="358E0F63"/>
    <w:rsid w:val="35DB1F8E"/>
    <w:rsid w:val="36613563"/>
    <w:rsid w:val="3675318D"/>
    <w:rsid w:val="368F728E"/>
    <w:rsid w:val="37603EBA"/>
    <w:rsid w:val="379A52EC"/>
    <w:rsid w:val="37A73FA9"/>
    <w:rsid w:val="37A9497B"/>
    <w:rsid w:val="39901AD5"/>
    <w:rsid w:val="39E50BF2"/>
    <w:rsid w:val="3A8B0AD0"/>
    <w:rsid w:val="3AE73230"/>
    <w:rsid w:val="3B1C7D7F"/>
    <w:rsid w:val="3B3C6B8B"/>
    <w:rsid w:val="3BA506E0"/>
    <w:rsid w:val="3BCB2150"/>
    <w:rsid w:val="3C9541F0"/>
    <w:rsid w:val="3CBC2DD2"/>
    <w:rsid w:val="3CC42B41"/>
    <w:rsid w:val="3D3D50A3"/>
    <w:rsid w:val="3DB47ECB"/>
    <w:rsid w:val="3DBB7AB3"/>
    <w:rsid w:val="3DC942CF"/>
    <w:rsid w:val="3E114169"/>
    <w:rsid w:val="3E2B6AF0"/>
    <w:rsid w:val="3ED9222C"/>
    <w:rsid w:val="3F1F7C46"/>
    <w:rsid w:val="3F3F1BD0"/>
    <w:rsid w:val="3F5E3FD4"/>
    <w:rsid w:val="3FE279D9"/>
    <w:rsid w:val="404F1A2C"/>
    <w:rsid w:val="40554CCF"/>
    <w:rsid w:val="40560FC4"/>
    <w:rsid w:val="408F3131"/>
    <w:rsid w:val="40963A32"/>
    <w:rsid w:val="40BB5860"/>
    <w:rsid w:val="41DF0153"/>
    <w:rsid w:val="422C2B78"/>
    <w:rsid w:val="437262F5"/>
    <w:rsid w:val="43EC12FF"/>
    <w:rsid w:val="440F6DE2"/>
    <w:rsid w:val="4425465D"/>
    <w:rsid w:val="443D35D2"/>
    <w:rsid w:val="44DD374D"/>
    <w:rsid w:val="454E6E8F"/>
    <w:rsid w:val="45636567"/>
    <w:rsid w:val="47666106"/>
    <w:rsid w:val="477E1B9E"/>
    <w:rsid w:val="479C07F9"/>
    <w:rsid w:val="48A4573B"/>
    <w:rsid w:val="4A2B5497"/>
    <w:rsid w:val="4B0941EF"/>
    <w:rsid w:val="4B7C3B94"/>
    <w:rsid w:val="4B9C3D2C"/>
    <w:rsid w:val="4BD80F98"/>
    <w:rsid w:val="4C8A6AEC"/>
    <w:rsid w:val="4CAE72BF"/>
    <w:rsid w:val="4CE679B9"/>
    <w:rsid w:val="4D092CAA"/>
    <w:rsid w:val="4D14124D"/>
    <w:rsid w:val="4E5C19E5"/>
    <w:rsid w:val="4E88453E"/>
    <w:rsid w:val="4F3E7D2A"/>
    <w:rsid w:val="4F6B33BE"/>
    <w:rsid w:val="50ED3FD0"/>
    <w:rsid w:val="511235DC"/>
    <w:rsid w:val="511B3274"/>
    <w:rsid w:val="51291989"/>
    <w:rsid w:val="51C01DAA"/>
    <w:rsid w:val="522E645B"/>
    <w:rsid w:val="53F36714"/>
    <w:rsid w:val="54801A00"/>
    <w:rsid w:val="557A72DE"/>
    <w:rsid w:val="55BC36F8"/>
    <w:rsid w:val="567343F1"/>
    <w:rsid w:val="57DC0FD1"/>
    <w:rsid w:val="588C0E18"/>
    <w:rsid w:val="58911154"/>
    <w:rsid w:val="59165514"/>
    <w:rsid w:val="5945073A"/>
    <w:rsid w:val="596F22CE"/>
    <w:rsid w:val="599F219F"/>
    <w:rsid w:val="59E76046"/>
    <w:rsid w:val="5A67207E"/>
    <w:rsid w:val="5B3C2FBB"/>
    <w:rsid w:val="5BF117E5"/>
    <w:rsid w:val="5C131D42"/>
    <w:rsid w:val="5C163FA3"/>
    <w:rsid w:val="5C4A4BB0"/>
    <w:rsid w:val="5C5B7790"/>
    <w:rsid w:val="5C8210D4"/>
    <w:rsid w:val="5CAB6A15"/>
    <w:rsid w:val="5CE70788"/>
    <w:rsid w:val="5E1E1320"/>
    <w:rsid w:val="5E214DD1"/>
    <w:rsid w:val="5E4F7935"/>
    <w:rsid w:val="5E642042"/>
    <w:rsid w:val="5E8718C8"/>
    <w:rsid w:val="5E9652BC"/>
    <w:rsid w:val="5EC831DF"/>
    <w:rsid w:val="5FA35D26"/>
    <w:rsid w:val="60182CE2"/>
    <w:rsid w:val="60411E18"/>
    <w:rsid w:val="606438BA"/>
    <w:rsid w:val="607E78CE"/>
    <w:rsid w:val="60C06ECB"/>
    <w:rsid w:val="612167AC"/>
    <w:rsid w:val="61316BF8"/>
    <w:rsid w:val="61466DA4"/>
    <w:rsid w:val="61722E80"/>
    <w:rsid w:val="61A44F71"/>
    <w:rsid w:val="62030823"/>
    <w:rsid w:val="62574F9C"/>
    <w:rsid w:val="62684455"/>
    <w:rsid w:val="63F4271B"/>
    <w:rsid w:val="63F97FE3"/>
    <w:rsid w:val="640F6E0B"/>
    <w:rsid w:val="64243E51"/>
    <w:rsid w:val="64FF0F39"/>
    <w:rsid w:val="654650B5"/>
    <w:rsid w:val="65810569"/>
    <w:rsid w:val="659000C9"/>
    <w:rsid w:val="66DD288E"/>
    <w:rsid w:val="67310DA0"/>
    <w:rsid w:val="677F58B9"/>
    <w:rsid w:val="679C5EDA"/>
    <w:rsid w:val="67A95814"/>
    <w:rsid w:val="67CE6B40"/>
    <w:rsid w:val="686E1847"/>
    <w:rsid w:val="68761940"/>
    <w:rsid w:val="68B46056"/>
    <w:rsid w:val="695C0386"/>
    <w:rsid w:val="69D43732"/>
    <w:rsid w:val="6A101DAC"/>
    <w:rsid w:val="6A30160C"/>
    <w:rsid w:val="6A780A64"/>
    <w:rsid w:val="6AEF1264"/>
    <w:rsid w:val="6AF808AE"/>
    <w:rsid w:val="6B3724F2"/>
    <w:rsid w:val="6C0A6C57"/>
    <w:rsid w:val="6C224A48"/>
    <w:rsid w:val="6C500A40"/>
    <w:rsid w:val="6CA4499C"/>
    <w:rsid w:val="6CFB3F8D"/>
    <w:rsid w:val="6D10242A"/>
    <w:rsid w:val="6DC75E5F"/>
    <w:rsid w:val="6E006DBE"/>
    <w:rsid w:val="6E9A16CE"/>
    <w:rsid w:val="6FD6127A"/>
    <w:rsid w:val="702B574B"/>
    <w:rsid w:val="71130746"/>
    <w:rsid w:val="71661321"/>
    <w:rsid w:val="72672FC0"/>
    <w:rsid w:val="72DA60EE"/>
    <w:rsid w:val="73A51B47"/>
    <w:rsid w:val="74AC5DA3"/>
    <w:rsid w:val="74BB76EC"/>
    <w:rsid w:val="74D23B6A"/>
    <w:rsid w:val="74D46E8E"/>
    <w:rsid w:val="75A940C0"/>
    <w:rsid w:val="75E65C4B"/>
    <w:rsid w:val="75F469A3"/>
    <w:rsid w:val="76344BE2"/>
    <w:rsid w:val="76F30463"/>
    <w:rsid w:val="77252894"/>
    <w:rsid w:val="774A0DC1"/>
    <w:rsid w:val="784E2BBA"/>
    <w:rsid w:val="786543D7"/>
    <w:rsid w:val="78757BBF"/>
    <w:rsid w:val="78BB101F"/>
    <w:rsid w:val="78E67BB1"/>
    <w:rsid w:val="792420DD"/>
    <w:rsid w:val="7945721F"/>
    <w:rsid w:val="794D54D8"/>
    <w:rsid w:val="7B4D280A"/>
    <w:rsid w:val="7B5B0427"/>
    <w:rsid w:val="7B5B2565"/>
    <w:rsid w:val="7B8264B7"/>
    <w:rsid w:val="7C070787"/>
    <w:rsid w:val="7C26103C"/>
    <w:rsid w:val="7CA21C8A"/>
    <w:rsid w:val="7D3033D5"/>
    <w:rsid w:val="7D6B2560"/>
    <w:rsid w:val="7D99637D"/>
    <w:rsid w:val="7EBD0B22"/>
    <w:rsid w:val="7ED83E28"/>
    <w:rsid w:val="7F23362A"/>
    <w:rsid w:val="7F8807A6"/>
    <w:rsid w:val="7FC44D2A"/>
    <w:rsid w:val="DBEF5973"/>
    <w:rsid w:val="FD6BE6AE"/>
    <w:rsid w:val="FFC780B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9"/>
    <w:pPr>
      <w:jc w:val="left"/>
      <w:outlineLvl w:val="0"/>
    </w:pPr>
    <w:rPr>
      <w:rFonts w:ascii="宋体" w:hAnsi="宋体" w:cs="宋体"/>
      <w:b/>
      <w:kern w:val="44"/>
      <w:sz w:val="48"/>
      <w:szCs w:val="48"/>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4">
    <w:name w:val="Body Text"/>
    <w:basedOn w:val="1"/>
    <w:unhideWhenUsed/>
    <w:qFormat/>
    <w:uiPriority w:val="99"/>
    <w:rPr>
      <w:rFonts w:eastAsia="仿宋_GB2312"/>
    </w:rPr>
  </w:style>
  <w:style w:type="paragraph" w:styleId="5">
    <w:name w:val="Body Text Indent"/>
    <w:basedOn w:val="1"/>
    <w:link w:val="16"/>
    <w:qFormat/>
    <w:uiPriority w:val="0"/>
    <w:pPr>
      <w:ind w:firstLine="640" w:firstLineChars="200"/>
    </w:pPr>
    <w:rPr>
      <w:rFonts w:eastAsia="仿宋_GB2312"/>
      <w:sz w:val="32"/>
    </w:rPr>
  </w:style>
  <w:style w:type="paragraph" w:styleId="6">
    <w:name w:val="Plain Text"/>
    <w:basedOn w:val="1"/>
    <w:unhideWhenUsed/>
    <w:qFormat/>
    <w:uiPriority w:val="99"/>
    <w:rPr>
      <w:rFonts w:ascii="宋体" w:hAnsi="Courier New" w:cs="Courier New"/>
      <w:szCs w:val="21"/>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rFonts w:cs="Times New Roman"/>
      <w:b/>
      <w:bCs/>
    </w:rPr>
  </w:style>
  <w:style w:type="character" w:styleId="14">
    <w:name w:val="page number"/>
    <w:basedOn w:val="12"/>
    <w:unhideWhenUsed/>
    <w:qFormat/>
    <w:uiPriority w:val="99"/>
  </w:style>
  <w:style w:type="character" w:styleId="15">
    <w:name w:val="Hyperlink"/>
    <w:basedOn w:val="12"/>
    <w:unhideWhenUsed/>
    <w:qFormat/>
    <w:uiPriority w:val="99"/>
    <w:rPr>
      <w:color w:val="0000FF"/>
      <w:u w:val="single"/>
    </w:rPr>
  </w:style>
  <w:style w:type="character" w:customStyle="1" w:styleId="16">
    <w:name w:val="正文文本缩进 Char"/>
    <w:basedOn w:val="12"/>
    <w:link w:val="5"/>
    <w:qFormat/>
    <w:uiPriority w:val="0"/>
    <w:rPr>
      <w:rFonts w:ascii="Times New Roman" w:hAnsi="Times New Roman" w:eastAsia="仿宋_GB2312" w:cs="Times New Roman"/>
      <w:sz w:val="32"/>
      <w:szCs w:val="24"/>
    </w:rPr>
  </w:style>
  <w:style w:type="character" w:customStyle="1" w:styleId="17">
    <w:name w:val="页脚 Char"/>
    <w:basedOn w:val="12"/>
    <w:link w:val="7"/>
    <w:qFormat/>
    <w:uiPriority w:val="99"/>
    <w:rPr>
      <w:rFonts w:ascii="Times New Roman" w:hAnsi="Times New Roman"/>
      <w:kern w:val="2"/>
      <w:sz w:val="18"/>
      <w:szCs w:val="18"/>
    </w:rPr>
  </w:style>
  <w:style w:type="character" w:customStyle="1" w:styleId="18">
    <w:name w:val="页眉 Char"/>
    <w:basedOn w:val="12"/>
    <w:link w:val="8"/>
    <w:semiHidden/>
    <w:qFormat/>
    <w:uiPriority w:val="99"/>
    <w:rPr>
      <w:rFonts w:ascii="Times New Roman" w:hAnsi="Times New Roman"/>
      <w:kern w:val="2"/>
      <w:sz w:val="18"/>
      <w:szCs w:val="18"/>
    </w:rPr>
  </w:style>
  <w:style w:type="character" w:customStyle="1" w:styleId="19">
    <w:name w:val="正文文本缩进 Char1"/>
    <w:basedOn w:val="12"/>
    <w:semiHidden/>
    <w:qFormat/>
    <w:uiPriority w:val="99"/>
    <w:rPr>
      <w:rFonts w:ascii="Times New Roman" w:hAnsi="Times New Roman" w:eastAsia="宋体" w:cs="Times New Roman"/>
      <w:szCs w:val="24"/>
    </w:rPr>
  </w:style>
  <w:style w:type="paragraph" w:customStyle="1" w:styleId="20">
    <w:name w:val="p0"/>
    <w:basedOn w:val="1"/>
    <w:qFormat/>
    <w:uiPriority w:val="0"/>
    <w:pPr>
      <w:widowControl/>
    </w:pPr>
    <w:rPr>
      <w:rFonts w:cs="宋体"/>
      <w:kern w:val="0"/>
      <w:szCs w:val="21"/>
    </w:rPr>
  </w:style>
  <w:style w:type="paragraph" w:customStyle="1" w:styleId="21">
    <w:name w:val="无间隔"/>
    <w:qFormat/>
    <w:uiPriority w:val="1"/>
    <w:pPr>
      <w:widowControl w:val="0"/>
      <w:jc w:val="both"/>
    </w:pPr>
    <w:rPr>
      <w:rFonts w:ascii="Calibri" w:hAnsi="Calibri" w:eastAsia="宋体" w:cs="Times New Roman"/>
      <w:kern w:val="2"/>
      <w:sz w:val="21"/>
      <w:szCs w:val="21"/>
      <w:lang w:val="en-US" w:eastAsia="zh-CN" w:bidi="ar-SA"/>
    </w:rPr>
  </w:style>
  <w:style w:type="paragraph" w:customStyle="1" w:styleId="22">
    <w:name w:val="无间隔1"/>
    <w:qFormat/>
    <w:uiPriority w:val="1"/>
    <w:pPr>
      <w:widowControl w:val="0"/>
      <w:jc w:val="both"/>
    </w:pPr>
    <w:rPr>
      <w:rFonts w:ascii="Calibri" w:hAnsi="Calibri" w:eastAsia="宋体" w:cs="Times New Roman"/>
      <w:kern w:val="2"/>
      <w:sz w:val="21"/>
      <w:szCs w:val="22"/>
      <w:lang w:val="en-US" w:eastAsia="zh-CN" w:bidi="ar-SA"/>
    </w:rPr>
  </w:style>
  <w:style w:type="paragraph" w:customStyle="1" w:styleId="23">
    <w:name w:val="_Style 0"/>
    <w:qFormat/>
    <w:uiPriority w:val="1"/>
    <w:pPr>
      <w:widowControl w:val="0"/>
      <w:jc w:val="both"/>
    </w:pPr>
    <w:rPr>
      <w:rFonts w:ascii="Calibri" w:hAnsi="Calibri" w:eastAsia="宋体" w:cs="Times New Roman"/>
      <w:kern w:val="2"/>
      <w:sz w:val="21"/>
      <w:szCs w:val="24"/>
      <w:lang w:val="en-US" w:eastAsia="zh-CN" w:bidi="ar-SA"/>
    </w:rPr>
  </w:style>
  <w:style w:type="paragraph" w:customStyle="1" w:styleId="24">
    <w:name w:val="No Spacing"/>
    <w:qFormat/>
    <w:uiPriority w:val="1"/>
    <w:pPr>
      <w:widowControl w:val="0"/>
      <w:jc w:val="both"/>
    </w:pPr>
    <w:rPr>
      <w:rFonts w:ascii="Times New Roman" w:hAnsi="Times New Roman" w:eastAsia="宋体" w:cs="Times New Roman"/>
      <w:kern w:val="2"/>
      <w:sz w:val="32"/>
      <w:szCs w:val="24"/>
      <w:lang w:val="en-US" w:eastAsia="zh-CN" w:bidi="ar-SA"/>
    </w:rPr>
  </w:style>
  <w:style w:type="paragraph" w:customStyle="1" w:styleId="25">
    <w:name w:val="_Style 1"/>
    <w:qFormat/>
    <w:uiPriority w:val="1"/>
    <w:pPr>
      <w:widowControl w:val="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1227</Words>
  <Characters>6994</Characters>
  <Lines>58</Lines>
  <Paragraphs>16</Paragraphs>
  <TotalTime>139</TotalTime>
  <ScaleCrop>false</ScaleCrop>
  <LinksUpToDate>false</LinksUpToDate>
  <CharactersWithSpaces>8205</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2016-09-27T23:14:00Z</dcterms:created>
  <dc:creator>于川卫</dc:creator>
  <cp:lastModifiedBy>婷婷</cp:lastModifiedBy>
  <cp:lastPrinted>2019-07-19T23:46:00Z</cp:lastPrinted>
  <dcterms:modified xsi:type="dcterms:W3CDTF">2021-10-09T14:44:58Z</dcterms:modified>
  <dc:title>银人常发〔2016〕44号</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B9F2BB8443FC474B9F7F22386426316D</vt:lpwstr>
  </property>
</Properties>
</file>