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right="51" w:rightChars="16"/>
        <w:rPr>
          <w:rFonts w:eastAsia="方正小标宋简体" w:cs="方正小标宋简体"/>
        </w:rPr>
      </w:pPr>
    </w:p>
    <w:p>
      <w:pPr>
        <w:spacing w:line="680" w:lineRule="exact"/>
        <w:jc w:val="center"/>
        <w:rPr>
          <w:rFonts w:hint="eastAsia" w:eastAsia="方正小标宋简体" w:cs="方正小标宋简体"/>
          <w:sz w:val="44"/>
          <w:szCs w:val="44"/>
        </w:rPr>
      </w:pPr>
      <w:r>
        <w:rPr>
          <w:rFonts w:hint="eastAsia" w:hAnsi="方正小标宋简体" w:eastAsia="方正小标宋简体" w:cs="方正小标宋简体"/>
          <w:sz w:val="44"/>
          <w:szCs w:val="44"/>
        </w:rPr>
        <w:t>宿州市人民代表大会常务委员会</w:t>
      </w:r>
    </w:p>
    <w:p>
      <w:pPr>
        <w:spacing w:line="680" w:lineRule="exact"/>
        <w:jc w:val="center"/>
        <w:rPr>
          <w:rFonts w:eastAsia="方正小标宋简体" w:cs="方正小标宋简体"/>
          <w:sz w:val="44"/>
          <w:szCs w:val="44"/>
        </w:rPr>
      </w:pPr>
      <w:r>
        <w:rPr>
          <w:rFonts w:hint="eastAsia" w:hAnsi="方正小标宋简体" w:eastAsia="方正小标宋简体" w:cs="方正小标宋简体"/>
          <w:sz w:val="44"/>
          <w:szCs w:val="44"/>
        </w:rPr>
        <w:t>关于修改《宿州市市容治理条例》的决定</w:t>
      </w:r>
    </w:p>
    <w:p>
      <w:pPr>
        <w:jc w:val="center"/>
        <w:rPr>
          <w:rFonts w:hint="eastAsia" w:eastAsia="楷体_GB2312" w:cs="楷体_GB2312"/>
        </w:rPr>
      </w:pPr>
    </w:p>
    <w:p>
      <w:pPr>
        <w:ind w:firstLine="640" w:firstLineChars="200"/>
        <w:rPr>
          <w:rFonts w:eastAsia="楷体_GB2312" w:cs="楷体_GB2312"/>
        </w:rPr>
      </w:pPr>
      <w:r>
        <w:rPr>
          <w:rFonts w:hint="eastAsia" w:hAnsi="楷体_GB2312" w:eastAsia="楷体_GB2312" w:cs="楷体_GB2312"/>
        </w:rPr>
        <w:t>（</w:t>
      </w:r>
      <w:r>
        <w:rPr>
          <w:rFonts w:eastAsia="楷体_GB2312" w:cs="楷体_GB2312"/>
        </w:rPr>
        <w:t>2021</w:t>
      </w:r>
      <w:r>
        <w:rPr>
          <w:rFonts w:hint="eastAsia" w:hAnsi="楷体_GB2312" w:eastAsia="楷体_GB2312" w:cs="楷体_GB2312"/>
        </w:rPr>
        <w:t>年</w:t>
      </w:r>
      <w:r>
        <w:rPr>
          <w:rFonts w:eastAsia="楷体_GB2312" w:cs="楷体_GB2312"/>
        </w:rPr>
        <w:t>10</w:t>
      </w:r>
      <w:r>
        <w:rPr>
          <w:rFonts w:hint="eastAsia" w:hAnsi="楷体_GB2312" w:eastAsia="楷体_GB2312" w:cs="楷体_GB2312"/>
        </w:rPr>
        <w:t>月</w:t>
      </w:r>
      <w:r>
        <w:rPr>
          <w:rFonts w:eastAsia="楷体_GB2312" w:cs="楷体_GB2312"/>
        </w:rPr>
        <w:t>22</w:t>
      </w:r>
      <w:r>
        <w:rPr>
          <w:rFonts w:hint="eastAsia" w:hAnsi="楷体_GB2312" w:eastAsia="楷体_GB2312" w:cs="楷体_GB2312"/>
        </w:rPr>
        <w:t>日宿州市第五届人民代表大会常务委员会第三十四次会议通过</w:t>
      </w:r>
      <w:r>
        <w:rPr>
          <w:rFonts w:eastAsia="楷体_GB2312"/>
        </w:rPr>
        <w:t xml:space="preserve">  2021</w:t>
      </w:r>
      <w:r>
        <w:rPr>
          <w:rFonts w:hint="eastAsia" w:eastAsia="楷体_GB2312"/>
        </w:rPr>
        <w:t>年11月</w:t>
      </w:r>
      <w:r>
        <w:rPr>
          <w:rFonts w:eastAsia="楷体_GB2312"/>
          <w:lang w:val="en"/>
        </w:rPr>
        <w:t>19</w:t>
      </w:r>
      <w:r>
        <w:rPr>
          <w:rFonts w:hint="eastAsia" w:eastAsia="楷体_GB2312"/>
        </w:rPr>
        <w:t>日安徽省第十三届人民代表大会常务委员会第三十次会议批准</w:t>
      </w:r>
      <w:r>
        <w:rPr>
          <w:rFonts w:hint="eastAsia" w:hAnsi="楷体_GB2312" w:eastAsia="楷体_GB2312" w:cs="楷体_GB2312"/>
        </w:rPr>
        <w:t>）</w:t>
      </w:r>
    </w:p>
    <w:p>
      <w:pPr>
        <w:shd w:val="clear" w:color="auto" w:fill="FFFFFF"/>
        <w:ind w:right="640" w:rightChars="200"/>
        <w:rPr>
          <w:rFonts w:cs="仿宋_GB2312"/>
          <w:bCs/>
        </w:rPr>
      </w:pP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宿州市第五届人民代表大会常务委员会第三十四次会议决定对《宿州市市容治理条例》作如下修改：</w:t>
      </w: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一、将第六条第三款修改为：</w:t>
      </w:r>
      <w:r>
        <w:rPr>
          <w:rFonts w:hint="eastAsia" w:cs="仿宋_GB2312"/>
          <w:shd w:val="clear" w:color="auto" w:fill="FFFFFF"/>
          <w:lang w:bidi="ar"/>
        </w:rPr>
        <w:t>“</w:t>
      </w:r>
      <w:r>
        <w:rPr>
          <w:rFonts w:hint="eastAsia" w:hAnsi="仿宋_GB2312" w:cs="仿宋_GB2312"/>
          <w:shd w:val="clear" w:color="auto" w:fill="FFFFFF"/>
          <w:lang w:bidi="ar"/>
        </w:rPr>
        <w:t>自然资源和规划、住房和城乡建设、房管、生态环境、公安、应急、发展改革、交通运输、民政、市场监管、卫生健康、水利、气象、数据资源等主管部门，按照职责分工做好市容治理相关工作。</w:t>
      </w:r>
      <w:r>
        <w:rPr>
          <w:rFonts w:hint="eastAsia" w:cs="仿宋_GB2312"/>
          <w:shd w:val="clear" w:color="auto" w:fill="FFFFFF"/>
          <w:lang w:bidi="ar"/>
        </w:rPr>
        <w:t>”</w:t>
      </w:r>
    </w:p>
    <w:p>
      <w:pPr>
        <w:numPr>
          <w:ilvl w:val="0"/>
          <w:numId w:val="1"/>
        </w:num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删去第十条第三款、第三十六条、第三十八条。</w:t>
      </w: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三、删去第十二条第二款，将第十二条第三款修改为：</w:t>
      </w:r>
      <w:r>
        <w:rPr>
          <w:rFonts w:hint="eastAsia" w:cs="仿宋_GB2312"/>
          <w:shd w:val="clear" w:color="auto" w:fill="FFFFFF"/>
          <w:lang w:bidi="ar"/>
        </w:rPr>
        <w:t>“</w:t>
      </w:r>
      <w:r>
        <w:rPr>
          <w:rFonts w:hint="eastAsia" w:hAnsi="仿宋_GB2312" w:cs="仿宋_GB2312"/>
          <w:shd w:val="clear" w:color="auto" w:fill="FFFFFF"/>
          <w:lang w:bidi="ar"/>
        </w:rPr>
        <w:t>因工程建设需要挖掘城市道路的，应当经城市管理行政主管部门和公安机关交通管理部门批准，在指定的时间和区域内进行。施工现场应当设置安全警示标志和安全防护设施，并将施工时间及批准文件在醒目位置公示；施工活动应当避免干扰居民生活、影响道路通行和城市容貌；施工完毕后，及时平整现场，恢复路面和设施。</w:t>
      </w:r>
      <w:r>
        <w:rPr>
          <w:rFonts w:hint="eastAsia" w:cs="仿宋_GB2312"/>
          <w:shd w:val="clear" w:color="auto" w:fill="FFFFFF"/>
          <w:lang w:bidi="ar"/>
        </w:rPr>
        <w:t>”</w:t>
      </w: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四、将第十三条修改为：</w:t>
      </w:r>
      <w:r>
        <w:rPr>
          <w:rFonts w:hint="eastAsia" w:cs="仿宋_GB2312"/>
          <w:shd w:val="clear" w:color="auto" w:fill="FFFFFF"/>
          <w:lang w:bidi="ar"/>
        </w:rPr>
        <w:t>“</w:t>
      </w:r>
      <w:r>
        <w:rPr>
          <w:rFonts w:hint="eastAsia" w:hAnsi="仿宋_GB2312" w:cs="仿宋_GB2312"/>
          <w:shd w:val="clear" w:color="auto" w:fill="FFFFFF"/>
          <w:lang w:bidi="ar"/>
        </w:rPr>
        <w:t>任何单位和个人不得擅自在街道两侧和公共场地堆放物料，搭建建（构）筑物或者其他设施；因建设等特殊需要，在街道两侧和公共场地临时堆放物料，搭建非永久性建（构）筑物或者其他设施的，应当征得城市管理行政主管部门同意后，按照有关规定办理审批手续。</w:t>
      </w:r>
      <w:r>
        <w:rPr>
          <w:rFonts w:hint="eastAsia" w:cs="仿宋_GB2312"/>
          <w:shd w:val="clear" w:color="auto" w:fill="FFFFFF"/>
          <w:lang w:bidi="ar"/>
        </w:rPr>
        <w:t>”</w:t>
      </w: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五、将第十五条第二款修改为：</w:t>
      </w:r>
      <w:r>
        <w:rPr>
          <w:rFonts w:hint="eastAsia" w:cs="仿宋_GB2312"/>
          <w:shd w:val="clear" w:color="auto" w:fill="FFFFFF"/>
          <w:lang w:bidi="ar"/>
        </w:rPr>
        <w:t>“</w:t>
      </w:r>
      <w:r>
        <w:rPr>
          <w:rFonts w:hint="eastAsia" w:hAnsi="仿宋_GB2312" w:cs="仿宋_GB2312"/>
          <w:shd w:val="clear" w:color="auto" w:fill="FFFFFF"/>
          <w:lang w:bidi="ar"/>
        </w:rPr>
        <w:t>公安机关交通管理部门应当会同城市管理行政主管部门，在城市道路范围内，按照城市容貌标准的要求，在不影响行人、车辆通行的前提下，合理、清晰划定机动车停车泊位、非机动车停车点。对城市道路范围内划定的机动车停车泊位，可以通过在部分路段超时停车收费等方式，提高利用率。机动车道路停车收费的管理由市人民政府确定。</w:t>
      </w:r>
      <w:r>
        <w:rPr>
          <w:rFonts w:hint="eastAsia" w:cs="仿宋_GB2312"/>
          <w:shd w:val="clear" w:color="auto" w:fill="FFFFFF"/>
          <w:lang w:bidi="ar"/>
        </w:rPr>
        <w:t>”</w:t>
      </w: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六、将第十八条第二款修改为：</w:t>
      </w:r>
      <w:r>
        <w:rPr>
          <w:rFonts w:hint="eastAsia" w:cs="仿宋_GB2312"/>
          <w:shd w:val="clear" w:color="auto" w:fill="FFFFFF"/>
          <w:lang w:bidi="ar"/>
        </w:rPr>
        <w:t>“</w:t>
      </w:r>
      <w:r>
        <w:rPr>
          <w:rFonts w:hint="eastAsia" w:hAnsi="仿宋_GB2312" w:cs="仿宋_GB2312"/>
          <w:shd w:val="clear" w:color="auto" w:fill="FFFFFF"/>
          <w:lang w:bidi="ar"/>
        </w:rPr>
        <w:t>组织人员、车辆等在城市道路范围内进行广告宣传的，不得影响市容、妨碍交通；参与人员、车辆较多的，应当在公安机关交通管理部门的指挥下进行。</w:t>
      </w:r>
      <w:r>
        <w:rPr>
          <w:rFonts w:hint="eastAsia" w:cs="仿宋_GB2312"/>
          <w:shd w:val="clear" w:color="auto" w:fill="FFFFFF"/>
          <w:lang w:bidi="ar"/>
        </w:rPr>
        <w:t>”</w:t>
      </w: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七、将第二十三条第一款修改为：</w:t>
      </w:r>
      <w:r>
        <w:rPr>
          <w:rFonts w:hint="eastAsia" w:cs="仿宋_GB2312"/>
          <w:shd w:val="clear" w:color="auto" w:fill="FFFFFF"/>
          <w:lang w:bidi="ar"/>
        </w:rPr>
        <w:t>“</w:t>
      </w:r>
      <w:r>
        <w:rPr>
          <w:rFonts w:hint="eastAsia" w:hAnsi="仿宋_GB2312" w:cs="仿宋_GB2312"/>
          <w:shd w:val="clear" w:color="auto" w:fill="FFFFFF"/>
          <w:lang w:bidi="ar"/>
        </w:rPr>
        <w:t>农贸市场、大型商场、广场、公园、各类车站等人流量较大的公共场所和主次干道两侧适当范围内，应当设置公共厕所和封闭式垃圾分类收集容器等设施。公共厕所应当免费开放，并在周边设立明显标志和指示牌。</w:t>
      </w:r>
      <w:r>
        <w:rPr>
          <w:rFonts w:hint="eastAsia" w:cs="仿宋_GB2312"/>
          <w:shd w:val="clear" w:color="auto" w:fill="FFFFFF"/>
          <w:lang w:bidi="ar"/>
        </w:rPr>
        <w:t>”</w:t>
      </w: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八、第二十四条增加一款作为第一款：</w:t>
      </w:r>
      <w:r>
        <w:rPr>
          <w:rFonts w:hint="eastAsia" w:cs="仿宋_GB2312"/>
          <w:shd w:val="clear" w:color="auto" w:fill="FFFFFF"/>
          <w:lang w:bidi="ar"/>
        </w:rPr>
        <w:t>“</w:t>
      </w:r>
      <w:r>
        <w:rPr>
          <w:rFonts w:hint="eastAsia" w:hAnsi="仿宋_GB2312" w:cs="仿宋_GB2312"/>
          <w:shd w:val="clear" w:color="auto" w:fill="FFFFFF"/>
          <w:lang w:bidi="ar"/>
        </w:rPr>
        <w:t>任何单位和个人都应当依法在指定的地点分类投放生活垃圾。已经分类投放的生活垃圾，应当按照规定分类收集、分类运输、分类处理。</w:t>
      </w:r>
      <w:r>
        <w:rPr>
          <w:rFonts w:hint="eastAsia" w:cs="仿宋_GB2312"/>
          <w:shd w:val="clear" w:color="auto" w:fill="FFFFFF"/>
          <w:lang w:bidi="ar"/>
        </w:rPr>
        <w:t>”</w:t>
      </w: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九、将第二十六条修改为：</w:t>
      </w:r>
      <w:r>
        <w:rPr>
          <w:rFonts w:hint="eastAsia" w:cs="仿宋_GB2312"/>
          <w:shd w:val="clear" w:color="auto" w:fill="FFFFFF"/>
          <w:lang w:bidi="ar"/>
        </w:rPr>
        <w:t>“</w:t>
      </w:r>
      <w:r>
        <w:rPr>
          <w:rFonts w:hint="eastAsia" w:hAnsi="仿宋_GB2312" w:cs="仿宋_GB2312"/>
          <w:shd w:val="clear" w:color="auto" w:fill="FFFFFF"/>
          <w:lang w:bidi="ar"/>
        </w:rPr>
        <w:t>市人民政府应当建立市、县（区）人民政府及城管、公安、市场监管、自然资源和规划、数据资源等市容治理相关部门之间的信息互通、资源共享、案情通报、案件移送、工作配合等协调、联动机制；应当整合公共设施信息和公共基础服务信息，建立综合性城市管理数据库和全市统一的市容服务平台，推动市容治理智慧化。</w:t>
      </w:r>
      <w:r>
        <w:rPr>
          <w:rFonts w:hint="eastAsia" w:cs="仿宋_GB2312"/>
          <w:shd w:val="clear" w:color="auto" w:fill="FFFFFF"/>
          <w:lang w:bidi="ar"/>
        </w:rPr>
        <w:t>”</w:t>
      </w: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十、增加一条作为第三十四条：</w:t>
      </w:r>
      <w:r>
        <w:rPr>
          <w:rFonts w:hint="eastAsia" w:cs="仿宋_GB2312"/>
          <w:shd w:val="clear" w:color="auto" w:fill="FFFFFF"/>
          <w:lang w:bidi="ar"/>
        </w:rPr>
        <w:t>“</w:t>
      </w:r>
      <w:r>
        <w:rPr>
          <w:rFonts w:hint="eastAsia" w:hAnsi="仿宋_GB2312" w:cs="仿宋_GB2312"/>
          <w:shd w:val="clear" w:color="auto" w:fill="FFFFFF"/>
          <w:lang w:bidi="ar"/>
        </w:rPr>
        <w:t>违反本条例规定，有关法律、法规已有处罚规定的，从其规定。</w:t>
      </w:r>
      <w:r>
        <w:rPr>
          <w:rFonts w:hint="eastAsia" w:cs="仿宋_GB2312"/>
          <w:shd w:val="clear" w:color="auto" w:fill="FFFFFF"/>
          <w:lang w:bidi="ar"/>
        </w:rPr>
        <w:t>”</w:t>
      </w: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十一、将第三十四条改为第三十五条，修改为：</w:t>
      </w:r>
      <w:r>
        <w:rPr>
          <w:rFonts w:hint="eastAsia" w:cs="仿宋_GB2312"/>
          <w:shd w:val="clear" w:color="auto" w:fill="FFFFFF"/>
          <w:lang w:bidi="ar"/>
        </w:rPr>
        <w:t>“</w:t>
      </w:r>
      <w:r>
        <w:rPr>
          <w:rFonts w:hint="eastAsia" w:hAnsi="仿宋_GB2312" w:cs="仿宋_GB2312"/>
          <w:shd w:val="clear" w:color="auto" w:fill="FFFFFF"/>
          <w:lang w:bidi="ar"/>
        </w:rPr>
        <w:t>违反本条例第十条第一款规定，在主次干道临街建筑物的窗外、屋顶和外走廊长期堆放、悬挂物品，影响市容的，由城市管理行政执法部门责令纠正违法行为、采取补救措施，可以处警告，并可以处二十元以上五十元以下罚款。</w:t>
      </w:r>
      <w:r>
        <w:rPr>
          <w:rFonts w:hint="eastAsia" w:cs="仿宋_GB2312"/>
          <w:shd w:val="clear" w:color="auto" w:fill="FFFFFF"/>
          <w:lang w:bidi="ar"/>
        </w:rPr>
        <w:t>”</w:t>
      </w: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十二、将第三十五条改为三十六条，修改为：</w:t>
      </w:r>
      <w:r>
        <w:rPr>
          <w:rFonts w:hint="eastAsia" w:cs="仿宋_GB2312"/>
          <w:shd w:val="clear" w:color="auto" w:fill="FFFFFF"/>
          <w:lang w:bidi="ar"/>
        </w:rPr>
        <w:t>“</w:t>
      </w:r>
      <w:r>
        <w:rPr>
          <w:rFonts w:hint="eastAsia" w:hAnsi="仿宋_GB2312" w:cs="仿宋_GB2312"/>
          <w:shd w:val="clear" w:color="auto" w:fill="FFFFFF"/>
          <w:lang w:bidi="ar"/>
        </w:rPr>
        <w:t>违反本条例第十三条规定，未经城市管理行政主管部门批准，擅自在街道两侧和公共场地堆放物料，影响市容的，由城市管理行政执法部门责令停止违法行为，限期清理、拆除或者采取其他补救措施，可以处一百元以上五百元以下罚款；擅自在街道两侧和公共场地搭建建（构）筑物及其他设施，影响市容的，由城市管理行政执法部门责令停止违法行为，限期清理、拆除或者采取其他补救措施，可以处五百元以上二千五百元以下罚款。</w:t>
      </w:r>
      <w:r>
        <w:rPr>
          <w:rFonts w:hint="eastAsia" w:cs="仿宋_GB2312"/>
          <w:shd w:val="clear" w:color="auto" w:fill="FFFFFF"/>
          <w:lang w:bidi="ar"/>
        </w:rPr>
        <w:t>”</w:t>
      </w: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十三、增加一条作为第三十七条：</w:t>
      </w:r>
      <w:r>
        <w:rPr>
          <w:rFonts w:hint="eastAsia" w:cs="仿宋_GB2312"/>
          <w:shd w:val="clear" w:color="auto" w:fill="FFFFFF"/>
          <w:lang w:bidi="ar"/>
        </w:rPr>
        <w:t>“</w:t>
      </w:r>
      <w:r>
        <w:rPr>
          <w:rFonts w:hint="eastAsia" w:hAnsi="仿宋_GB2312" w:cs="仿宋_GB2312"/>
          <w:shd w:val="clear" w:color="auto" w:fill="FFFFFF"/>
          <w:lang w:bidi="ar"/>
        </w:rPr>
        <w:t>违反本条例第十七条第二款规定，未经城市管理行政主管部门同意，擅自设置大型户外广告，影响市容的，由城市管理行政执法部门责令停止违法行为，限期清理、拆除或者采取其他补救措施，可以处一千元以上二千五百元以下罚款。</w:t>
      </w:r>
      <w:r>
        <w:rPr>
          <w:rFonts w:hint="eastAsia" w:cs="仿宋_GB2312"/>
          <w:shd w:val="clear" w:color="auto" w:fill="FFFFFF"/>
          <w:lang w:bidi="ar"/>
        </w:rPr>
        <w:t>”</w:t>
      </w: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十四、将第三十七条改为第三十八条，修改为：</w:t>
      </w:r>
      <w:r>
        <w:rPr>
          <w:rFonts w:hint="eastAsia" w:cs="仿宋_GB2312"/>
          <w:shd w:val="clear" w:color="auto" w:fill="FFFFFF"/>
          <w:lang w:bidi="ar"/>
        </w:rPr>
        <w:t>“</w:t>
      </w:r>
      <w:r>
        <w:rPr>
          <w:rFonts w:hint="eastAsia" w:hAnsi="仿宋_GB2312" w:cs="仿宋_GB2312"/>
          <w:shd w:val="clear" w:color="auto" w:fill="FFFFFF"/>
          <w:lang w:bidi="ar"/>
        </w:rPr>
        <w:t>违反本条例第十八条第四款规定，在城市建（构）筑物、设施以及树木上涂写、刻画，或者未经批准张贴标语和广告的，由城市管理行政执法部门责令纠正违法行为、采取补救措施，可以处警告，并可以处一百元以上五百元以下罚款。</w:t>
      </w:r>
      <w:r>
        <w:rPr>
          <w:rFonts w:hint="eastAsia" w:cs="仿宋_GB2312"/>
          <w:shd w:val="clear" w:color="auto" w:fill="FFFFFF"/>
          <w:lang w:bidi="ar"/>
        </w:rPr>
        <w:t>”</w:t>
      </w: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本决定自公布之日起施行。</w:t>
      </w:r>
    </w:p>
    <w:p>
      <w:pPr>
        <w:ind w:firstLine="640" w:firstLineChars="200"/>
        <w:rPr>
          <w:rFonts w:cs="仿宋_GB2312"/>
          <w:shd w:val="clear" w:color="auto" w:fill="FFFFFF"/>
          <w:lang w:bidi="ar"/>
        </w:rPr>
      </w:pPr>
      <w:r>
        <w:rPr>
          <w:rFonts w:hint="eastAsia" w:hAnsi="仿宋_GB2312" w:cs="仿宋_GB2312"/>
          <w:shd w:val="clear" w:color="auto" w:fill="FFFFFF"/>
          <w:lang w:bidi="ar"/>
        </w:rPr>
        <w:t>《宿州市市容治理条例》根据本决定作相应修改，重新公布。</w:t>
      </w:r>
    </w:p>
    <w:p>
      <w:pPr>
        <w:spacing w:line="620" w:lineRule="exact"/>
        <w:rPr>
          <w:rFonts w:eastAsia="仿宋" w:cs="仿宋"/>
        </w:rPr>
      </w:pPr>
    </w:p>
    <w:p>
      <w:pPr>
        <w:spacing w:line="620" w:lineRule="exact"/>
        <w:ind w:firstLine="640" w:firstLineChars="200"/>
        <w:rPr>
          <w:rFonts w:cs="仿宋_GB2312"/>
          <w:shd w:val="clear" w:color="auto" w:fill="FFFFFF"/>
          <w:lang w:bidi="ar"/>
        </w:rPr>
      </w:pPr>
    </w:p>
    <w:p>
      <w:pPr>
        <w:spacing w:line="620" w:lineRule="exact"/>
        <w:ind w:firstLine="640" w:firstLineChars="200"/>
        <w:rPr>
          <w:rFonts w:cs="仿宋_GB2312"/>
          <w:shd w:val="clear" w:color="auto" w:fill="FFFFFF"/>
          <w:lang w:bidi="ar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D96450"/>
    <w:multiLevelType w:val="singleLevel"/>
    <w:tmpl w:val="94D96450"/>
    <w:lvl w:ilvl="0" w:tentative="0">
      <w:start w:val="2"/>
      <w:numFmt w:val="chineseCounting"/>
      <w:suff w:val="nothing"/>
      <w:lvlText w:val="%1、"/>
      <w:lvlJc w:val="left"/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F78FE"/>
    <w:rsid w:val="795F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2021-12-14T02:29:00Z</dcterms:created>
  <dc:creator>川人张</dc:creator>
  <cp:lastModifiedBy>川人张</cp:lastModifiedBy>
  <dcterms:modified xsi:type="dcterms:W3CDTF">2021-12-14T02:29:39Z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A0D317B7DB3B42EAB572570EDF0957BF</vt:lpwstr>
  </property>
</Properties>
</file>