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铜陵市人民代表大会常务委员会关于修改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《铜陵市生活垃圾分类管理条例》的决定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（2022年10月26日铜陵市第十七届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常务委员会第五次会议通过</w:t>
      </w:r>
      <w:r>
        <w:rPr>
          <w:rFonts w:ascii="Times New Roman" w:hAnsi="Times New Roman" w:eastAsia="楷体_GB2312"/>
          <w:sz w:val="32"/>
        </w:rPr>
        <w:t>　2023年3月31日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安徽省</w:t>
      </w:r>
      <w:r>
        <w:rPr>
          <w:rFonts w:ascii="楷体_GB2312" w:hAnsi="楷体_GB2312" w:eastAsia="楷体_GB2312"/>
          <w:sz w:val="32"/>
        </w:rPr>
        <w:t>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第一次会议批准）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铜陵市第十七届人民代表大会常委会第五次会议决定对《铜陵市生活垃圾分类管理条例》作如下修改：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四十条修改为：“违反第二十条第一款规定，未按照分类要求将生活垃圾投放至相应的收集容器的，由市容环境卫生主管部门责令改正；情节严重的，对个人处五十元以上二百元以下的罚款，对单位处五万元以上五十万元以下的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第四十一条第二项修改为：“（二）违反第二十六条第三项规定，未实行密闭运输的，责令限期改正，逾期不改正的，处五千元以上三万元以下的罚款；在运输途中，丢弃、遗撒生活垃圾的，责令立即改正，处五万元以上五十万元以下的罚款，并没收违法所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将第四十二条第三项修改为：“（三）违反第三十二条第六项规定，未经批准擅自停业、歇业的，由市容环境卫生主管部门责令限期改正，处十万元以上一百万元以下的罚款，并没收违法所得。</w:t>
      </w:r>
      <w:bookmarkStart w:id="0" w:name="_GoBack"/>
      <w:r>
        <w:rPr>
          <w:rFonts w:ascii="仿宋_GB2312" w:hAnsi="仿宋_GB2312" w:eastAsia="仿宋_GB2312"/>
          <w:sz w:val="32"/>
        </w:rPr>
        <w:t>”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此外，对条例的部分文字进行了修改。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《铜陵市生活垃圾分类管理条例》根据本决定作相应修改，重新公布。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D9D4D16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  <w:style w:type="paragraph" w:customStyle="1" w:styleId="10">
    <w:name w:val="PageNumberStyle"/>
    <w:autoRedefine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2024-02-25T08:27:22Z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