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马鞍山市文物保护条例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（2022年4月29日马鞍山市第十七届人民代表大会常务委员会第二次会议通过　2022年5月27日安徽省第十三届人民代表大会常务委员会第三十四次会议批准）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文物保护，促进科学研究和合理利用，进行爱国主义和革命传统教育，传承和弘扬优秀历史文化，根据《中华人民共和国文物保护法》《中华人民共和国文物保护法实施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本条例适用于本市行政区域内文物保护、利用和监督管理及其相关活动。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市、县（区）、乡镇人民政府负责本行政区域内的文物保护工作。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开发区（园区）管委会应当根据职责，做好其管辖范围内的文物保护工作。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街道办事处在其职责范围内，协助做好辖区内的文物保护工作。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市、县（区）人民政府文物主管部门对本行政区域内文物保护实施监督管理。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自然资源和规划、生态环境、住房和城乡建设、公安、退役军人事务、财政、市场监督管理、城市管理、教育、交通运输、水利、农业农村、民族宗教、海关等有关部门应当在各自职责范围内做好文物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文物和博物馆单位法定代表人或者文物所有人、使用人是文物安全直接责任人，应当加强文物安全管理，完善安全防护措施。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市、县（区）人民政府应当将文物保护事业纳入本级国民经济和社会发展规划，所需经费列入同级财政预算，确保文物事业发展与国民经济和社会发展水平相适应。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市、县（区）人民政府应当建立文物保护专家咨询机制，对文物保护有关事项提供专业技术支持。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市、县（区）人民政府应当加强文物保护宣传教育，增强全民文物保护意识。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鼓励公民、法人和其他组织开展文物保护志愿服务活动，文物主管部门应当提供指导和支持。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报刊、广播、电视、网络等媒体应当开展文物保护宣传，按照规定发布文物保护公益广告。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任何组织或者个人都有依法保护文物的义务。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鼓励公民、法人和其他组织参与文物保护，依法设立文物保护基金。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对文物保护事迹突出的组织或者个人，依法给予表彰奖励。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市、县（区）人民政府应当建立文物普查制度，组织文物普查，并将普查成果向社会公布。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根据不可移动文物的历史、艺术、科学价值，依法核定公布市级、县级文物保护单位，按照法定程序申报全国重点文物保护单位和省级文物保护单位。尚未核定公布为文物保护单位的不可移动文物，由县（区）人民政府文物主管部门登记公布，参照县级文物保护单位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市、县人民政府应当将本级文物主管部门纳入国土利用和规划建设协调决策机制成员单位。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本市行政区域内各级国土空间总体规划在编制前，应当根据文物保护的需要，由自然资源和规划部门会同文物主管部门商定不可移动文物的空间管控内容和保护措施，并纳入规划。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市、县（区）人民政府文物主管部门应当组织编制本行政区域不可移动文物保护专项规划</w:t>
      </w:r>
      <w:bookmarkStart w:id="0" w:name="_GoBack"/>
      <w:r>
        <w:rPr>
          <w:rFonts w:ascii="仿宋_GB2312" w:hAnsi="仿宋_GB2312" w:eastAsia="仿宋_GB2312"/>
          <w:sz w:val="32"/>
        </w:rPr>
        <w:t>，</w:t>
      </w:r>
      <w:bookmarkEnd w:id="0"/>
      <w:r>
        <w:rPr>
          <w:rFonts w:ascii="仿宋_GB2312" w:hAnsi="仿宋_GB2312" w:eastAsia="仿宋_GB2312"/>
          <w:sz w:val="32"/>
        </w:rPr>
        <w:t>经批准后纳入国土空间详细规划。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在实施旧城改造和其他大型基本建设工程前，应当由文物主管部门依法进行文物调查。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经文物主管部门核定可能存在历史文化遗存的土地，在完成考古调查、勘探、发掘前，一般不予收储入库或者出让。具体空间范围，由文物主管部门商自然资源和规划部门确定。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市、县级文物保护单位的保护范围和建设控制地带依法划定和公布后，应当由核定公布该文物保护单位的人民政府作出标志说明，建立记录档案，设置专门机构或者指定专人负责管理。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市、县（区）文物主管部门自保护范围和建设控制地带划定公布之日起三个月内，竖立保护界桩。市、县文物主管部门应当组织编制文物保护单位的矢量数据，并提供给同级自然资源和规划部门。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禁止损毁、擅自移动文物保护单位保护标志和保护界桩。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在文物保护单位的保护范围内，禁止下列行为：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（一）种植危害文物安全的植物；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（二）设置危害文物安全的户外广告设施；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（三）擅自修建人造景点；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（四）取土、打井、挖建沟渠池塘、深翻土地、建坟、修墓等可能危害文物安全的行为；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在文物保护单位的建设控制地带内，禁止下列行为：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（一）建设易燃、易爆、有腐蚀性以及污染文物保护单位及其环境的工程；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（二）经营易燃、易爆、有腐蚀性以及污染文物保护单位及其环境的项目；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（三）生产、存储易燃、易爆、有腐蚀性以及污染文物保护单位及其环境的物品；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（四）可能危及文物保护单位安全的地下开采；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（五）其他可能影响文物保护单位安全、历史风貌及其环境的行为。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在文物保护单位的建设控制地带内新建、改建建筑物、构筑物，其风格、高度、体量、色调等应当与该文物保护单位的周围环境风貌相协调，工程设计方案应当符合文物保护有关规定，并履行报批手续。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市、县（区）人民政府应当制定具体保护措施对下列文物实行保护管理：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（一）以凌家滩遗址、和县猿人遗址为代表的古遗址；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（二）以李白墓、朱然家族墓地、洞阳东吴墓为代表的古墓葬；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（三）以陋室、镇淮楼、黄山塔、叶家桥、江淮桥、济美坊为代表的古建筑；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（四）以西梁山纪念地、濮塘烈士陵园为代表的革命文物；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（五）以马钢9号高炉为代表的工业遗产物质遗存；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（六）以采石太白楼、含山古昭关、和县霸王祠、当涂金柱塔为代表的长江文化景观；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（七）需要重点保护的其他文物。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国有不可移动文物由使用人负责修缮、保养；非国有不可移动文物由所有人负责修缮、保养。不可移动文物所有权不明确、国有不可移动文物无使用人或者使用人不明确的，所在地县级人民政府负责修缮、保养。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所有人修缮非国有不可移动文物时，市、县（区）人民政府可以给予适当补助。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社会力量投资保护修缮市、县级国有不可移动文物的，可以在约定期限内依法使用并享有相应收益，但不得改变文物的所有权。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在建设工程和农业生产等活动中，任何组织或者个人发现文物或者疑似文物，应当保护现场，并立即报告当地文物主管部门。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文物主管部门接到报告后，应当在二十四小时内赶到现场，依法采取保护措施，并在五日内提出处理意见，必要时可以报请当地人民政府通知公安机关协助保护现场；需要进行考古勘探、发掘的，依法向上级文物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在建设工程和农业生产等活动中发现重要文物的，应当立即上报省和国家文物主管部门。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发现文物或者疑似文物需要认定的，市、县文物主管部门应当在二十个工作日内完成认定工作。文物认定发生争议的，市、县文物主管部门应当在三个工作日内报省文物主管部门裁定。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博物馆、图书馆、纪念馆、档案馆和其他文物收藏单位应当妥善保管收藏的文物，依法区分文物等级，设置藏品档案，建立管理制度，并报所在地文物主管部门备案，接受指导和监督。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具备开放条件的国有不可移动文物，应当依法向社会公众开放。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国有文物保护单位中的古建筑和纪念建筑物，可以用作博物馆、纪念馆或者其他参观、游览场所；拟作其他用途的，应当根据文物保护单位的级别，报核定公布该文物保护单位的人民政府批准。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文物收藏单位应当利用收藏的文物进行研究、展示、教育等活动。有条件的文物收藏单位，可以向社会公众开放，提供参观、游览和科学研究等服务，但应当保证文物安全，不得损害文物。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鼓励文物收藏单位依法利用收藏的文物开发文博创意产品，打造地方特色文化创意品牌。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市、县（区）人民政府及其有关部门应当加强引导，为社会资本参与文化创意产品的研发、经营等活动提供指导和便利条件。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鼓励博物馆、纪念馆、档案馆、文物保护单位管理机构与学校签订共建协议。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各级各类学校应当定期组织学生到博物馆、纪念馆、档案馆、文物保护单位开展爱国主义、革命传统、中华优秀文化等主题的教育实践活动或者研学活动。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市、县（区）人民政府应当制定扶持政策，鼓励合理利用文物，支持建立博物馆、纪念馆，并对社会公众开放或者用作旅游观光场所。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依法设立的非国有文物收藏单位与国有文物收藏单位享受同等扶持政策。文物主管部门应当提供必要的信息、服务和技术指导。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鼓励充分运用互联网、大数据、云计算、人工智能等现代信息技术，推进文物数字化工作。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文物主管部门和发展改革、自然资源和规划、公安等部门应当建立文物信息共享机制。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市、县（区）人民政府及其部门在行使职能时，涉及到文物保护、利用的，应当征求文物主管部门意见。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文物主管部门应当建立文物违法行为举报制度，公开举报方式，及时调查处理并回复举报人。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市、县人民政府应当明确文物执法机构及其职能，配备相应的文物专业人员。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文物执法人员依法实施监督检查，可以采取下列措施，有关单位和个人应当配合：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（一）进入现场进行检查；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（二）查阅、复制有关文件资料；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（三）询问有关人员；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（四）责令行为人停止侵害文物的行为。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违反本条例第十三条第三款规定，损毁、擅自移动保护标志、保护界桩的，由文物主管部门责令改正、恢复原状、赔偿损失，给予警告，并处五十元以上二百元以下罚款。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违反本条例第十四条第一款规定，由文物主管部门责令改正、恢复原状，并按照以下规定处以罚款：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（一）种植危害文物安全的植物的，处二百元以上一千元以下罚款；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（二）设置危害文物安全的户外广告设施的，处五百元以上二千五百元以下罚款；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（三）取土、打井、挖建沟渠池塘、深翻土地、建坟、修墓等可能危害文物安全的，可以处一千元以上五千元以下罚款。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有关管理部门及其工作人员违反本条例规定，在文物保护工作中滥用职权、徇私舞弊、玩忽职守的，对直接负责的主管人员和其他直接责任人员，依法给予处分。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对具备文物申报条件或者具有显著文物价值的工业遗产物质遗存可以参照本条例予以先行保护和利用。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本条例自2022年10月1日起施行。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C422C2"/>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2023-12-03T02:03:22Z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