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宋体" w:hAnsi="宋体"/>
        </w:rPr>
      </w:pPr>
    </w:p>
    <w:p>
      <w:pPr>
        <w:pStyle w:val="10"/>
        <w:adjustRightInd w:val="0"/>
        <w:snapToGrid w:val="0"/>
        <w:spacing w:line="560" w:lineRule="exact"/>
        <w:ind w:firstLine="0"/>
        <w:jc w:val="center"/>
        <w:rPr>
          <w:rFonts w:ascii="宋体" w:hAnsi="宋体" w:eastAsia="宋体"/>
          <w:szCs w:val="32"/>
        </w:rPr>
      </w:pPr>
    </w:p>
    <w:p>
      <w:pPr>
        <w:overflowPunct w:val="0"/>
        <w:autoSpaceDE w:val="0"/>
        <w:autoSpaceDN w:val="0"/>
        <w:adjustRightInd w:val="0"/>
        <w:snapToGrid w:val="0"/>
        <w:spacing w:line="560" w:lineRule="exact"/>
        <w:jc w:val="center"/>
        <w:outlineLvl w:val="0"/>
        <w:rPr>
          <w:rFonts w:ascii="宋体" w:hAnsi="宋体" w:eastAsia="宋体" w:cs="宋体"/>
          <w:sz w:val="44"/>
          <w:szCs w:val="44"/>
        </w:rPr>
      </w:pPr>
      <w:r>
        <w:rPr>
          <w:rFonts w:hint="eastAsia" w:ascii="宋体" w:hAnsi="宋体" w:eastAsia="宋体" w:cs="宋体"/>
          <w:sz w:val="44"/>
          <w:szCs w:val="44"/>
        </w:rPr>
        <w:t>临沂市优化营商环境条例</w:t>
      </w:r>
    </w:p>
    <w:p>
      <w:pPr>
        <w:pStyle w:val="2"/>
        <w:adjustRightInd w:val="0"/>
        <w:snapToGrid w:val="0"/>
        <w:spacing w:line="560" w:lineRule="exact"/>
        <w:rPr>
          <w:rFonts w:ascii="宋体" w:hAnsi="宋体"/>
        </w:rPr>
      </w:pPr>
    </w:p>
    <w:p>
      <w:pPr>
        <w:autoSpaceDE w:val="0"/>
        <w:adjustRightInd w:val="0"/>
        <w:snapToGrid w:val="0"/>
        <w:spacing w:line="560" w:lineRule="exact"/>
        <w:ind w:left="566" w:leftChars="177" w:right="621" w:rightChars="194"/>
        <w:rPr>
          <w:rFonts w:ascii="楷体_GB2312" w:hAnsi="黑体" w:eastAsia="楷体_GB2312" w:cs="楷体_GB2312"/>
          <w:color w:val="000000"/>
        </w:rPr>
      </w:pPr>
      <w:r>
        <w:rPr>
          <w:rFonts w:hint="eastAsia" w:ascii="楷体_GB2312" w:hAnsi="黑体" w:eastAsia="楷体_GB2312" w:cs="楷体_GB2312"/>
          <w:color w:val="000000"/>
        </w:rPr>
        <w:t xml:space="preserve">（2022年12月13日临沂市第二十届人民代表大会常务委员会第七次会议通过  </w:t>
      </w:r>
      <w:r>
        <w:rPr>
          <w:rFonts w:hint="eastAsia" w:ascii="楷体_GB2312" w:hAnsi="黑体" w:eastAsia="楷体_GB2312" w:cs="楷体_GB2312"/>
        </w:rPr>
        <w:t>2</w:t>
      </w:r>
      <w:r>
        <w:rPr>
          <w:rFonts w:hint="eastAsia" w:ascii="楷体_GB2312" w:hAnsi="黑体" w:eastAsia="楷体_GB2312" w:cs="楷体_GB2312"/>
          <w:color w:val="000000"/>
        </w:rPr>
        <w:t>023年1月10日山东省第十三届人民代表大会常务委员会第四十一次会议批准）</w:t>
      </w:r>
    </w:p>
    <w:p>
      <w:pPr>
        <w:pStyle w:val="2"/>
        <w:adjustRightInd w:val="0"/>
        <w:snapToGrid w:val="0"/>
        <w:spacing w:line="560" w:lineRule="exact"/>
        <w:rPr>
          <w:rFonts w:ascii="宋体" w:hAnsi="宋体" w:eastAsia="楷体_GB2312" w:cs="楷体_GB2312"/>
        </w:rPr>
      </w:pPr>
    </w:p>
    <w:p>
      <w:pPr>
        <w:overflowPunct w:val="0"/>
        <w:autoSpaceDE w:val="0"/>
        <w:autoSpaceDN w:val="0"/>
        <w:adjustRightInd w:val="0"/>
        <w:snapToGrid w:val="0"/>
        <w:spacing w:line="560" w:lineRule="exact"/>
        <w:jc w:val="center"/>
        <w:rPr>
          <w:rFonts w:ascii="楷体_GB2312" w:hAnsi="楷体_GB2312" w:eastAsia="楷体_GB2312" w:cs="楷体_GB2312"/>
        </w:rPr>
      </w:pPr>
      <w:r>
        <w:rPr>
          <w:rFonts w:hint="eastAsia" w:ascii="楷体_GB2312" w:hAnsi="楷体_GB2312" w:eastAsia="楷体_GB2312" w:cs="楷体_GB2312"/>
        </w:rPr>
        <w:t>目  录</w:t>
      </w:r>
    </w:p>
    <w:p>
      <w:pPr>
        <w:overflowPunct w:val="0"/>
        <w:autoSpaceDE w:val="0"/>
        <w:autoSpaceDN w:val="0"/>
        <w:adjustRightInd w:val="0"/>
        <w:snapToGrid w:val="0"/>
        <w:spacing w:line="560" w:lineRule="exact"/>
        <w:ind w:firstLine="640" w:firstLineChars="200"/>
        <w:rPr>
          <w:rFonts w:ascii="宋体" w:hAnsi="宋体" w:eastAsia="楷体_GB2312"/>
        </w:rPr>
      </w:pPr>
      <w:r>
        <w:rPr>
          <w:rFonts w:hint="eastAsia" w:ascii="宋体" w:hAnsi="宋体" w:eastAsia="楷体_GB2312"/>
        </w:rPr>
        <w:t>第一章</w:t>
      </w:r>
      <w:r>
        <w:rPr>
          <w:rFonts w:ascii="宋体" w:hAnsi="宋体" w:eastAsia="楷体_GB2312"/>
        </w:rPr>
        <w:t xml:space="preserve">  </w:t>
      </w:r>
      <w:r>
        <w:rPr>
          <w:rFonts w:hint="eastAsia" w:ascii="宋体" w:hAnsi="宋体" w:eastAsia="楷体_GB2312"/>
        </w:rPr>
        <w:t>总则</w:t>
      </w:r>
    </w:p>
    <w:p>
      <w:pPr>
        <w:tabs>
          <w:tab w:val="left" w:pos="1985"/>
        </w:tabs>
        <w:overflowPunct w:val="0"/>
        <w:autoSpaceDE w:val="0"/>
        <w:autoSpaceDN w:val="0"/>
        <w:adjustRightInd w:val="0"/>
        <w:snapToGrid w:val="0"/>
        <w:spacing w:line="560" w:lineRule="exact"/>
        <w:ind w:firstLine="640" w:firstLineChars="200"/>
        <w:rPr>
          <w:rFonts w:ascii="宋体" w:hAnsi="宋体" w:eastAsia="楷体_GB2312"/>
        </w:rPr>
      </w:pPr>
      <w:r>
        <w:rPr>
          <w:rFonts w:hint="eastAsia" w:ascii="宋体" w:hAnsi="宋体" w:eastAsia="楷体_GB2312"/>
        </w:rPr>
        <w:t>第二章</w:t>
      </w:r>
      <w:r>
        <w:rPr>
          <w:rFonts w:ascii="宋体" w:hAnsi="宋体" w:eastAsia="楷体_GB2312"/>
        </w:rPr>
        <w:t xml:space="preserve">  </w:t>
      </w:r>
      <w:r>
        <w:rPr>
          <w:rFonts w:hint="eastAsia" w:ascii="宋体" w:hAnsi="宋体" w:eastAsia="楷体_GB2312"/>
        </w:rPr>
        <w:t>市场环境</w:t>
      </w:r>
    </w:p>
    <w:p>
      <w:pPr>
        <w:overflowPunct w:val="0"/>
        <w:autoSpaceDE w:val="0"/>
        <w:autoSpaceDN w:val="0"/>
        <w:adjustRightInd w:val="0"/>
        <w:snapToGrid w:val="0"/>
        <w:spacing w:line="560" w:lineRule="exact"/>
        <w:ind w:firstLine="640" w:firstLineChars="200"/>
        <w:rPr>
          <w:rFonts w:ascii="宋体" w:hAnsi="宋体" w:eastAsia="楷体_GB2312"/>
        </w:rPr>
      </w:pPr>
      <w:r>
        <w:rPr>
          <w:rFonts w:hint="eastAsia" w:ascii="宋体" w:hAnsi="宋体" w:eastAsia="楷体_GB2312"/>
        </w:rPr>
        <w:t>第三章</w:t>
      </w:r>
      <w:r>
        <w:rPr>
          <w:rFonts w:ascii="宋体" w:hAnsi="宋体" w:eastAsia="楷体_GB2312"/>
        </w:rPr>
        <w:t xml:space="preserve">  </w:t>
      </w:r>
      <w:r>
        <w:rPr>
          <w:rFonts w:hint="eastAsia" w:ascii="宋体" w:hAnsi="宋体" w:eastAsia="楷体_GB2312"/>
        </w:rPr>
        <w:t>政务环境</w:t>
      </w:r>
    </w:p>
    <w:p>
      <w:pPr>
        <w:overflowPunct w:val="0"/>
        <w:autoSpaceDE w:val="0"/>
        <w:autoSpaceDN w:val="0"/>
        <w:adjustRightInd w:val="0"/>
        <w:snapToGrid w:val="0"/>
        <w:spacing w:line="560" w:lineRule="exact"/>
        <w:ind w:firstLine="640" w:firstLineChars="200"/>
        <w:rPr>
          <w:rFonts w:ascii="宋体" w:hAnsi="宋体" w:eastAsia="楷体_GB2312"/>
        </w:rPr>
      </w:pPr>
      <w:r>
        <w:rPr>
          <w:rFonts w:hint="eastAsia" w:ascii="宋体" w:hAnsi="宋体" w:eastAsia="楷体_GB2312"/>
        </w:rPr>
        <w:t>第四章</w:t>
      </w:r>
      <w:r>
        <w:rPr>
          <w:rFonts w:ascii="宋体" w:hAnsi="宋体" w:eastAsia="楷体_GB2312"/>
        </w:rPr>
        <w:t xml:space="preserve">  </w:t>
      </w:r>
      <w:r>
        <w:rPr>
          <w:rFonts w:hint="eastAsia" w:ascii="宋体" w:hAnsi="宋体" w:eastAsia="楷体_GB2312"/>
        </w:rPr>
        <w:t>法治环境</w:t>
      </w:r>
    </w:p>
    <w:p>
      <w:pPr>
        <w:overflowPunct w:val="0"/>
        <w:autoSpaceDE w:val="0"/>
        <w:autoSpaceDN w:val="0"/>
        <w:adjustRightInd w:val="0"/>
        <w:snapToGrid w:val="0"/>
        <w:spacing w:line="560" w:lineRule="exact"/>
        <w:ind w:firstLine="640" w:firstLineChars="200"/>
        <w:rPr>
          <w:rFonts w:ascii="宋体" w:hAnsi="宋体" w:eastAsia="楷体_GB2312"/>
        </w:rPr>
      </w:pPr>
      <w:r>
        <w:rPr>
          <w:rFonts w:hint="eastAsia" w:ascii="宋体" w:hAnsi="宋体" w:eastAsia="楷体_GB2312"/>
        </w:rPr>
        <w:t>第五章</w:t>
      </w:r>
      <w:r>
        <w:rPr>
          <w:rFonts w:ascii="宋体" w:hAnsi="宋体" w:eastAsia="楷体_GB2312"/>
        </w:rPr>
        <w:t xml:space="preserve">  </w:t>
      </w:r>
      <w:r>
        <w:rPr>
          <w:rFonts w:hint="eastAsia" w:ascii="宋体" w:hAnsi="宋体" w:eastAsia="楷体_GB2312"/>
        </w:rPr>
        <w:t>人文环境</w:t>
      </w:r>
    </w:p>
    <w:p>
      <w:pPr>
        <w:overflowPunct w:val="0"/>
        <w:autoSpaceDE w:val="0"/>
        <w:autoSpaceDN w:val="0"/>
        <w:adjustRightInd w:val="0"/>
        <w:snapToGrid w:val="0"/>
        <w:spacing w:line="560" w:lineRule="exact"/>
        <w:ind w:firstLine="640" w:firstLineChars="200"/>
        <w:rPr>
          <w:rFonts w:ascii="宋体" w:hAnsi="宋体" w:eastAsia="楷体_GB2312"/>
        </w:rPr>
      </w:pPr>
      <w:r>
        <w:rPr>
          <w:rFonts w:hint="eastAsia" w:ascii="宋体" w:hAnsi="宋体" w:eastAsia="楷体_GB2312"/>
        </w:rPr>
        <w:t>第六章</w:t>
      </w:r>
      <w:r>
        <w:rPr>
          <w:rFonts w:ascii="宋体" w:hAnsi="宋体" w:eastAsia="楷体_GB2312"/>
        </w:rPr>
        <w:t xml:space="preserve">  </w:t>
      </w:r>
      <w:r>
        <w:rPr>
          <w:rFonts w:hint="eastAsia" w:ascii="宋体" w:hAnsi="宋体" w:eastAsia="楷体_GB2312"/>
        </w:rPr>
        <w:t>法律责任</w:t>
      </w:r>
    </w:p>
    <w:p>
      <w:pPr>
        <w:overflowPunct w:val="0"/>
        <w:autoSpaceDE w:val="0"/>
        <w:autoSpaceDN w:val="0"/>
        <w:adjustRightInd w:val="0"/>
        <w:snapToGrid w:val="0"/>
        <w:spacing w:line="560" w:lineRule="exact"/>
        <w:ind w:firstLine="640" w:firstLineChars="200"/>
        <w:rPr>
          <w:rFonts w:ascii="宋体" w:hAnsi="宋体" w:eastAsia="楷体_GB2312"/>
        </w:rPr>
      </w:pPr>
      <w:r>
        <w:rPr>
          <w:rFonts w:hint="eastAsia" w:ascii="宋体" w:hAnsi="宋体" w:eastAsia="楷体_GB2312"/>
        </w:rPr>
        <w:t>第七章</w:t>
      </w:r>
      <w:r>
        <w:rPr>
          <w:rFonts w:ascii="宋体" w:hAnsi="宋体" w:eastAsia="楷体_GB2312"/>
        </w:rPr>
        <w:t xml:space="preserve">  </w:t>
      </w:r>
      <w:r>
        <w:rPr>
          <w:rFonts w:hint="eastAsia" w:ascii="宋体" w:hAnsi="宋体" w:eastAsia="楷体_GB2312"/>
        </w:rPr>
        <w:t>附则</w:t>
      </w:r>
    </w:p>
    <w:p>
      <w:pPr>
        <w:overflowPunct w:val="0"/>
        <w:autoSpaceDE w:val="0"/>
        <w:autoSpaceDN w:val="0"/>
        <w:adjustRightInd w:val="0"/>
        <w:snapToGrid w:val="0"/>
        <w:spacing w:line="560" w:lineRule="exact"/>
        <w:ind w:firstLine="640" w:firstLineChars="200"/>
        <w:rPr>
          <w:rFonts w:ascii="宋体" w:hAnsi="宋体"/>
        </w:rPr>
      </w:pPr>
    </w:p>
    <w:p>
      <w:pPr>
        <w:overflowPunct w:val="0"/>
        <w:autoSpaceDE w:val="0"/>
        <w:autoSpaceDN w:val="0"/>
        <w:adjustRightInd w:val="0"/>
        <w:snapToGrid w:val="0"/>
        <w:spacing w:line="560" w:lineRule="exact"/>
        <w:jc w:val="center"/>
        <w:outlineLvl w:val="0"/>
        <w:rPr>
          <w:rFonts w:ascii="宋体" w:hAnsi="宋体" w:eastAsia="黑体"/>
        </w:rPr>
      </w:pPr>
      <w:r>
        <w:rPr>
          <w:rFonts w:hint="eastAsia" w:ascii="宋体" w:hAnsi="宋体" w:eastAsia="黑体"/>
        </w:rPr>
        <w:t>第一章  总则</w:t>
      </w:r>
    </w:p>
    <w:p>
      <w:pPr>
        <w:overflowPunct w:val="0"/>
        <w:autoSpaceDE w:val="0"/>
        <w:autoSpaceDN w:val="0"/>
        <w:adjustRightInd w:val="0"/>
        <w:snapToGrid w:val="0"/>
        <w:spacing w:line="560" w:lineRule="exact"/>
        <w:ind w:firstLine="640" w:firstLineChars="200"/>
        <w:rPr>
          <w:rFonts w:ascii="宋体" w:hAnsi="宋体" w:eastAsia="黑体" w:cs="黑体"/>
          <w:szCs w:val="36"/>
        </w:rPr>
      </w:pPr>
    </w:p>
    <w:p>
      <w:pPr>
        <w:overflowPunct w:val="0"/>
        <w:autoSpaceDE w:val="0"/>
        <w:autoSpaceDN w:val="0"/>
        <w:adjustRightInd w:val="0"/>
        <w:snapToGrid w:val="0"/>
        <w:spacing w:line="560" w:lineRule="exact"/>
        <w:ind w:firstLine="640" w:firstLineChars="200"/>
        <w:rPr>
          <w:rFonts w:ascii="宋体" w:hAnsi="宋体" w:cs="仿宋_GB2312"/>
          <w:shd w:val="clear" w:color="090000" w:fill="FFFFFF"/>
        </w:rPr>
      </w:pPr>
      <w:r>
        <w:rPr>
          <w:rFonts w:hint="eastAsia" w:ascii="宋体" w:hAnsi="宋体" w:eastAsia="黑体" w:cs="黑体"/>
          <w:szCs w:val="36"/>
        </w:rPr>
        <w:t>第一条</w:t>
      </w:r>
      <w:r>
        <w:rPr>
          <w:rFonts w:hint="eastAsia" w:ascii="宋体" w:hAnsi="宋体" w:eastAsia="黑体" w:cs="宋体"/>
        </w:rPr>
        <w:t xml:space="preserve"> </w:t>
      </w:r>
      <w:r>
        <w:rPr>
          <w:rFonts w:ascii="宋体" w:hAnsi="宋体" w:eastAsia="黑体" w:cs="宋体"/>
        </w:rPr>
        <w:t xml:space="preserve"> </w:t>
      </w:r>
      <w:r>
        <w:rPr>
          <w:rFonts w:hint="eastAsia" w:ascii="宋体" w:hAnsi="宋体" w:cs="仿宋_GB2312"/>
        </w:rPr>
        <w:t>为了持续优化营商环境，维护市场主体合法权益，激发市场活力，推动经济高质量发展，</w:t>
      </w:r>
      <w:r>
        <w:rPr>
          <w:rFonts w:hint="eastAsia" w:ascii="宋体" w:hAnsi="宋体" w:cs="仿宋_GB2312"/>
          <w:shd w:val="clear" w:color="090000" w:fill="FFFFFF"/>
        </w:rPr>
        <w:t>根据国务院《优化营商环境条例》《山东省优化营商环境条例》等相关法律、法规，结合本市实际，制定本条例。</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eastAsia="黑体" w:cs="黑体"/>
          <w:szCs w:val="36"/>
        </w:rPr>
        <w:t>第二条</w:t>
      </w:r>
      <w:r>
        <w:rPr>
          <w:rFonts w:hint="eastAsia" w:ascii="宋体" w:hAnsi="宋体" w:eastAsia="黑体"/>
        </w:rPr>
        <w:t xml:space="preserve"> </w:t>
      </w:r>
      <w:r>
        <w:rPr>
          <w:rFonts w:ascii="宋体" w:hAnsi="宋体" w:eastAsia="黑体"/>
        </w:rPr>
        <w:t xml:space="preserve"> </w:t>
      </w:r>
      <w:r>
        <w:rPr>
          <w:rFonts w:hint="eastAsia" w:ascii="宋体" w:hAnsi="宋体" w:cs="仿宋_GB2312"/>
        </w:rPr>
        <w:t>本市行政区域内优化营商环境工作，适用本条例。</w:t>
      </w:r>
    </w:p>
    <w:p>
      <w:pPr>
        <w:overflowPunct w:val="0"/>
        <w:autoSpaceDE w:val="0"/>
        <w:autoSpaceDN w:val="0"/>
        <w:adjustRightInd w:val="0"/>
        <w:snapToGrid w:val="0"/>
        <w:spacing w:line="560" w:lineRule="exact"/>
        <w:ind w:firstLine="640" w:firstLineChars="200"/>
        <w:rPr>
          <w:rFonts w:ascii="宋体" w:hAnsi="宋体" w:cs="仿宋_GB2312"/>
          <w:szCs w:val="36"/>
        </w:rPr>
      </w:pPr>
      <w:r>
        <w:rPr>
          <w:rFonts w:hint="eastAsia" w:ascii="宋体" w:hAnsi="宋体" w:eastAsia="黑体" w:cs="黑体"/>
          <w:szCs w:val="36"/>
        </w:rPr>
        <w:t>第三条</w:t>
      </w:r>
      <w:r>
        <w:rPr>
          <w:rFonts w:hint="eastAsia" w:ascii="宋体" w:hAnsi="宋体" w:eastAsia="黑体" w:cs="宋体"/>
        </w:rPr>
        <w:t xml:space="preserve"> </w:t>
      </w:r>
      <w:r>
        <w:rPr>
          <w:rFonts w:ascii="宋体" w:hAnsi="宋体" w:eastAsia="黑体" w:cs="宋体"/>
        </w:rPr>
        <w:t xml:space="preserve"> </w:t>
      </w:r>
      <w:r>
        <w:rPr>
          <w:rFonts w:hint="eastAsia" w:ascii="宋体" w:hAnsi="宋体" w:cs="仿宋_GB2312"/>
          <w:szCs w:val="36"/>
        </w:rPr>
        <w:t>优化营商环境应当遵循市场化、法治化、国际化原则，</w:t>
      </w:r>
      <w:r>
        <w:rPr>
          <w:rFonts w:hint="eastAsia" w:ascii="宋体" w:hAnsi="宋体" w:cs="仿宋_GB2312"/>
        </w:rPr>
        <w:t>以市场主体需求为导向，以市场主体获得感为评价</w:t>
      </w:r>
      <w:r>
        <w:rPr>
          <w:rFonts w:hint="eastAsia" w:ascii="宋体" w:hAnsi="宋体" w:cs="仿宋_GB2312"/>
          <w:szCs w:val="36"/>
        </w:rPr>
        <w:t>标准，转变政府职能，创新体制机制，为各类市场主体投资兴业营造公平竞争的市场环境、高效便利的政务环境、公正透明的法治环境、开放包容的人文环境。</w:t>
      </w:r>
    </w:p>
    <w:p>
      <w:pPr>
        <w:pStyle w:val="6"/>
        <w:overflowPunct w:val="0"/>
        <w:topLinePunct/>
        <w:autoSpaceDE w:val="0"/>
        <w:autoSpaceDN w:val="0"/>
        <w:adjustRightInd w:val="0"/>
        <w:snapToGrid w:val="0"/>
        <w:spacing w:before="0" w:beforeAutospacing="0" w:after="0" w:afterAutospacing="0" w:line="560" w:lineRule="exact"/>
        <w:ind w:firstLine="640" w:firstLineChars="200"/>
        <w:rPr>
          <w:rFonts w:ascii="宋体" w:hAnsi="宋体" w:cs="仿宋_GB2312"/>
          <w:sz w:val="32"/>
        </w:rPr>
      </w:pPr>
      <w:r>
        <w:rPr>
          <w:rFonts w:hint="eastAsia" w:ascii="宋体" w:hAnsi="宋体" w:eastAsia="黑体" w:cs="黑体"/>
          <w:sz w:val="32"/>
          <w:szCs w:val="36"/>
        </w:rPr>
        <w:t>第四条</w:t>
      </w:r>
      <w:r>
        <w:rPr>
          <w:rFonts w:hint="eastAsia" w:ascii="宋体" w:hAnsi="宋体" w:eastAsia="黑体"/>
          <w:sz w:val="32"/>
        </w:rPr>
        <w:t xml:space="preserve"> </w:t>
      </w:r>
      <w:r>
        <w:rPr>
          <w:rFonts w:ascii="宋体" w:hAnsi="宋体" w:eastAsia="黑体"/>
          <w:sz w:val="32"/>
        </w:rPr>
        <w:t xml:space="preserve"> </w:t>
      </w:r>
      <w:r>
        <w:rPr>
          <w:rFonts w:hint="eastAsia" w:ascii="宋体" w:hAnsi="宋体" w:cs="仿宋_GB2312"/>
          <w:sz w:val="32"/>
        </w:rPr>
        <w:t>各级人民政府应当加强对优化营商环境工作的组织领导，制定实施优化营商环境政策措施，及时解决营商环境工作中的重大问题。</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市、县（区）人民政府应当</w:t>
      </w:r>
      <w:r>
        <w:rPr>
          <w:rFonts w:hint="eastAsia" w:ascii="宋体" w:hAnsi="宋体" w:cs="仿宋_GB2312"/>
        </w:rPr>
        <w:t>建立健全优化营商环境议事协调工作机制，</w:t>
      </w:r>
      <w:r>
        <w:rPr>
          <w:rFonts w:hint="eastAsia" w:ascii="宋体" w:hAnsi="宋体" w:cs="仿宋_GB2312"/>
          <w:color w:val="000000"/>
        </w:rPr>
        <w:t>明确优化营商环境工作主管部门，由其负责组织、指导、协调优化营商环境日常工作。</w:t>
      </w:r>
    </w:p>
    <w:p>
      <w:pPr>
        <w:shd w:val="clear" w:color="auto" w:fill="FFFFFF"/>
        <w:adjustRightInd w:val="0"/>
        <w:snapToGrid w:val="0"/>
        <w:spacing w:line="560" w:lineRule="exact"/>
        <w:ind w:firstLine="640" w:firstLineChars="200"/>
        <w:rPr>
          <w:rFonts w:ascii="宋体" w:hAnsi="宋体" w:cs="仿宋_GB2312"/>
        </w:rPr>
      </w:pPr>
      <w:r>
        <w:rPr>
          <w:rFonts w:hint="eastAsia" w:ascii="宋体" w:hAnsi="宋体" w:cs="仿宋_GB2312"/>
        </w:rPr>
        <w:t>承担优化营商环境工作的有关部门、法律法规授权的具有公共事务管理职能的组织、司法机关、人民团体和社会组织按照各自职责，做好优化营商环境相关工作。</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eastAsia="黑体" w:cs="黑体"/>
          <w:color w:val="000000"/>
        </w:rPr>
        <w:t>第五条</w:t>
      </w:r>
      <w:r>
        <w:rPr>
          <w:rFonts w:hint="eastAsia" w:ascii="宋体" w:hAnsi="宋体" w:cs="仿宋_GB2312"/>
          <w:color w:val="000000"/>
        </w:rPr>
        <w:t xml:space="preserve">  市场主体在市场经济活动中权利平等、机会平等、规则平等，依法享有自主决定经营业态、模式的权利，人身和财产权益受到保护的权利，知悉法律、政策和监督、服务等情况的权利，对营商环境工作进行监督和评价的权利。</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市场主体应当遵守法律、法规，恪守社会公德和商业道德，诚实守信、公平竞争，履行法定义务，共同营造健康有序的营商环境。</w:t>
      </w:r>
    </w:p>
    <w:p>
      <w:pPr>
        <w:overflowPunct w:val="0"/>
        <w:autoSpaceDE w:val="0"/>
        <w:autoSpaceDN w:val="0"/>
        <w:adjustRightInd w:val="0"/>
        <w:snapToGrid w:val="0"/>
        <w:spacing w:line="560" w:lineRule="exact"/>
        <w:ind w:firstLine="640" w:firstLineChars="200"/>
        <w:rPr>
          <w:rFonts w:ascii="宋体" w:hAnsi="宋体"/>
          <w:shd w:val="clear" w:color="auto" w:fill="FFFFFF"/>
        </w:rPr>
      </w:pPr>
      <w:r>
        <w:rPr>
          <w:rFonts w:hint="eastAsia" w:ascii="宋体" w:hAnsi="宋体" w:eastAsia="黑体"/>
          <w:shd w:val="clear" w:color="090000" w:fill="FFFFFF"/>
        </w:rPr>
        <w:t>第六条</w:t>
      </w:r>
      <w:r>
        <w:rPr>
          <w:rFonts w:hint="eastAsia" w:ascii="宋体" w:hAnsi="宋体" w:eastAsia="黑体" w:cs="宋体"/>
        </w:rPr>
        <w:t xml:space="preserve"> </w:t>
      </w:r>
      <w:r>
        <w:rPr>
          <w:rFonts w:ascii="宋体" w:hAnsi="宋体" w:eastAsia="黑体" w:cs="宋体"/>
        </w:rPr>
        <w:t xml:space="preserve"> </w:t>
      </w:r>
      <w:r>
        <w:rPr>
          <w:rFonts w:hint="eastAsia" w:ascii="宋体" w:hAnsi="宋体"/>
          <w:shd w:val="clear" w:color="auto" w:fill="FFFFFF"/>
        </w:rPr>
        <w:t>各级人民政府和有关部门应当</w:t>
      </w:r>
      <w:r>
        <w:rPr>
          <w:rFonts w:ascii="宋体" w:hAnsi="宋体"/>
          <w:shd w:val="clear" w:color="auto" w:fill="FFFFFF"/>
        </w:rPr>
        <w:t>根据</w:t>
      </w:r>
      <w:r>
        <w:rPr>
          <w:rFonts w:hint="eastAsia" w:ascii="宋体" w:hAnsi="宋体"/>
          <w:shd w:val="clear" w:color="auto" w:fill="FFFFFF"/>
        </w:rPr>
        <w:t>优化</w:t>
      </w:r>
      <w:r>
        <w:rPr>
          <w:rFonts w:ascii="宋体" w:hAnsi="宋体"/>
          <w:shd w:val="clear" w:color="auto" w:fill="FFFFFF"/>
        </w:rPr>
        <w:t>营商环境</w:t>
      </w:r>
      <w:r>
        <w:rPr>
          <w:rFonts w:hint="eastAsia" w:ascii="宋体" w:hAnsi="宋体"/>
          <w:shd w:val="clear" w:color="auto" w:fill="FFFFFF"/>
        </w:rPr>
        <w:t>评价体系要求和</w:t>
      </w:r>
      <w:r>
        <w:rPr>
          <w:rFonts w:ascii="宋体" w:hAnsi="宋体"/>
          <w:shd w:val="clear" w:color="auto" w:fill="FFFFFF"/>
        </w:rPr>
        <w:t>评价结果，</w:t>
      </w:r>
      <w:r>
        <w:rPr>
          <w:rFonts w:hint="eastAsia" w:ascii="宋体" w:hAnsi="宋体"/>
          <w:shd w:val="clear" w:color="auto" w:fill="FFFFFF"/>
        </w:rPr>
        <w:t>充分运用现行法律制度、政策资源，</w:t>
      </w:r>
      <w:r>
        <w:rPr>
          <w:rFonts w:ascii="宋体" w:hAnsi="宋体"/>
          <w:shd w:val="clear" w:color="auto" w:fill="FFFFFF"/>
        </w:rPr>
        <w:t>及时</w:t>
      </w:r>
      <w:r>
        <w:rPr>
          <w:rFonts w:hint="eastAsia" w:ascii="宋体" w:hAnsi="宋体"/>
          <w:shd w:val="clear" w:color="auto" w:fill="FFFFFF"/>
        </w:rPr>
        <w:t>调整完善优化营</w:t>
      </w:r>
      <w:r>
        <w:rPr>
          <w:rFonts w:ascii="宋体" w:hAnsi="宋体"/>
          <w:shd w:val="clear" w:color="auto" w:fill="FFFFFF"/>
        </w:rPr>
        <w:t>商环境政策措施</w:t>
      </w:r>
      <w:r>
        <w:rPr>
          <w:rFonts w:hint="eastAsia" w:ascii="宋体" w:hAnsi="宋体"/>
          <w:shd w:val="clear" w:color="auto" w:fill="FFFFFF"/>
        </w:rPr>
        <w:t>。</w:t>
      </w:r>
    </w:p>
    <w:p>
      <w:pPr>
        <w:adjustRightInd w:val="0"/>
        <w:snapToGrid w:val="0"/>
        <w:spacing w:line="560" w:lineRule="exact"/>
        <w:ind w:firstLine="640" w:firstLineChars="200"/>
        <w:rPr>
          <w:rFonts w:ascii="宋体" w:hAnsi="宋体"/>
          <w:shd w:val="clear" w:color="auto" w:fill="FFFFFF"/>
        </w:rPr>
      </w:pPr>
      <w:r>
        <w:rPr>
          <w:rFonts w:hint="eastAsia" w:ascii="宋体" w:hAnsi="宋体"/>
          <w:shd w:val="clear" w:color="auto" w:fill="FFFFFF"/>
        </w:rPr>
        <w:t>支持开发区、新区、园区等依法承接省级、</w:t>
      </w:r>
      <w:r>
        <w:rPr>
          <w:rFonts w:hint="eastAsia" w:ascii="宋体" w:hAnsi="宋体" w:cs="仿宋_GB2312"/>
          <w:color w:val="000000"/>
        </w:rPr>
        <w:t>市级赋予的管理事项，在优化营商环境方面开展差异化、特色化的改革探索。</w:t>
      </w:r>
    </w:p>
    <w:p>
      <w:pPr>
        <w:pStyle w:val="7"/>
        <w:adjustRightInd w:val="0"/>
        <w:snapToGrid w:val="0"/>
        <w:spacing w:after="0" w:line="560" w:lineRule="exact"/>
        <w:ind w:left="0" w:leftChars="0" w:firstLine="640"/>
        <w:rPr>
          <w:rFonts w:ascii="宋体" w:hAnsi="宋体" w:eastAsia="黑体"/>
          <w:kern w:val="0"/>
          <w:szCs w:val="32"/>
        </w:rPr>
      </w:pPr>
      <w:r>
        <w:rPr>
          <w:rFonts w:hint="eastAsia" w:ascii="宋体" w:hAnsi="宋体" w:eastAsia="黑体"/>
          <w:kern w:val="0"/>
          <w:szCs w:val="32"/>
        </w:rPr>
        <w:t xml:space="preserve">第七条 </w:t>
      </w:r>
      <w:r>
        <w:rPr>
          <w:rFonts w:ascii="宋体" w:hAnsi="宋体" w:eastAsia="黑体"/>
          <w:kern w:val="0"/>
          <w:szCs w:val="32"/>
        </w:rPr>
        <w:t xml:space="preserve"> </w:t>
      </w:r>
      <w:r>
        <w:rPr>
          <w:rFonts w:hint="eastAsia" w:ascii="宋体" w:hAnsi="宋体" w:eastAsia="仿宋_GB2312"/>
          <w:kern w:val="0"/>
          <w:szCs w:val="32"/>
        </w:rPr>
        <w:t>市、县（区）人民政府应当加强与长三角区域、鲁南经济圈、济临经济协作区等相关城市、县（区）优化营商环境的合作，推动市场规则衔接和政务服务协作，加快实现政务服务标准统一、资质互认、区域通办，促进市场要素自由流动。</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eastAsia="黑体" w:cs="黑体"/>
          <w:color w:val="000000"/>
        </w:rPr>
        <w:t>第八条</w:t>
      </w:r>
      <w:r>
        <w:rPr>
          <w:rFonts w:hint="eastAsia" w:ascii="宋体" w:hAnsi="宋体" w:eastAsia="黑体" w:cs="宋体"/>
        </w:rPr>
        <w:t xml:space="preserve">  </w:t>
      </w:r>
      <w:r>
        <w:rPr>
          <w:rFonts w:hint="eastAsia" w:ascii="宋体" w:hAnsi="宋体" w:cs="仿宋_GB2312"/>
        </w:rPr>
        <w:t>各级人民政府应当加强优化营商环境的法律、法规、政策措施和先进典型的宣传，营造开放包容、互利合作、诚实守信的良好社会氛围。</w:t>
      </w:r>
    </w:p>
    <w:p>
      <w:pPr>
        <w:overflowPunct w:val="0"/>
        <w:autoSpaceDE w:val="0"/>
        <w:autoSpaceDN w:val="0"/>
        <w:adjustRightInd w:val="0"/>
        <w:snapToGrid w:val="0"/>
        <w:spacing w:line="560" w:lineRule="exact"/>
        <w:ind w:firstLine="640" w:firstLineChars="200"/>
        <w:rPr>
          <w:rFonts w:ascii="宋体" w:hAnsi="宋体"/>
        </w:rPr>
      </w:pPr>
      <w:r>
        <w:rPr>
          <w:rFonts w:hint="eastAsia" w:ascii="宋体" w:hAnsi="宋体" w:cs="仿宋_GB2312"/>
        </w:rPr>
        <w:t>支持新闻媒体发挥舆论监督作</w:t>
      </w:r>
      <w:r>
        <w:rPr>
          <w:rFonts w:hint="eastAsia" w:ascii="宋体" w:hAnsi="宋体"/>
        </w:rPr>
        <w:t>用，及时报道损害营商环境的行为和典型案件。报道应当真实、客观。</w:t>
      </w:r>
    </w:p>
    <w:p>
      <w:pPr>
        <w:overflowPunct w:val="0"/>
        <w:autoSpaceDE w:val="0"/>
        <w:autoSpaceDN w:val="0"/>
        <w:adjustRightInd w:val="0"/>
        <w:snapToGrid w:val="0"/>
        <w:spacing w:line="560" w:lineRule="exact"/>
        <w:ind w:firstLine="640" w:firstLineChars="200"/>
        <w:outlineLvl w:val="0"/>
        <w:rPr>
          <w:rFonts w:ascii="宋体" w:hAnsi="宋体" w:eastAsia="黑体"/>
        </w:rPr>
      </w:pPr>
    </w:p>
    <w:p>
      <w:pPr>
        <w:overflowPunct w:val="0"/>
        <w:autoSpaceDE w:val="0"/>
        <w:autoSpaceDN w:val="0"/>
        <w:adjustRightInd w:val="0"/>
        <w:snapToGrid w:val="0"/>
        <w:spacing w:line="560" w:lineRule="exact"/>
        <w:jc w:val="center"/>
        <w:outlineLvl w:val="0"/>
        <w:rPr>
          <w:rFonts w:ascii="宋体" w:hAnsi="宋体" w:eastAsia="黑体"/>
        </w:rPr>
      </w:pPr>
      <w:r>
        <w:rPr>
          <w:rFonts w:hint="eastAsia" w:ascii="宋体" w:hAnsi="宋体" w:eastAsia="黑体"/>
        </w:rPr>
        <w:t>第二章  市场环境</w:t>
      </w:r>
    </w:p>
    <w:p>
      <w:pPr>
        <w:overflowPunct w:val="0"/>
        <w:autoSpaceDE w:val="0"/>
        <w:autoSpaceDN w:val="0"/>
        <w:adjustRightInd w:val="0"/>
        <w:snapToGrid w:val="0"/>
        <w:spacing w:line="560" w:lineRule="exact"/>
        <w:ind w:firstLine="640" w:firstLineChars="200"/>
        <w:rPr>
          <w:rFonts w:ascii="宋体" w:hAnsi="宋体" w:cs="仿宋_GB2312"/>
        </w:rPr>
      </w:pPr>
    </w:p>
    <w:p>
      <w:pPr>
        <w:adjustRightInd w:val="0"/>
        <w:snapToGrid w:val="0"/>
        <w:spacing w:line="560" w:lineRule="exact"/>
        <w:ind w:firstLine="640" w:firstLineChars="200"/>
        <w:rPr>
          <w:rFonts w:ascii="宋体" w:hAnsi="宋体"/>
          <w:shd w:val="clear" w:color="auto" w:fill="FFFFFF"/>
        </w:rPr>
      </w:pPr>
      <w:r>
        <w:rPr>
          <w:rFonts w:hint="eastAsia" w:ascii="宋体" w:hAnsi="宋体" w:eastAsia="黑体" w:cs="黑体"/>
        </w:rPr>
        <w:t>第九条</w:t>
      </w:r>
      <w:r>
        <w:rPr>
          <w:rFonts w:hint="eastAsia" w:ascii="宋体" w:hAnsi="宋体" w:eastAsia="黑体" w:cs="宋体"/>
        </w:rPr>
        <w:t xml:space="preserve"> </w:t>
      </w:r>
      <w:r>
        <w:rPr>
          <w:rFonts w:ascii="宋体" w:hAnsi="宋体" w:eastAsia="黑体" w:cs="宋体"/>
        </w:rPr>
        <w:t xml:space="preserve"> </w:t>
      </w:r>
      <w:r>
        <w:rPr>
          <w:rFonts w:hint="eastAsia" w:ascii="宋体" w:hAnsi="宋体"/>
          <w:shd w:val="clear" w:color="auto" w:fill="FFFFFF"/>
        </w:rPr>
        <w:t>全面落实市场准入负面清单制度。对国家市场准入负面清单以外的领域，各类市场主体均可以依法平等进入。</w:t>
      </w:r>
    </w:p>
    <w:p>
      <w:pPr>
        <w:adjustRightInd w:val="0"/>
        <w:snapToGrid w:val="0"/>
        <w:spacing w:line="560" w:lineRule="exact"/>
        <w:ind w:firstLine="640" w:firstLineChars="200"/>
        <w:rPr>
          <w:rFonts w:ascii="宋体" w:hAnsi="宋体"/>
          <w:shd w:val="clear" w:color="auto" w:fill="FFFFFF"/>
        </w:rPr>
      </w:pPr>
      <w:r>
        <w:rPr>
          <w:rFonts w:hint="eastAsia" w:ascii="宋体" w:hAnsi="宋体"/>
          <w:shd w:val="clear" w:color="auto" w:fill="FFFFFF"/>
        </w:rPr>
        <w:t>市、县（区）人民政</w:t>
      </w:r>
      <w:r>
        <w:rPr>
          <w:rFonts w:hint="eastAsia" w:ascii="宋体" w:hAnsi="宋体" w:cs="仿宋_GB2312"/>
          <w:color w:val="000000"/>
        </w:rPr>
        <w:t>府可以根据城市功能定位、发展规划以及环保安全等相关规定，按照规定的权限和程序制定产业引导政策，并向社会公布。</w:t>
      </w:r>
    </w:p>
    <w:p>
      <w:pPr>
        <w:adjustRightInd w:val="0"/>
        <w:snapToGrid w:val="0"/>
        <w:spacing w:line="560" w:lineRule="exact"/>
        <w:ind w:firstLine="640" w:firstLineChars="200"/>
        <w:rPr>
          <w:rFonts w:ascii="宋体" w:hAnsi="宋体" w:cs="宋体"/>
          <w:bCs/>
        </w:rPr>
      </w:pPr>
      <w:r>
        <w:rPr>
          <w:rFonts w:ascii="宋体" w:hAnsi="宋体" w:eastAsia="黑体"/>
        </w:rPr>
        <w:t>第</w:t>
      </w:r>
      <w:r>
        <w:rPr>
          <w:rFonts w:hint="eastAsia" w:ascii="宋体" w:hAnsi="宋体" w:eastAsia="黑体"/>
        </w:rPr>
        <w:t>十</w:t>
      </w:r>
      <w:r>
        <w:rPr>
          <w:rFonts w:ascii="宋体" w:hAnsi="宋体" w:eastAsia="黑体"/>
        </w:rPr>
        <w:t>条</w:t>
      </w:r>
      <w:r>
        <w:rPr>
          <w:rFonts w:ascii="宋体" w:hAnsi="宋体"/>
        </w:rPr>
        <w:t xml:space="preserve">  </w:t>
      </w:r>
      <w:r>
        <w:rPr>
          <w:rFonts w:hint="eastAsia" w:ascii="宋体" w:hAnsi="宋体" w:cs="宋体"/>
          <w:bCs/>
        </w:rPr>
        <w:t>市、县（区）</w:t>
      </w:r>
      <w:r>
        <w:rPr>
          <w:rFonts w:ascii="宋体" w:hAnsi="宋体" w:cs="宋体"/>
          <w:bCs/>
        </w:rPr>
        <w:t>人民政府</w:t>
      </w:r>
      <w:r>
        <w:rPr>
          <w:rFonts w:hint="eastAsia" w:ascii="宋体" w:hAnsi="宋体" w:cs="宋体"/>
          <w:bCs/>
        </w:rPr>
        <w:t>应当依法</w:t>
      </w:r>
      <w:r>
        <w:rPr>
          <w:rFonts w:ascii="宋体" w:hAnsi="宋体" w:cs="宋体"/>
          <w:bCs/>
        </w:rPr>
        <w:t>制定投资促进政策，加大对战略性新兴产业、先进制造业、现代服务业等产业的支持力度。</w:t>
      </w:r>
    </w:p>
    <w:p>
      <w:pPr>
        <w:pStyle w:val="7"/>
        <w:adjustRightInd w:val="0"/>
        <w:snapToGrid w:val="0"/>
        <w:spacing w:after="0" w:line="560" w:lineRule="exact"/>
        <w:ind w:left="0" w:leftChars="0" w:firstLine="640"/>
        <w:rPr>
          <w:rFonts w:ascii="宋体" w:hAnsi="宋体" w:eastAsia="仿宋_GB2312"/>
          <w:kern w:val="0"/>
          <w:szCs w:val="32"/>
          <w:shd w:val="clear" w:color="auto" w:fill="FFFFFF"/>
        </w:rPr>
      </w:pPr>
      <w:r>
        <w:rPr>
          <w:rFonts w:hint="eastAsia" w:ascii="宋体" w:hAnsi="宋体" w:eastAsia="仿宋_GB2312"/>
          <w:kern w:val="0"/>
          <w:szCs w:val="32"/>
          <w:shd w:val="clear" w:color="auto" w:fill="FFFFFF"/>
        </w:rPr>
        <w:t>鼓励各类市场主体在本市设立总部机构，支持与本市重点发展的战略性新兴产业相关的经济组织在本市创设研发中心或者功能性机构。</w:t>
      </w:r>
    </w:p>
    <w:p>
      <w:pPr>
        <w:adjustRightInd w:val="0"/>
        <w:snapToGrid w:val="0"/>
        <w:spacing w:line="560" w:lineRule="exact"/>
        <w:ind w:firstLine="640" w:firstLineChars="200"/>
        <w:rPr>
          <w:rFonts w:ascii="宋体" w:hAnsi="宋体" w:cs="宋体"/>
          <w:bCs/>
        </w:rPr>
      </w:pPr>
      <w:r>
        <w:rPr>
          <w:rFonts w:ascii="宋体" w:hAnsi="宋体" w:cs="宋体"/>
          <w:bCs/>
        </w:rPr>
        <w:t>各级人民政府应当完善投资项目服务推进机制，强化跟踪服务，为</w:t>
      </w:r>
      <w:r>
        <w:rPr>
          <w:rFonts w:hint="eastAsia" w:ascii="宋体" w:hAnsi="宋体" w:cs="宋体"/>
          <w:bCs/>
        </w:rPr>
        <w:t>市场主体</w:t>
      </w:r>
      <w:r>
        <w:rPr>
          <w:rFonts w:ascii="宋体" w:hAnsi="宋体" w:cs="宋体"/>
          <w:bCs/>
        </w:rPr>
        <w:t>提供全流程服务保障。</w:t>
      </w:r>
    </w:p>
    <w:p>
      <w:pPr>
        <w:pStyle w:val="6"/>
        <w:autoSpaceDE w:val="0"/>
        <w:autoSpaceDN w:val="0"/>
        <w:adjustRightInd w:val="0"/>
        <w:snapToGrid w:val="0"/>
        <w:spacing w:before="0" w:beforeAutospacing="0" w:after="0" w:afterAutospacing="0" w:line="560" w:lineRule="exact"/>
        <w:ind w:firstLine="640" w:firstLineChars="200"/>
        <w:rPr>
          <w:rFonts w:ascii="宋体" w:hAnsi="宋体"/>
          <w:sz w:val="32"/>
        </w:rPr>
      </w:pPr>
      <w:r>
        <w:rPr>
          <w:rFonts w:hint="eastAsia" w:ascii="宋体" w:hAnsi="宋体" w:eastAsia="黑体"/>
          <w:sz w:val="32"/>
        </w:rPr>
        <w:t>第十一条</w:t>
      </w:r>
      <w:r>
        <w:rPr>
          <w:rFonts w:hint="eastAsia" w:ascii="宋体" w:hAnsi="宋体" w:eastAsia="黑体" w:cs="黑体"/>
          <w:sz w:val="32"/>
        </w:rPr>
        <w:t xml:space="preserve"> </w:t>
      </w:r>
      <w:r>
        <w:rPr>
          <w:rFonts w:ascii="宋体" w:hAnsi="宋体" w:eastAsia="黑体" w:cs="黑体"/>
          <w:sz w:val="32"/>
        </w:rPr>
        <w:t xml:space="preserve"> </w:t>
      </w:r>
      <w:r>
        <w:rPr>
          <w:rFonts w:hint="eastAsia" w:ascii="宋体" w:hAnsi="宋体"/>
          <w:sz w:val="32"/>
        </w:rPr>
        <w:t>各级人民政府应当支持数字产业发展，加强5G网络、数据中心等新型基础设施建设，培育和发展数字经济的新产业、新业态、新模式。</w:t>
      </w:r>
    </w:p>
    <w:p>
      <w:pPr>
        <w:adjustRightInd w:val="0"/>
        <w:snapToGrid w:val="0"/>
        <w:spacing w:line="560" w:lineRule="exact"/>
        <w:ind w:firstLine="640" w:firstLineChars="200"/>
        <w:rPr>
          <w:rFonts w:ascii="宋体" w:hAnsi="宋体"/>
        </w:rPr>
      </w:pPr>
      <w:r>
        <w:rPr>
          <w:rFonts w:hint="eastAsia" w:ascii="宋体" w:hAnsi="宋体"/>
        </w:rPr>
        <w:t>支持数字赋能传统产业转型升级，加快新一代信息技术与制造业全过程、全要素深度融合，提升工业互联网平台服务能力。</w:t>
      </w:r>
    </w:p>
    <w:p>
      <w:pPr>
        <w:pStyle w:val="2"/>
        <w:adjustRightInd w:val="0"/>
        <w:snapToGrid w:val="0"/>
        <w:spacing w:line="560" w:lineRule="exact"/>
        <w:ind w:firstLine="640" w:firstLineChars="200"/>
        <w:rPr>
          <w:rFonts w:ascii="宋体" w:hAnsi="宋体" w:eastAsia="仿宋_GB2312"/>
          <w:szCs w:val="32"/>
        </w:rPr>
      </w:pPr>
      <w:r>
        <w:rPr>
          <w:rFonts w:hint="eastAsia" w:ascii="宋体" w:hAnsi="宋体" w:eastAsia="黑体"/>
          <w:szCs w:val="32"/>
        </w:rPr>
        <w:t>第十二条</w:t>
      </w:r>
      <w:r>
        <w:rPr>
          <w:rFonts w:hint="eastAsia" w:ascii="宋体" w:hAnsi="宋体" w:eastAsia="黑体" w:cs="宋体"/>
          <w:szCs w:val="32"/>
        </w:rPr>
        <w:t xml:space="preserve"> </w:t>
      </w:r>
      <w:r>
        <w:rPr>
          <w:rFonts w:ascii="宋体" w:hAnsi="宋体" w:eastAsia="黑体" w:cs="宋体"/>
          <w:szCs w:val="32"/>
        </w:rPr>
        <w:t xml:space="preserve"> </w:t>
      </w:r>
      <w:r>
        <w:rPr>
          <w:rFonts w:hint="eastAsia" w:ascii="宋体" w:hAnsi="宋体" w:eastAsia="仿宋_GB2312"/>
          <w:szCs w:val="32"/>
        </w:rPr>
        <w:t>市、县（区）人民政府应当加快数字商城、国际商城、绿色商城、链式商城建设，优化商城和物流园区空间布局，完善智慧物流园区和信息平台，建设跨境电商综合试验区和“一带一路”综合试验区，推动产业链、供应链、创新链协同发展。</w:t>
      </w:r>
    </w:p>
    <w:p>
      <w:pPr>
        <w:adjustRightInd w:val="0"/>
        <w:snapToGrid w:val="0"/>
        <w:spacing w:line="560" w:lineRule="exact"/>
        <w:ind w:firstLine="640" w:firstLineChars="200"/>
        <w:rPr>
          <w:rFonts w:ascii="宋体" w:hAnsi="宋体" w:cs="黑体"/>
        </w:rPr>
      </w:pPr>
      <w:r>
        <w:rPr>
          <w:rFonts w:hint="eastAsia" w:ascii="宋体" w:hAnsi="宋体" w:eastAsia="黑体"/>
        </w:rPr>
        <w:t>第十三条</w:t>
      </w:r>
      <w:r>
        <w:rPr>
          <w:rFonts w:hint="eastAsia" w:ascii="宋体" w:hAnsi="宋体" w:eastAsia="黑体" w:cs="宋体"/>
        </w:rPr>
        <w:t xml:space="preserve">  </w:t>
      </w:r>
      <w:r>
        <w:rPr>
          <w:rFonts w:hint="eastAsia" w:ascii="宋体" w:hAnsi="宋体" w:cs="黑体"/>
        </w:rPr>
        <w:t>鼓励发展电子商务新业态，创新商业模式，促进电子商务技术研发和推广应用，推进电子商务诚信体系建设，营造有利于电子商务创新发展的市场环境。</w:t>
      </w:r>
    </w:p>
    <w:p>
      <w:pPr>
        <w:adjustRightInd w:val="0"/>
        <w:snapToGrid w:val="0"/>
        <w:spacing w:line="560" w:lineRule="exact"/>
        <w:ind w:firstLine="640" w:firstLineChars="200"/>
        <w:rPr>
          <w:rFonts w:ascii="宋体" w:hAnsi="宋体" w:cs="黑体"/>
        </w:rPr>
      </w:pPr>
      <w:r>
        <w:rPr>
          <w:rFonts w:hint="eastAsia" w:ascii="宋体" w:hAnsi="宋体" w:cs="黑体"/>
        </w:rPr>
        <w:t>市、县（区）人民政府应当健全电子商务公共服务体系，推进电子商务公共服务中心建设，培育电子商务经营主体，规范提升电子商务园区，促进电子商务与传统产业融合，引导各类电子商务业态集聚发展。</w:t>
      </w:r>
    </w:p>
    <w:p>
      <w:pPr>
        <w:adjustRightInd w:val="0"/>
        <w:snapToGrid w:val="0"/>
        <w:spacing w:line="560" w:lineRule="exact"/>
        <w:ind w:firstLine="640" w:firstLineChars="200"/>
        <w:rPr>
          <w:rFonts w:ascii="宋体" w:hAnsi="宋体" w:cs="黑体"/>
        </w:rPr>
      </w:pPr>
      <w:r>
        <w:rPr>
          <w:rFonts w:hint="eastAsia" w:ascii="宋体" w:hAnsi="宋体" w:cs="黑体"/>
        </w:rPr>
        <w:t>市、县（区）人民政府应当制定促进电子商务发展的具体措施，并向社会公布。</w:t>
      </w:r>
    </w:p>
    <w:p>
      <w:pPr>
        <w:pStyle w:val="7"/>
        <w:adjustRightInd w:val="0"/>
        <w:snapToGrid w:val="0"/>
        <w:spacing w:after="0" w:line="560" w:lineRule="exact"/>
        <w:ind w:left="0" w:leftChars="0" w:firstLine="640" w:firstLineChars="200"/>
        <w:rPr>
          <w:rFonts w:ascii="宋体" w:hAnsi="宋体" w:eastAsia="仿宋_GB2312"/>
          <w:kern w:val="0"/>
          <w:szCs w:val="32"/>
        </w:rPr>
      </w:pPr>
      <w:r>
        <w:rPr>
          <w:rFonts w:hint="eastAsia" w:ascii="宋体" w:hAnsi="宋体" w:eastAsia="黑体" w:cs="黑体"/>
          <w:kern w:val="0"/>
          <w:szCs w:val="32"/>
        </w:rPr>
        <w:t xml:space="preserve">第十四条  </w:t>
      </w:r>
      <w:r>
        <w:rPr>
          <w:rFonts w:hint="eastAsia" w:ascii="宋体" w:hAnsi="宋体" w:eastAsia="仿宋_GB2312"/>
          <w:kern w:val="0"/>
          <w:szCs w:val="32"/>
        </w:rPr>
        <w:t>市、</w:t>
      </w:r>
      <w:r>
        <w:rPr>
          <w:rFonts w:ascii="宋体" w:hAnsi="宋体" w:eastAsia="仿宋_GB2312"/>
          <w:kern w:val="0"/>
          <w:szCs w:val="32"/>
        </w:rPr>
        <w:t>县</w:t>
      </w:r>
      <w:r>
        <w:rPr>
          <w:rFonts w:hint="eastAsia" w:ascii="宋体" w:hAnsi="宋体" w:eastAsia="仿宋_GB2312"/>
          <w:kern w:val="0"/>
          <w:szCs w:val="32"/>
        </w:rPr>
        <w:t>（区）</w:t>
      </w:r>
      <w:r>
        <w:rPr>
          <w:rFonts w:ascii="宋体" w:hAnsi="宋体" w:eastAsia="仿宋_GB2312"/>
          <w:kern w:val="0"/>
          <w:szCs w:val="32"/>
        </w:rPr>
        <w:t>人民政府</w:t>
      </w:r>
      <w:r>
        <w:rPr>
          <w:rFonts w:hint="eastAsia" w:ascii="宋体" w:hAnsi="宋体" w:eastAsia="仿宋_GB2312" w:cs="黑体"/>
          <w:kern w:val="0"/>
          <w:szCs w:val="32"/>
        </w:rPr>
        <w:t>应当</w:t>
      </w:r>
      <w:r>
        <w:rPr>
          <w:rFonts w:hint="eastAsia" w:ascii="宋体" w:hAnsi="宋体" w:eastAsia="仿宋_GB2312"/>
          <w:kern w:val="0"/>
          <w:szCs w:val="32"/>
        </w:rPr>
        <w:t>优化市场主体登记办理流程，实行市场主体登记、公章刻制、涉税业务办理、社保登记、住房公积金缴存登记等一网通办、一窗通取。除依法需要实质审查、前置许可或者涉及金融许可外，企业开办手续应当在一个工作日内办结。</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rPr>
        <w:t>市、</w:t>
      </w:r>
      <w:r>
        <w:rPr>
          <w:rFonts w:ascii="宋体" w:hAnsi="宋体"/>
        </w:rPr>
        <w:t>县</w:t>
      </w:r>
      <w:r>
        <w:rPr>
          <w:rFonts w:hint="eastAsia" w:ascii="宋体" w:hAnsi="宋体"/>
        </w:rPr>
        <w:t>（区）</w:t>
      </w:r>
      <w:r>
        <w:rPr>
          <w:rFonts w:ascii="宋体" w:hAnsi="宋体"/>
        </w:rPr>
        <w:t>人民政府及其有关部门应当推进</w:t>
      </w:r>
      <w:r>
        <w:rPr>
          <w:rFonts w:hint="eastAsia" w:ascii="宋体" w:hAnsi="宋体"/>
        </w:rPr>
        <w:t>“证照分离”</w:t>
      </w:r>
      <w:r>
        <w:rPr>
          <w:rFonts w:ascii="宋体" w:hAnsi="宋体"/>
        </w:rPr>
        <w:t>改革</w:t>
      </w:r>
      <w:r>
        <w:rPr>
          <w:rFonts w:hint="eastAsia" w:ascii="宋体" w:hAnsi="宋体"/>
        </w:rPr>
        <w:t>。</w:t>
      </w:r>
      <w:r>
        <w:rPr>
          <w:rFonts w:ascii="宋体" w:hAnsi="宋体"/>
        </w:rPr>
        <w:t>除法律、行政法规另有规定外，涉企经营许可事项不得作为企业登记的前置</w:t>
      </w:r>
      <w:r>
        <w:rPr>
          <w:rFonts w:hint="eastAsia" w:ascii="宋体" w:hAnsi="宋体" w:cs="仿宋_GB2312"/>
          <w:color w:val="000000"/>
        </w:rPr>
        <w:t>条件。</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实施住所（经营场所）登记申报承诺制改革，推行“一址多照”“一照多址”改革。在直播电商等领域探索推行集群注册制改革。</w:t>
      </w:r>
    </w:p>
    <w:p>
      <w:pPr>
        <w:adjustRightInd w:val="0"/>
        <w:snapToGrid w:val="0"/>
        <w:spacing w:line="560" w:lineRule="exact"/>
        <w:ind w:firstLine="640" w:firstLineChars="200"/>
        <w:rPr>
          <w:rFonts w:ascii="宋体" w:hAnsi="宋体"/>
        </w:rPr>
      </w:pPr>
      <w:r>
        <w:rPr>
          <w:rFonts w:hint="eastAsia" w:ascii="宋体" w:hAnsi="宋体" w:cs="宋体"/>
          <w:bCs/>
        </w:rPr>
        <w:t>一个行业涉及多个许可证的，可以按照国家和省有关规定整合为行业综合许可证</w:t>
      </w:r>
      <w:r>
        <w:rPr>
          <w:rFonts w:hint="eastAsia" w:ascii="宋体" w:hAnsi="宋体"/>
        </w:rPr>
        <w:t>。市场主体需要单项许可证的，有关部门应当予以提供。</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eastAsia="黑体"/>
        </w:rPr>
        <w:t>第十五条</w:t>
      </w:r>
      <w:r>
        <w:rPr>
          <w:rFonts w:ascii="宋体" w:hAnsi="宋体" w:eastAsia="黑体"/>
        </w:rPr>
        <w:t xml:space="preserve">  </w:t>
      </w:r>
      <w:r>
        <w:rPr>
          <w:rFonts w:hint="eastAsia" w:ascii="宋体" w:hAnsi="宋体"/>
        </w:rPr>
        <w:t>市、县（区）人民政府有关部门应当通过省企业开办注销一窗通平台，集中受理市场主体办理营业执照、税务、社会保险、海关等各类注销业务申请，由有关部门分类处置、同步办理、一次办结。</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有关部门应当按照国家和省有关规定探索实施市场主体除名等制度，提升市场主体退出便利度，依法保障退出市场主体和利益相关方的合法权益。</w:t>
      </w:r>
    </w:p>
    <w:p>
      <w:pPr>
        <w:adjustRightInd w:val="0"/>
        <w:snapToGrid w:val="0"/>
        <w:spacing w:line="560" w:lineRule="exact"/>
        <w:ind w:firstLine="640" w:firstLineChars="200"/>
        <w:rPr>
          <w:rFonts w:ascii="宋体" w:hAnsi="宋体"/>
        </w:rPr>
      </w:pPr>
      <w:r>
        <w:rPr>
          <w:rFonts w:hint="eastAsia" w:ascii="宋体" w:hAnsi="宋体"/>
        </w:rPr>
        <w:t>对符合条件的市场主体实行简易注销登记。</w:t>
      </w:r>
    </w:p>
    <w:p>
      <w:pPr>
        <w:adjustRightInd w:val="0"/>
        <w:snapToGrid w:val="0"/>
        <w:spacing w:line="560" w:lineRule="exact"/>
        <w:ind w:firstLine="640" w:firstLineChars="200"/>
        <w:rPr>
          <w:rFonts w:ascii="宋体" w:hAnsi="宋体"/>
        </w:rPr>
      </w:pPr>
      <w:r>
        <w:rPr>
          <w:rFonts w:ascii="宋体" w:hAnsi="宋体" w:eastAsia="黑体"/>
        </w:rPr>
        <w:t>第</w:t>
      </w:r>
      <w:r>
        <w:rPr>
          <w:rFonts w:hint="eastAsia" w:ascii="宋体" w:hAnsi="宋体" w:eastAsia="黑体"/>
        </w:rPr>
        <w:t>十六</w:t>
      </w:r>
      <w:r>
        <w:rPr>
          <w:rFonts w:ascii="宋体" w:hAnsi="宋体" w:eastAsia="黑体"/>
        </w:rPr>
        <w:t>条</w:t>
      </w:r>
      <w:r>
        <w:rPr>
          <w:rFonts w:ascii="宋体" w:hAnsi="宋体"/>
        </w:rPr>
        <w:t xml:space="preserve">  </w:t>
      </w:r>
      <w:r>
        <w:rPr>
          <w:rFonts w:hint="eastAsia" w:ascii="宋体" w:hAnsi="宋体"/>
        </w:rPr>
        <w:t>各级人民政府和有关部门应当履行向市场主体依法作出的政策承诺以及依法订立的各类合同，不得以行政区划调整、政府换届、机构或者职能调整以及相关责任人更替等为由，不履行、不完全履行或者迟延履行约定义务。</w:t>
      </w:r>
    </w:p>
    <w:p>
      <w:pPr>
        <w:overflowPunct w:val="0"/>
        <w:topLinePunct/>
        <w:autoSpaceDE w:val="0"/>
        <w:autoSpaceDN w:val="0"/>
        <w:adjustRightInd w:val="0"/>
        <w:snapToGrid w:val="0"/>
        <w:spacing w:line="560" w:lineRule="exact"/>
        <w:ind w:firstLine="640" w:firstLineChars="200"/>
        <w:rPr>
          <w:rFonts w:ascii="宋体" w:hAnsi="宋体"/>
        </w:rPr>
      </w:pPr>
      <w:r>
        <w:rPr>
          <w:rFonts w:hint="eastAsia" w:ascii="宋体" w:hAnsi="宋体"/>
        </w:rPr>
        <w:t>因国家利益、公共利益需要改变政策</w:t>
      </w:r>
      <w:r>
        <w:rPr>
          <w:rFonts w:ascii="宋体" w:hAnsi="宋体"/>
        </w:rPr>
        <w:t>承诺、合同</w:t>
      </w:r>
      <w:r>
        <w:rPr>
          <w:rFonts w:hint="eastAsia" w:ascii="宋体" w:hAnsi="宋体"/>
        </w:rPr>
        <w:t>约定的，应当依照法定权限和程序进行；给市场主体造成损失的，应当依法予以补偿。</w:t>
      </w:r>
    </w:p>
    <w:p>
      <w:pPr>
        <w:pStyle w:val="6"/>
        <w:autoSpaceDE w:val="0"/>
        <w:autoSpaceDN w:val="0"/>
        <w:adjustRightInd w:val="0"/>
        <w:snapToGrid w:val="0"/>
        <w:spacing w:before="0" w:beforeAutospacing="0" w:after="0" w:afterAutospacing="0" w:line="560" w:lineRule="exact"/>
        <w:ind w:firstLine="640" w:firstLineChars="200"/>
        <w:rPr>
          <w:rFonts w:ascii="宋体" w:hAnsi="宋体" w:cs="仿宋_GB2312"/>
          <w:sz w:val="32"/>
          <w:lang w:val="zh-CN"/>
        </w:rPr>
      </w:pPr>
      <w:r>
        <w:rPr>
          <w:rFonts w:hint="eastAsia" w:ascii="宋体" w:hAnsi="宋体" w:eastAsia="黑体"/>
          <w:sz w:val="32"/>
          <w:lang w:bidi="ar"/>
        </w:rPr>
        <w:t>第十七条</w:t>
      </w:r>
      <w:r>
        <w:rPr>
          <w:rFonts w:hint="eastAsia" w:ascii="宋体" w:hAnsi="宋体" w:eastAsia="黑体"/>
          <w:sz w:val="32"/>
        </w:rPr>
        <w:t xml:space="preserve"> </w:t>
      </w:r>
      <w:r>
        <w:rPr>
          <w:rFonts w:ascii="宋体" w:hAnsi="宋体" w:eastAsia="黑体"/>
          <w:sz w:val="32"/>
        </w:rPr>
        <w:t xml:space="preserve"> </w:t>
      </w:r>
      <w:r>
        <w:rPr>
          <w:rFonts w:hint="eastAsia" w:ascii="宋体" w:hAnsi="宋体" w:cs="仿宋_GB2312"/>
          <w:sz w:val="32"/>
          <w:lang w:val="zh-CN"/>
        </w:rPr>
        <w:t>国家机关、事业单位不得违反合同约定拖欠市场主体的货物、工程、服务等账款，也不得在约定付款方式之外变相延长付款期限。</w:t>
      </w:r>
    </w:p>
    <w:p>
      <w:pPr>
        <w:autoSpaceDE w:val="0"/>
        <w:autoSpaceDN w:val="0"/>
        <w:adjustRightInd w:val="0"/>
        <w:snapToGrid w:val="0"/>
        <w:spacing w:line="560" w:lineRule="exact"/>
        <w:ind w:firstLine="640" w:firstLineChars="200"/>
        <w:rPr>
          <w:rFonts w:ascii="宋体" w:hAnsi="宋体" w:cs="仿宋_GB2312"/>
          <w:lang w:val="zh-CN"/>
        </w:rPr>
      </w:pPr>
      <w:r>
        <w:rPr>
          <w:rFonts w:hint="eastAsia" w:ascii="宋体" w:hAnsi="宋体" w:cs="仿宋_GB2312"/>
        </w:rPr>
        <w:t>市、县（区）人民政</w:t>
      </w:r>
      <w:r>
        <w:rPr>
          <w:rFonts w:hint="eastAsia" w:ascii="宋体" w:hAnsi="宋体" w:cs="仿宋_GB2312"/>
          <w:color w:val="000000"/>
        </w:rPr>
        <w:t>府及其有关部门应当建</w:t>
      </w:r>
      <w:r>
        <w:rPr>
          <w:rFonts w:hint="eastAsia" w:ascii="宋体" w:hAnsi="宋体" w:cs="仿宋_GB2312"/>
        </w:rPr>
        <w:t>立防范和治理拖欠市场主体账款的长效机制</w:t>
      </w:r>
      <w:r>
        <w:rPr>
          <w:rFonts w:hint="eastAsia" w:ascii="宋体" w:hAnsi="宋体" w:cs="仿宋_GB2312"/>
          <w:lang w:val="zh-CN"/>
        </w:rPr>
        <w:t>，通过预算管理、绩效考核、审计监督等措施，防止和纠正国家机关、事业单位拖欠市场主体账款。</w:t>
      </w:r>
    </w:p>
    <w:p>
      <w:pPr>
        <w:adjustRightInd w:val="0"/>
        <w:snapToGrid w:val="0"/>
        <w:spacing w:line="560" w:lineRule="exact"/>
        <w:ind w:firstLine="640" w:firstLineChars="200"/>
        <w:rPr>
          <w:rFonts w:ascii="宋体" w:hAnsi="宋体"/>
        </w:rPr>
      </w:pPr>
      <w:r>
        <w:rPr>
          <w:rFonts w:hint="eastAsia" w:ascii="宋体" w:hAnsi="宋体" w:eastAsia="黑体"/>
        </w:rPr>
        <w:t>第十八条</w:t>
      </w:r>
      <w:r>
        <w:rPr>
          <w:rFonts w:ascii="宋体" w:hAnsi="宋体" w:eastAsia="黑体"/>
        </w:rPr>
        <w:t xml:space="preserve">  </w:t>
      </w:r>
      <w:r>
        <w:rPr>
          <w:rFonts w:hint="eastAsia" w:ascii="宋体" w:hAnsi="宋体"/>
        </w:rPr>
        <w:t>对依法设立的行政事业性收费、政府性基金、政府定价的经营服务性收费和涉企保证金，实行目录清单管理，动态调整，定期公布。目录清单之外的，一律不得收取。</w:t>
      </w:r>
    </w:p>
    <w:p>
      <w:pPr>
        <w:shd w:val="clear" w:color="auto" w:fill="FFFFFF"/>
        <w:adjustRightInd w:val="0"/>
        <w:snapToGrid w:val="0"/>
        <w:spacing w:line="560" w:lineRule="exact"/>
        <w:ind w:firstLine="640" w:firstLineChars="200"/>
        <w:rPr>
          <w:rFonts w:ascii="宋体" w:hAnsi="宋体"/>
        </w:rPr>
      </w:pPr>
      <w:r>
        <w:rPr>
          <w:rFonts w:hint="eastAsia" w:ascii="宋体" w:hAnsi="宋体"/>
        </w:rPr>
        <w:t>推广以金融机构保函替代现金缴纳涉企保证金，并在相关规范和办事指南中予以明确。</w:t>
      </w:r>
    </w:p>
    <w:p>
      <w:pPr>
        <w:adjustRightInd w:val="0"/>
        <w:snapToGrid w:val="0"/>
        <w:spacing w:line="560" w:lineRule="exact"/>
        <w:ind w:firstLine="640" w:firstLineChars="200"/>
        <w:rPr>
          <w:rFonts w:ascii="宋体" w:hAnsi="宋体"/>
        </w:rPr>
      </w:pPr>
      <w:r>
        <w:rPr>
          <w:rFonts w:hint="eastAsia" w:ascii="宋体" w:hAnsi="宋体" w:eastAsia="黑体" w:cs="黑体"/>
        </w:rPr>
        <w:t>第十九条</w:t>
      </w:r>
      <w:r>
        <w:rPr>
          <w:rFonts w:ascii="宋体" w:hAnsi="宋体" w:eastAsia="黑体" w:cs="黑体"/>
        </w:rPr>
        <w:t xml:space="preserve">  </w:t>
      </w:r>
      <w:r>
        <w:rPr>
          <w:rFonts w:hint="eastAsia" w:ascii="宋体" w:hAnsi="宋体"/>
        </w:rPr>
        <w:t>各级人民政府应当推进市场主体年度报告多报合一制度。市场监督管理、人力资源社会保障、商务、人民银行、海关等部门和单位应当通过企业信用信息公示系统共享企业年度报告信息，不得要求市场主体重复提交。</w:t>
      </w:r>
    </w:p>
    <w:p>
      <w:pPr>
        <w:pStyle w:val="7"/>
        <w:adjustRightInd w:val="0"/>
        <w:snapToGrid w:val="0"/>
        <w:spacing w:after="0" w:line="560" w:lineRule="exact"/>
        <w:ind w:left="0" w:leftChars="0" w:firstLine="640" w:firstLineChars="200"/>
        <w:rPr>
          <w:rFonts w:ascii="宋体" w:hAnsi="宋体" w:eastAsia="仿宋_GB2312" w:cs="仿宋_GB2312"/>
          <w:kern w:val="0"/>
          <w:szCs w:val="32"/>
        </w:rPr>
      </w:pPr>
      <w:r>
        <w:rPr>
          <w:rFonts w:hint="eastAsia" w:ascii="宋体" w:hAnsi="宋体" w:eastAsia="黑体" w:cs="黑体"/>
          <w:kern w:val="0"/>
          <w:szCs w:val="32"/>
        </w:rPr>
        <w:t>第二十条</w:t>
      </w:r>
      <w:r>
        <w:rPr>
          <w:rFonts w:hint="eastAsia" w:ascii="宋体" w:hAnsi="宋体" w:eastAsia="黑体" w:cs="宋体"/>
          <w:kern w:val="0"/>
          <w:szCs w:val="32"/>
        </w:rPr>
        <w:t xml:space="preserve"> </w:t>
      </w:r>
      <w:r>
        <w:rPr>
          <w:rFonts w:ascii="宋体" w:hAnsi="宋体" w:eastAsia="黑体" w:cs="宋体"/>
          <w:kern w:val="0"/>
          <w:szCs w:val="32"/>
        </w:rPr>
        <w:t xml:space="preserve"> </w:t>
      </w:r>
      <w:r>
        <w:rPr>
          <w:rFonts w:hint="eastAsia" w:ascii="宋体" w:hAnsi="宋体" w:eastAsia="仿宋_GB2312" w:cs="仿宋_GB2312"/>
          <w:color w:val="000000"/>
          <w:kern w:val="0"/>
          <w:szCs w:val="32"/>
        </w:rPr>
        <w:t>市、县（区）人民政</w:t>
      </w:r>
      <w:r>
        <w:rPr>
          <w:rFonts w:hint="eastAsia" w:ascii="宋体" w:hAnsi="宋体" w:eastAsia="仿宋_GB2312" w:cs="仿宋_GB2312"/>
          <w:kern w:val="0"/>
          <w:szCs w:val="32"/>
        </w:rPr>
        <w:t>府及其有关部门应当编制公布惠企政策清单，主动精准向企业推送惠企政策，符合条件的企业免予申报、直接享受惠企政策。确需企业提出申请的惠企政策，应当合理设置并公开申请条件，简化申报手续，实现一次申报、全程网办、快速兑现。</w:t>
      </w:r>
    </w:p>
    <w:p>
      <w:pPr>
        <w:adjustRightInd w:val="0"/>
        <w:snapToGrid w:val="0"/>
        <w:spacing w:line="560" w:lineRule="exact"/>
        <w:ind w:firstLine="640" w:firstLineChars="200"/>
        <w:rPr>
          <w:rFonts w:ascii="宋体" w:hAnsi="宋体" w:cs="仿宋_GB2312"/>
        </w:rPr>
      </w:pPr>
      <w:r>
        <w:rPr>
          <w:rFonts w:hint="eastAsia" w:ascii="宋体" w:hAnsi="宋体" w:cs="仿宋_GB2312"/>
        </w:rPr>
        <w:t>本市建立惠企政策落实评价制度，实施全覆盖、全周期跟踪问效。</w:t>
      </w:r>
    </w:p>
    <w:p>
      <w:pPr>
        <w:pStyle w:val="6"/>
        <w:adjustRightInd w:val="0"/>
        <w:snapToGrid w:val="0"/>
        <w:spacing w:before="0" w:beforeAutospacing="0" w:after="0" w:afterAutospacing="0" w:line="560" w:lineRule="exact"/>
        <w:ind w:firstLine="640" w:firstLineChars="200"/>
        <w:rPr>
          <w:rFonts w:ascii="宋体" w:hAnsi="宋体"/>
          <w:color w:val="000000"/>
          <w:sz w:val="32"/>
        </w:rPr>
      </w:pPr>
      <w:r>
        <w:rPr>
          <w:rFonts w:hint="eastAsia" w:ascii="宋体" w:hAnsi="宋体" w:eastAsia="黑体" w:cs="黑体"/>
          <w:sz w:val="32"/>
        </w:rPr>
        <w:t xml:space="preserve">第二十一条  </w:t>
      </w:r>
      <w:r>
        <w:rPr>
          <w:rFonts w:hint="eastAsia" w:ascii="宋体" w:hAnsi="宋体" w:cs="仿宋_GB2312"/>
          <w:color w:val="000000"/>
          <w:sz w:val="32"/>
        </w:rPr>
        <w:t>各类市场主体依法平等适用支持发展的各项政策和措施，享有公平使用资金、技术、人力资源、数据资源、土地使用权以及其他自然资源等各类生产要素和用水、用电、用气等公共服务资源的权利。</w:t>
      </w:r>
    </w:p>
    <w:p>
      <w:pPr>
        <w:overflowPunct w:val="0"/>
        <w:autoSpaceDE w:val="0"/>
        <w:autoSpaceDN w:val="0"/>
        <w:adjustRightInd w:val="0"/>
        <w:snapToGrid w:val="0"/>
        <w:spacing w:line="560" w:lineRule="exact"/>
        <w:ind w:firstLine="640" w:firstLineChars="200"/>
        <w:rPr>
          <w:rFonts w:ascii="宋体" w:hAnsi="宋体" w:cs="仿宋_GB2312"/>
          <w:color w:val="000000"/>
        </w:rPr>
      </w:pPr>
      <w:r>
        <w:rPr>
          <w:rFonts w:hint="eastAsia" w:ascii="宋体" w:hAnsi="宋体" w:eastAsia="黑体" w:cs="黑体"/>
        </w:rPr>
        <w:t xml:space="preserve">第二十二条  </w:t>
      </w:r>
      <w:r>
        <w:rPr>
          <w:rFonts w:hint="eastAsia" w:ascii="宋体" w:hAnsi="宋体" w:cs="仿宋_GB2312"/>
          <w:color w:val="000000"/>
        </w:rPr>
        <w:t>鼓励推行新型产业用地开发，推广土地出让合同和土地监管协议相结合的管理模式。</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cs="仿宋_GB2312"/>
          <w:color w:val="000000"/>
        </w:rPr>
        <w:t>推行新增工业项目用地标准地出让和工业用地建设带项目设计方案供应</w:t>
      </w:r>
      <w:r>
        <w:rPr>
          <w:rFonts w:hint="eastAsia" w:ascii="宋体" w:hAnsi="宋体" w:cs="仿宋_GB2312"/>
        </w:rPr>
        <w:t>。</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rPr>
        <w:t>市、县（区）人民政府应当建立用地企业亩产效益评价机制，实行资源要素差异化配置，提高生产要素配置效率。</w:t>
      </w:r>
    </w:p>
    <w:p>
      <w:pPr>
        <w:adjustRightInd w:val="0"/>
        <w:snapToGrid w:val="0"/>
        <w:spacing w:line="560" w:lineRule="exact"/>
        <w:ind w:firstLine="640" w:firstLineChars="200"/>
        <w:rPr>
          <w:rFonts w:ascii="宋体" w:hAnsi="宋体" w:cs="仿宋_GB2312"/>
          <w:color w:val="000000"/>
        </w:rPr>
      </w:pPr>
      <w:r>
        <w:rPr>
          <w:rFonts w:hint="eastAsia" w:ascii="宋体" w:hAnsi="宋体" w:eastAsia="黑体" w:cs="黑体"/>
        </w:rPr>
        <w:t xml:space="preserve">第二十三条  </w:t>
      </w:r>
      <w:r>
        <w:rPr>
          <w:rFonts w:hint="eastAsia" w:ascii="宋体" w:hAnsi="宋体" w:cs="仿宋_GB2312"/>
          <w:color w:val="000000"/>
        </w:rPr>
        <w:t>市、县（区）人民政府应当强化规划统筹引领和土地要素支撑，构建政府引导、市场运作、社会参与的城市更新机制。</w:t>
      </w:r>
    </w:p>
    <w:p>
      <w:pPr>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支持市场主体因地制宜采取综合整治、功能转换、拆除重建等多种方式实施低效用地再开发，促进节地水平和利用效益提升。</w:t>
      </w:r>
    </w:p>
    <w:p>
      <w:pPr>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市、县（区）人民政府应当组织编制城市更新指引和更新专项规划，并向社会公布。</w:t>
      </w:r>
    </w:p>
    <w:p>
      <w:pPr>
        <w:adjustRightInd w:val="0"/>
        <w:snapToGrid w:val="0"/>
        <w:spacing w:line="560" w:lineRule="exact"/>
        <w:ind w:firstLine="640" w:firstLineChars="200"/>
        <w:rPr>
          <w:rFonts w:ascii="宋体" w:hAnsi="宋体" w:cs="仿宋_GB2312"/>
          <w:color w:val="000000"/>
        </w:rPr>
      </w:pPr>
      <w:r>
        <w:rPr>
          <w:rFonts w:hint="eastAsia" w:ascii="宋体" w:hAnsi="宋体" w:eastAsia="黑体"/>
        </w:rPr>
        <w:t xml:space="preserve">第二十四条  </w:t>
      </w:r>
      <w:r>
        <w:rPr>
          <w:rFonts w:hint="eastAsia" w:ascii="宋体" w:hAnsi="宋体" w:cs="仿宋_GB2312"/>
          <w:color w:val="000000"/>
        </w:rPr>
        <w:t>市、县（区）人民政府及其有关部门应当鼓励和支持市场主体持续推进产品、技术、商业模式和管理创新，建立研发投入增长机制和研发准备金制度。</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cs="仿宋_GB2312"/>
        </w:rPr>
        <w:t>支持重点实验室、重点领域技术创新中心等科技创新平台建设，提升关键领域技术创新供给能力。</w:t>
      </w:r>
    </w:p>
    <w:p>
      <w:pPr>
        <w:adjustRightInd w:val="0"/>
        <w:snapToGrid w:val="0"/>
        <w:spacing w:line="560" w:lineRule="exact"/>
        <w:ind w:firstLine="640" w:firstLineChars="200"/>
        <w:rPr>
          <w:rFonts w:ascii="宋体" w:hAnsi="宋体" w:cs="仿宋_GB2312"/>
        </w:rPr>
      </w:pPr>
      <w:r>
        <w:rPr>
          <w:rFonts w:hint="eastAsia" w:ascii="宋体" w:hAnsi="宋体" w:cs="仿宋_GB2312"/>
        </w:rPr>
        <w:t>鼓励和支持创办科技企业孵化器、大学科技园、众创空间和技术转移机构、科技金融服务等机构，促进科技成果转化。</w:t>
      </w:r>
    </w:p>
    <w:p>
      <w:pPr>
        <w:pStyle w:val="2"/>
        <w:adjustRightInd w:val="0"/>
        <w:snapToGrid w:val="0"/>
        <w:spacing w:line="560" w:lineRule="exact"/>
        <w:ind w:firstLine="640" w:firstLineChars="200"/>
        <w:rPr>
          <w:rFonts w:ascii="宋体" w:hAnsi="宋体" w:eastAsia="仿宋_GB2312"/>
        </w:rPr>
      </w:pPr>
      <w:r>
        <w:rPr>
          <w:rFonts w:hint="eastAsia" w:ascii="宋体" w:hAnsi="宋体" w:eastAsia="仿宋_GB2312" w:cs="仿宋_GB2312"/>
          <w:szCs w:val="32"/>
        </w:rPr>
        <w:t>鼓励大型企业科技设施、科研数据、技术验证环境与中小企业共享共用，构建产业链上中下游、大中小企业融通创新生态。</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eastAsia="黑体" w:cs="黑体"/>
        </w:rPr>
        <w:t>第二十五条</w:t>
      </w:r>
      <w:r>
        <w:rPr>
          <w:rFonts w:hint="eastAsia" w:ascii="宋体" w:hAnsi="宋体" w:eastAsia="黑体"/>
        </w:rPr>
        <w:t xml:space="preserve">  </w:t>
      </w:r>
      <w:r>
        <w:rPr>
          <w:rFonts w:hint="eastAsia" w:ascii="宋体" w:hAnsi="宋体" w:cs="仿宋_GB2312"/>
        </w:rPr>
        <w:t>市、县（区）人民政府</w:t>
      </w:r>
      <w:r>
        <w:rPr>
          <w:rFonts w:ascii="宋体" w:hAnsi="宋体" w:cs="仿宋_GB2312"/>
        </w:rPr>
        <w:t>应当</w:t>
      </w:r>
      <w:r>
        <w:rPr>
          <w:rFonts w:hint="eastAsia" w:ascii="宋体" w:hAnsi="宋体" w:cs="仿宋_GB2312"/>
        </w:rPr>
        <w:t>建立健全知识产权快速协同保护机制，加强市场主体知识产权的维权援助，强化新技术、新产业、新业态、新模式创新成果的知识产权保护，依法实施知识产权侵权惩罚性赔偿制度。</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cs="仿宋_GB2312"/>
        </w:rPr>
        <w:t>支持企业自主研发和自主创新，提升保护和运用知识产权的能力。鼓励企业投保知识产权保险。</w:t>
      </w:r>
    </w:p>
    <w:p>
      <w:pPr>
        <w:pStyle w:val="7"/>
        <w:adjustRightInd w:val="0"/>
        <w:snapToGrid w:val="0"/>
        <w:spacing w:after="0" w:line="560" w:lineRule="exact"/>
        <w:ind w:left="0" w:leftChars="0" w:firstLine="640" w:firstLineChars="200"/>
        <w:rPr>
          <w:rFonts w:ascii="宋体" w:hAnsi="宋体" w:eastAsia="仿宋_GB2312" w:cs="仿宋_GB2312"/>
          <w:color w:val="000000"/>
          <w:kern w:val="0"/>
          <w:szCs w:val="32"/>
        </w:rPr>
      </w:pPr>
      <w:r>
        <w:rPr>
          <w:rFonts w:hint="eastAsia" w:ascii="宋体" w:hAnsi="宋体" w:eastAsia="黑体" w:cs="黑体"/>
          <w:kern w:val="0"/>
          <w:szCs w:val="32"/>
        </w:rPr>
        <w:t xml:space="preserve">第二十六条 </w:t>
      </w:r>
      <w:r>
        <w:rPr>
          <w:rFonts w:ascii="宋体" w:hAnsi="宋体" w:eastAsia="黑体" w:cs="黑体"/>
          <w:kern w:val="0"/>
          <w:szCs w:val="32"/>
        </w:rPr>
        <w:t xml:space="preserve"> </w:t>
      </w:r>
      <w:r>
        <w:rPr>
          <w:rFonts w:hint="eastAsia" w:ascii="宋体" w:hAnsi="宋体" w:eastAsia="仿宋_GB2312" w:cs="仿宋_GB2312"/>
          <w:color w:val="000000"/>
          <w:kern w:val="0"/>
          <w:szCs w:val="32"/>
        </w:rPr>
        <w:t>市、县（区）人民政府应当建立健全政府性融资担保体系，设立融资担保风险补偿资金，引导融资担保机构加大对符合产业政策、有市场发展潜力的中小微企业和“三农”主体的金融支持力度，为中小微企业融资提供增信服务。</w:t>
      </w:r>
    </w:p>
    <w:p>
      <w:pPr>
        <w:adjustRightInd w:val="0"/>
        <w:snapToGrid w:val="0"/>
        <w:spacing w:line="560" w:lineRule="exact"/>
        <w:ind w:firstLine="640" w:firstLineChars="200"/>
        <w:rPr>
          <w:rFonts w:ascii="宋体" w:hAnsi="宋体" w:cs="黑体"/>
        </w:rPr>
      </w:pPr>
      <w:r>
        <w:rPr>
          <w:rFonts w:hint="eastAsia" w:ascii="宋体" w:hAnsi="宋体" w:cs="黑体"/>
        </w:rPr>
        <w:t>完善科技创新型企业初创期资金扶持机制，加大对创新型、成长型中小企业和专精特新中小企业的定向支持力度。</w:t>
      </w:r>
    </w:p>
    <w:p>
      <w:pPr>
        <w:pStyle w:val="6"/>
        <w:adjustRightInd w:val="0"/>
        <w:snapToGrid w:val="0"/>
        <w:spacing w:before="0" w:beforeAutospacing="0" w:after="0" w:afterAutospacing="0" w:line="560" w:lineRule="exact"/>
        <w:ind w:firstLine="640" w:firstLineChars="200"/>
        <w:rPr>
          <w:rFonts w:ascii="宋体" w:hAnsi="宋体"/>
          <w:color w:val="000000"/>
          <w:sz w:val="32"/>
        </w:rPr>
      </w:pPr>
      <w:r>
        <w:rPr>
          <w:rFonts w:ascii="宋体" w:hAnsi="宋体" w:cs="仿宋_GB2312"/>
          <w:color w:val="000000"/>
          <w:sz w:val="32"/>
        </w:rPr>
        <w:t>鼓励商业银行按照可持续、保本微利的原则，建立差异化的中小微企业利率定价机制，创新开发</w:t>
      </w:r>
      <w:r>
        <w:rPr>
          <w:rFonts w:hint="eastAsia" w:ascii="宋体" w:hAnsi="宋体" w:cs="仿宋_GB2312"/>
          <w:color w:val="000000"/>
          <w:sz w:val="32"/>
        </w:rPr>
        <w:t>支持</w:t>
      </w:r>
      <w:r>
        <w:rPr>
          <w:rFonts w:ascii="宋体" w:hAnsi="宋体" w:cs="仿宋_GB2312"/>
          <w:color w:val="000000"/>
          <w:sz w:val="32"/>
        </w:rPr>
        <w:t>民营企业、中小微企业</w:t>
      </w:r>
      <w:r>
        <w:rPr>
          <w:rFonts w:hint="eastAsia" w:ascii="宋体" w:hAnsi="宋体" w:cs="仿宋_GB2312"/>
          <w:color w:val="000000"/>
          <w:sz w:val="32"/>
        </w:rPr>
        <w:t>、科技型企业的</w:t>
      </w:r>
      <w:r>
        <w:rPr>
          <w:rFonts w:ascii="宋体" w:hAnsi="宋体" w:cs="仿宋_GB2312"/>
          <w:color w:val="000000"/>
          <w:sz w:val="32"/>
        </w:rPr>
        <w:t>金融产品和业务模式。</w:t>
      </w:r>
    </w:p>
    <w:p>
      <w:pPr>
        <w:adjustRightInd w:val="0"/>
        <w:snapToGrid w:val="0"/>
        <w:spacing w:line="560" w:lineRule="exact"/>
        <w:ind w:firstLine="640" w:firstLineChars="200"/>
        <w:rPr>
          <w:rFonts w:ascii="宋体" w:hAnsi="宋体" w:cs="仿宋_GB2312"/>
          <w:color w:val="000000"/>
        </w:rPr>
      </w:pPr>
      <w:r>
        <w:rPr>
          <w:rFonts w:ascii="宋体" w:hAnsi="宋体" w:cs="仿宋_GB2312"/>
          <w:color w:val="000000"/>
        </w:rPr>
        <w:t>商业银行等金融机构不得在授信中对民营企业、中小微企业设置歧视性规定、限制性门槛</w:t>
      </w:r>
      <w:r>
        <w:rPr>
          <w:rFonts w:hint="eastAsia" w:ascii="宋体" w:hAnsi="宋体" w:cs="仿宋_GB2312"/>
          <w:color w:val="000000"/>
        </w:rPr>
        <w:t>，不得</w:t>
      </w:r>
      <w:r>
        <w:rPr>
          <w:rFonts w:ascii="宋体" w:hAnsi="宋体" w:cs="仿宋_GB2312"/>
          <w:color w:val="000000"/>
        </w:rPr>
        <w:t>在授信中强制搭售保险、理财等产品</w:t>
      </w:r>
      <w:r>
        <w:rPr>
          <w:rFonts w:hint="eastAsia" w:ascii="宋体" w:hAnsi="宋体" w:cs="仿宋_GB2312"/>
          <w:color w:val="000000"/>
        </w:rPr>
        <w:t>，不得</w:t>
      </w:r>
      <w:r>
        <w:rPr>
          <w:rFonts w:ascii="宋体" w:hAnsi="宋体" w:cs="仿宋_GB2312"/>
          <w:color w:val="000000"/>
        </w:rPr>
        <w:t>强制约定将企业的部分贷款转为存款</w:t>
      </w:r>
      <w:r>
        <w:rPr>
          <w:rFonts w:hint="eastAsia" w:ascii="宋体" w:hAnsi="宋体" w:cs="仿宋_GB2312"/>
          <w:color w:val="000000"/>
        </w:rPr>
        <w:t>，不得</w:t>
      </w:r>
      <w:r>
        <w:rPr>
          <w:rFonts w:ascii="宋体" w:hAnsi="宋体" w:cs="仿宋_GB2312"/>
          <w:color w:val="000000"/>
        </w:rPr>
        <w:t>以存款作为审批和发放贷款的前提条件</w:t>
      </w:r>
      <w:r>
        <w:rPr>
          <w:rFonts w:hint="eastAsia" w:ascii="宋体" w:hAnsi="宋体" w:cs="仿宋_GB2312"/>
          <w:color w:val="000000"/>
        </w:rPr>
        <w:t>，不得</w:t>
      </w:r>
      <w:r>
        <w:rPr>
          <w:rFonts w:ascii="宋体" w:hAnsi="宋体" w:cs="仿宋_GB2312"/>
          <w:color w:val="000000"/>
        </w:rPr>
        <w:t>设置其他不合理的限制条件。</w:t>
      </w:r>
    </w:p>
    <w:p>
      <w:pPr>
        <w:pStyle w:val="2"/>
        <w:adjustRightInd w:val="0"/>
        <w:snapToGrid w:val="0"/>
        <w:spacing w:line="560" w:lineRule="exact"/>
        <w:ind w:firstLine="645"/>
        <w:rPr>
          <w:rFonts w:ascii="宋体" w:hAnsi="宋体" w:eastAsia="仿宋_GB2312" w:cs="仿宋_GB2312"/>
          <w:color w:val="000000"/>
          <w:szCs w:val="32"/>
        </w:rPr>
      </w:pPr>
      <w:r>
        <w:rPr>
          <w:rFonts w:hint="eastAsia" w:ascii="宋体" w:hAnsi="宋体" w:eastAsia="黑体"/>
          <w:szCs w:val="32"/>
        </w:rPr>
        <w:t xml:space="preserve">第二十七条 </w:t>
      </w:r>
      <w:r>
        <w:rPr>
          <w:rFonts w:hint="eastAsia" w:ascii="宋体" w:hAnsi="宋体" w:eastAsia="仿宋_GB2312" w:cs="仿宋_GB2312"/>
          <w:color w:val="000000"/>
          <w:szCs w:val="32"/>
        </w:rPr>
        <w:t xml:space="preserve"> 市、县（区）人民政府和有关部门应当制定人才培养、引进、评价、激励和服务保障等措施，健全人才需求发布机制，推动国内外人才智力交流与合作，并在医疗、社会保险、住房、子女入学等方面提供便利，为吸引、留住、用好人才提供政策支持。</w:t>
      </w:r>
    </w:p>
    <w:p>
      <w:pPr>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市、县（区）人民政府和有关部门应当加快培育重点产业、重要领域和战略性新兴产业人才，实施领军人才培育计划，推动人才工程项目与产业发展相衔接。</w:t>
      </w:r>
    </w:p>
    <w:p>
      <w:pPr>
        <w:pStyle w:val="2"/>
        <w:adjustRightInd w:val="0"/>
        <w:snapToGrid w:val="0"/>
        <w:spacing w:line="560" w:lineRule="exact"/>
        <w:ind w:firstLine="640" w:firstLineChars="200"/>
        <w:rPr>
          <w:rFonts w:ascii="宋体" w:hAnsi="宋体" w:eastAsia="仿宋_GB2312" w:cs="仿宋_GB2312"/>
          <w:color w:val="000000"/>
          <w:szCs w:val="32"/>
        </w:rPr>
      </w:pPr>
      <w:r>
        <w:rPr>
          <w:rFonts w:hint="eastAsia" w:ascii="宋体" w:hAnsi="宋体" w:eastAsia="仿宋_GB2312" w:cs="仿宋_GB2312"/>
          <w:color w:val="000000"/>
          <w:szCs w:val="32"/>
        </w:rPr>
        <w:t>鼓励、支持各类学校、教育和科研机构在本市设立教育教学、研究、实训机构或者项目，利用其优质教育资源培养人才。</w:t>
      </w:r>
    </w:p>
    <w:p>
      <w:pPr>
        <w:pStyle w:val="2"/>
        <w:adjustRightInd w:val="0"/>
        <w:snapToGrid w:val="0"/>
        <w:spacing w:line="560" w:lineRule="exact"/>
        <w:ind w:firstLine="646"/>
        <w:rPr>
          <w:rFonts w:ascii="宋体" w:hAnsi="宋体" w:eastAsia="仿宋_GB2312" w:cs="仿宋_GB2312"/>
          <w:color w:val="000000"/>
          <w:szCs w:val="32"/>
        </w:rPr>
      </w:pPr>
      <w:r>
        <w:rPr>
          <w:rFonts w:hint="eastAsia" w:ascii="宋体" w:hAnsi="宋体" w:eastAsia="黑体"/>
          <w:szCs w:val="32"/>
        </w:rPr>
        <w:t xml:space="preserve">第二十八条 </w:t>
      </w:r>
      <w:r>
        <w:rPr>
          <w:rFonts w:hint="eastAsia" w:ascii="宋体" w:hAnsi="宋体" w:eastAsia="仿宋_GB2312"/>
          <w:szCs w:val="32"/>
        </w:rPr>
        <w:t xml:space="preserve"> 市、县（区）人民政府应当统筹职业教育资源配置，优化职业教育专业结构，深化产教融合、校企合作，开展订单式培养、套餐制培训，提高劳动者素质和技术技能水平，保障人力资源的供给。</w:t>
      </w:r>
    </w:p>
    <w:p>
      <w:pPr>
        <w:pStyle w:val="2"/>
        <w:adjustRightInd w:val="0"/>
        <w:snapToGrid w:val="0"/>
        <w:spacing w:line="560" w:lineRule="exact"/>
        <w:ind w:firstLine="646"/>
        <w:rPr>
          <w:rFonts w:ascii="宋体" w:hAnsi="宋体" w:eastAsia="仿宋_GB2312"/>
          <w:szCs w:val="32"/>
        </w:rPr>
      </w:pPr>
      <w:r>
        <w:rPr>
          <w:rFonts w:hint="eastAsia" w:ascii="宋体" w:hAnsi="宋体" w:eastAsia="仿宋_GB2312"/>
          <w:szCs w:val="32"/>
        </w:rPr>
        <w:t>人力资源社会保障部门应当优化市场主体用工信息服务，及时发布人力资源市场供需状况，为市场主体提供用工指导、政策咨询、劳动关系协调等服务，提高人力资源配置效率。</w:t>
      </w:r>
    </w:p>
    <w:p>
      <w:pPr>
        <w:pStyle w:val="2"/>
        <w:adjustRightInd w:val="0"/>
        <w:snapToGrid w:val="0"/>
        <w:spacing w:line="560" w:lineRule="exact"/>
        <w:ind w:firstLine="646"/>
        <w:rPr>
          <w:rFonts w:ascii="宋体" w:hAnsi="宋体" w:eastAsia="仿宋_GB2312"/>
          <w:szCs w:val="32"/>
        </w:rPr>
      </w:pPr>
      <w:r>
        <w:rPr>
          <w:rFonts w:hint="eastAsia" w:ascii="宋体" w:hAnsi="宋体" w:eastAsia="黑体" w:cs="黑体"/>
          <w:szCs w:val="32"/>
        </w:rPr>
        <w:t>第二十九条</w:t>
      </w:r>
      <w:r>
        <w:rPr>
          <w:rFonts w:hint="eastAsia" w:ascii="宋体" w:hAnsi="宋体" w:eastAsia="黑体" w:cs="宋体"/>
          <w:szCs w:val="32"/>
        </w:rPr>
        <w:t xml:space="preserve"> </w:t>
      </w:r>
      <w:r>
        <w:rPr>
          <w:rFonts w:ascii="宋体" w:hAnsi="宋体" w:eastAsia="黑体" w:cs="宋体"/>
          <w:szCs w:val="32"/>
        </w:rPr>
        <w:t xml:space="preserve"> </w:t>
      </w:r>
      <w:r>
        <w:rPr>
          <w:rFonts w:hint="eastAsia" w:ascii="宋体" w:hAnsi="宋体" w:eastAsia="仿宋_GB2312"/>
          <w:szCs w:val="32"/>
        </w:rPr>
        <w:t>供水、供电、供气、供热、排水与污水处理等公用企业，应当向社会公开服务标准、服务流程、办理时限、资费标准等信息，简化报装手续、优化办理流程、降低报装成本，为市场主体提供安全、方便、快捷、稳定和价格合理的服务，不得强迫市场主体接受不合理的服务条件，不得以任何名义收取不合理费用。</w:t>
      </w:r>
    </w:p>
    <w:p>
      <w:pPr>
        <w:pStyle w:val="2"/>
        <w:adjustRightInd w:val="0"/>
        <w:snapToGrid w:val="0"/>
        <w:spacing w:line="560" w:lineRule="exact"/>
        <w:ind w:firstLine="646"/>
        <w:rPr>
          <w:rFonts w:ascii="宋体" w:hAnsi="宋体" w:eastAsia="仿宋_GB2312" w:cs="仿宋_GB2312"/>
          <w:szCs w:val="32"/>
        </w:rPr>
      </w:pPr>
      <w:r>
        <w:rPr>
          <w:rFonts w:ascii="宋体" w:hAnsi="宋体" w:eastAsia="仿宋_GB2312"/>
          <w:szCs w:val="32"/>
        </w:rPr>
        <w:t>用户企业因生产经营需要新建、改建、扩建供水、供电、供气、供热、</w:t>
      </w:r>
      <w:r>
        <w:rPr>
          <w:rFonts w:hint="eastAsia" w:ascii="宋体" w:hAnsi="宋体" w:eastAsia="仿宋_GB2312"/>
          <w:szCs w:val="32"/>
        </w:rPr>
        <w:t>排水与污水处理</w:t>
      </w:r>
      <w:r>
        <w:rPr>
          <w:rFonts w:ascii="宋体" w:hAnsi="宋体" w:eastAsia="仿宋_GB2312"/>
          <w:szCs w:val="32"/>
        </w:rPr>
        <w:t>等设施的，非用户企业产权的设施的建设、维护和使用成本，不得向用</w:t>
      </w:r>
      <w:r>
        <w:rPr>
          <w:rFonts w:ascii="宋体" w:hAnsi="宋体" w:eastAsia="仿宋_GB2312" w:cs="仿宋_GB2312"/>
          <w:szCs w:val="32"/>
        </w:rPr>
        <w:t>户企业收取或者要求其向第三方缴纳。</w:t>
      </w:r>
    </w:p>
    <w:p>
      <w:pPr>
        <w:adjustRightInd w:val="0"/>
        <w:snapToGrid w:val="0"/>
        <w:spacing w:line="560" w:lineRule="exact"/>
        <w:ind w:firstLine="640" w:firstLineChars="200"/>
        <w:rPr>
          <w:rFonts w:ascii="宋体" w:hAnsi="宋体" w:cs="仿宋_GB2312"/>
        </w:rPr>
      </w:pPr>
      <w:r>
        <w:rPr>
          <w:rFonts w:ascii="宋体" w:hAnsi="宋体" w:eastAsia="黑体"/>
        </w:rPr>
        <w:t>第</w:t>
      </w:r>
      <w:r>
        <w:rPr>
          <w:rFonts w:hint="eastAsia" w:ascii="宋体" w:hAnsi="宋体" w:eastAsia="黑体"/>
        </w:rPr>
        <w:t>三十</w:t>
      </w:r>
      <w:r>
        <w:rPr>
          <w:rFonts w:ascii="宋体" w:hAnsi="宋体" w:eastAsia="黑体"/>
        </w:rPr>
        <w:t>条</w:t>
      </w:r>
      <w:r>
        <w:rPr>
          <w:rFonts w:ascii="宋体" w:hAnsi="宋体"/>
        </w:rPr>
        <w:t xml:space="preserve">  </w:t>
      </w:r>
      <w:r>
        <w:rPr>
          <w:rFonts w:ascii="宋体" w:hAnsi="宋体" w:cs="仿宋_GB2312"/>
        </w:rPr>
        <w:t>因自然灾害、事故灾难或者公共卫生事件等突发事件造成市场主体普遍性生产经营困难的，</w:t>
      </w:r>
      <w:r>
        <w:rPr>
          <w:rFonts w:hint="eastAsia" w:ascii="宋体" w:hAnsi="宋体" w:cs="仿宋_GB2312"/>
        </w:rPr>
        <w:t>市、县（区）</w:t>
      </w:r>
      <w:r>
        <w:rPr>
          <w:rFonts w:ascii="宋体" w:hAnsi="宋体" w:cs="仿宋_GB2312"/>
        </w:rPr>
        <w:t>人民政府应当及时制定推动经济循环畅通和稳定持续发展的扶持政策，依法采取救助、补偿、减免等帮扶措施。</w:t>
      </w:r>
    </w:p>
    <w:p>
      <w:pPr>
        <w:overflowPunct w:val="0"/>
        <w:autoSpaceDE w:val="0"/>
        <w:autoSpaceDN w:val="0"/>
        <w:adjustRightInd w:val="0"/>
        <w:snapToGrid w:val="0"/>
        <w:spacing w:line="560" w:lineRule="exact"/>
        <w:ind w:firstLine="640" w:firstLineChars="200"/>
        <w:rPr>
          <w:rFonts w:ascii="宋体" w:hAnsi="宋体" w:cs="仿宋_GB2312"/>
          <w:color w:val="000000"/>
        </w:rPr>
      </w:pPr>
      <w:r>
        <w:rPr>
          <w:rFonts w:hint="eastAsia" w:ascii="宋体" w:hAnsi="宋体" w:eastAsia="黑体" w:cs="黑体"/>
        </w:rPr>
        <w:t>第三十一条</w:t>
      </w:r>
      <w:r>
        <w:rPr>
          <w:rFonts w:hint="eastAsia" w:ascii="宋体" w:hAnsi="宋体" w:eastAsia="黑体" w:cs="宋体"/>
        </w:rPr>
        <w:t xml:space="preserve"> </w:t>
      </w:r>
      <w:r>
        <w:rPr>
          <w:rFonts w:ascii="宋体" w:hAnsi="宋体" w:eastAsia="黑体" w:cs="宋体"/>
        </w:rPr>
        <w:t xml:space="preserve"> </w:t>
      </w:r>
      <w:r>
        <w:rPr>
          <w:rFonts w:hint="eastAsia" w:ascii="宋体" w:hAnsi="宋体" w:cs="仿宋_GB2312"/>
          <w:color w:val="000000"/>
        </w:rPr>
        <w:t>行业协会、商会应当加强行业指导和自律管理，及时反映行业诉求，参与制定和推广实施符合高质量发展要求的行业发展标准、技术服务标准，为市场主体提供信息咨询、市场拓展、权益保护、纠纷处理以及人才评价等方面的公益性服务。</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cs="仿宋_GB2312"/>
        </w:rPr>
        <w:t>除法律、法规另有规定外，市场主体有权自主决定加入或者退出行业协会、商会等社会组织，任何单位和个人不得干预。</w:t>
      </w:r>
    </w:p>
    <w:p>
      <w:pPr>
        <w:pStyle w:val="7"/>
        <w:adjustRightInd w:val="0"/>
        <w:snapToGrid w:val="0"/>
        <w:spacing w:after="0" w:line="560" w:lineRule="exact"/>
        <w:ind w:left="640" w:firstLine="640"/>
        <w:rPr>
          <w:rFonts w:ascii="宋体" w:hAnsi="宋体" w:eastAsia="黑体"/>
          <w:kern w:val="0"/>
          <w:szCs w:val="32"/>
        </w:rPr>
      </w:pPr>
    </w:p>
    <w:p>
      <w:pPr>
        <w:pStyle w:val="7"/>
        <w:adjustRightInd w:val="0"/>
        <w:snapToGrid w:val="0"/>
        <w:spacing w:after="0" w:line="560" w:lineRule="exact"/>
        <w:ind w:left="640" w:firstLine="0"/>
        <w:jc w:val="center"/>
        <w:rPr>
          <w:rFonts w:ascii="宋体" w:hAnsi="宋体" w:eastAsia="黑体"/>
          <w:kern w:val="0"/>
          <w:szCs w:val="32"/>
        </w:rPr>
      </w:pPr>
      <w:r>
        <w:rPr>
          <w:rFonts w:hint="eastAsia" w:ascii="宋体" w:hAnsi="宋体" w:eastAsia="黑体"/>
          <w:kern w:val="0"/>
          <w:szCs w:val="32"/>
        </w:rPr>
        <w:t>第三章  政务环境</w:t>
      </w:r>
    </w:p>
    <w:p>
      <w:pPr>
        <w:adjustRightInd w:val="0"/>
        <w:snapToGrid w:val="0"/>
        <w:spacing w:line="560" w:lineRule="exact"/>
        <w:ind w:firstLine="640" w:firstLineChars="200"/>
        <w:rPr>
          <w:rFonts w:ascii="宋体" w:hAnsi="宋体"/>
        </w:rPr>
      </w:pPr>
    </w:p>
    <w:p>
      <w:pPr>
        <w:overflowPunct w:val="0"/>
        <w:autoSpaceDE w:val="0"/>
        <w:autoSpaceDN w:val="0"/>
        <w:adjustRightInd w:val="0"/>
        <w:snapToGrid w:val="0"/>
        <w:spacing w:line="560" w:lineRule="exact"/>
        <w:ind w:firstLine="640" w:firstLineChars="200"/>
        <w:rPr>
          <w:rFonts w:ascii="宋体" w:hAnsi="宋体"/>
          <w:color w:val="000000"/>
        </w:rPr>
      </w:pPr>
      <w:r>
        <w:rPr>
          <w:rFonts w:hint="eastAsia" w:ascii="宋体" w:hAnsi="宋体" w:eastAsia="黑体" w:cs="黑体"/>
          <w:bCs/>
        </w:rPr>
        <w:t>第三十二条</w:t>
      </w:r>
      <w:r>
        <w:rPr>
          <w:rFonts w:hint="eastAsia" w:ascii="宋体" w:hAnsi="宋体"/>
        </w:rPr>
        <w:t xml:space="preserve">  </w:t>
      </w:r>
      <w:r>
        <w:rPr>
          <w:rFonts w:hint="eastAsia" w:ascii="宋体" w:hAnsi="宋体" w:cs="黑体"/>
        </w:rPr>
        <w:t>本</w:t>
      </w:r>
      <w:r>
        <w:rPr>
          <w:rFonts w:hint="eastAsia" w:ascii="宋体" w:hAnsi="宋体" w:cs="仿宋_GB2312"/>
          <w:color w:val="000000"/>
        </w:rPr>
        <w:t>市建立健全四级一体化政务服务体系。市、县（区）人民政府应当明确统一的政务服务中心。乡镇人民政府和街道办事处应当健全完善便民服务中心，并根据实际情况在社区（村）设立便民服务站。</w:t>
      </w:r>
    </w:p>
    <w:p>
      <w:pPr>
        <w:pStyle w:val="11"/>
        <w:overflowPunct w:val="0"/>
        <w:autoSpaceDE w:val="0"/>
        <w:autoSpaceDN w:val="0"/>
        <w:adjustRightInd w:val="0"/>
        <w:snapToGrid w:val="0"/>
        <w:spacing w:line="560" w:lineRule="exact"/>
        <w:ind w:firstLine="640"/>
        <w:rPr>
          <w:rFonts w:hint="default" w:ascii="宋体" w:hAnsi="宋体" w:eastAsia="仿宋_GB2312" w:cs="仿宋_GB2312"/>
          <w:kern w:val="0"/>
          <w:sz w:val="32"/>
          <w:szCs w:val="32"/>
        </w:rPr>
      </w:pPr>
      <w:r>
        <w:rPr>
          <w:rFonts w:ascii="宋体" w:hAnsi="宋体" w:eastAsia="仿宋_GB2312" w:cs="仿宋_GB2312"/>
          <w:kern w:val="0"/>
          <w:sz w:val="32"/>
          <w:szCs w:val="32"/>
        </w:rPr>
        <w:t>各级人民政府应当加强政务（便民）服务中心（站）、政务服务平台运行管理，强化政务服务经费、人员、场地、信息化保障。</w:t>
      </w:r>
    </w:p>
    <w:p>
      <w:pPr>
        <w:adjustRightInd w:val="0"/>
        <w:snapToGrid w:val="0"/>
        <w:spacing w:line="560" w:lineRule="exact"/>
        <w:ind w:firstLine="640"/>
        <w:rPr>
          <w:rFonts w:ascii="宋体" w:hAnsi="宋体"/>
          <w:color w:val="000000"/>
        </w:rPr>
      </w:pPr>
      <w:r>
        <w:rPr>
          <w:rFonts w:hint="eastAsia" w:ascii="宋体" w:hAnsi="宋体" w:eastAsia="黑体"/>
        </w:rPr>
        <w:t xml:space="preserve">第三十三条  </w:t>
      </w:r>
      <w:r>
        <w:rPr>
          <w:rFonts w:ascii="宋体" w:hAnsi="宋体"/>
          <w:color w:val="000000"/>
        </w:rPr>
        <w:t>市、县（区）人民政府</w:t>
      </w:r>
      <w:r>
        <w:rPr>
          <w:rFonts w:hint="eastAsia" w:ascii="宋体" w:hAnsi="宋体" w:cs="仿宋_GB2312"/>
          <w:color w:val="000000"/>
        </w:rPr>
        <w:t>应当建立健全服务市场主体发展的体制机制，完善在线政务服务平台法人</w:t>
      </w:r>
      <w:r>
        <w:rPr>
          <w:rFonts w:hint="eastAsia" w:ascii="宋体" w:hAnsi="宋体"/>
          <w:color w:val="000000"/>
        </w:rPr>
        <w:t>服务窗口的功能和应用，深化市场主体全生命周期集成改革，推动实现进入一个平台、办企业所有事。</w:t>
      </w:r>
    </w:p>
    <w:p>
      <w:pPr>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鼓励各类产业园区的管理运营单位设立企业服务站点，提供企业开办、项目建设、人才服务、知识产权保护等政策咨询和代办服务。</w:t>
      </w:r>
    </w:p>
    <w:p>
      <w:pPr>
        <w:adjustRightInd w:val="0"/>
        <w:snapToGrid w:val="0"/>
        <w:spacing w:line="560" w:lineRule="exact"/>
        <w:ind w:firstLine="640" w:firstLineChars="200"/>
        <w:rPr>
          <w:rFonts w:ascii="宋体" w:hAnsi="宋体" w:cs="仿宋_GB2312"/>
        </w:rPr>
      </w:pPr>
      <w:r>
        <w:rPr>
          <w:rFonts w:hint="eastAsia" w:ascii="宋体" w:hAnsi="宋体" w:eastAsia="黑体" w:cs="黑体"/>
          <w:bCs/>
        </w:rPr>
        <w:t>第三十四条</w:t>
      </w:r>
      <w:r>
        <w:rPr>
          <w:rFonts w:hint="eastAsia" w:ascii="宋体" w:hAnsi="宋体"/>
        </w:rPr>
        <w:t xml:space="preserve">  各级人民政府应当推进政务服务集中办理。</w:t>
      </w:r>
      <w:r>
        <w:rPr>
          <w:rFonts w:hint="eastAsia" w:ascii="宋体" w:hAnsi="宋体" w:cs="仿宋_GB2312"/>
        </w:rPr>
        <w:t>各类政务服务和税费减免等事项，以及关联的公用事业服务事项、行政事业性收费应当分级分类进驻政务（便民）服务中心（站）。</w:t>
      </w:r>
    </w:p>
    <w:p>
      <w:pPr>
        <w:pStyle w:val="7"/>
        <w:adjustRightInd w:val="0"/>
        <w:snapToGrid w:val="0"/>
        <w:spacing w:after="0" w:line="560" w:lineRule="exact"/>
        <w:ind w:left="0" w:leftChars="0" w:firstLine="640"/>
        <w:rPr>
          <w:rFonts w:ascii="宋体" w:hAnsi="宋体" w:eastAsia="仿宋_GB2312" w:cs="仿宋_GB2312"/>
          <w:kern w:val="0"/>
          <w:szCs w:val="32"/>
        </w:rPr>
      </w:pPr>
      <w:r>
        <w:rPr>
          <w:rFonts w:ascii="宋体" w:hAnsi="宋体" w:eastAsia="仿宋_GB2312" w:cs="仿宋_GB2312"/>
          <w:kern w:val="0"/>
          <w:szCs w:val="32"/>
        </w:rPr>
        <w:t>政务（便民）服务中心（站）应当建立综合服务窗口，实行前台综合受理、后台分类审批、统一窗口出件的一窗通办服务模式，</w:t>
      </w:r>
      <w:r>
        <w:rPr>
          <w:rFonts w:hint="eastAsia" w:ascii="宋体" w:hAnsi="宋体" w:eastAsia="仿宋_GB2312" w:cs="仿宋_GB2312"/>
          <w:kern w:val="0"/>
          <w:szCs w:val="32"/>
        </w:rPr>
        <w:t>健全一次性告知、首问负责、限时办结等服务制度，完善预约、全程帮办、联办以及错时、延时服务等工作机制。</w:t>
      </w:r>
    </w:p>
    <w:p>
      <w:pPr>
        <w:adjustRightInd w:val="0"/>
        <w:snapToGrid w:val="0"/>
        <w:spacing w:line="560" w:lineRule="exact"/>
        <w:ind w:firstLine="640" w:firstLineChars="200"/>
        <w:rPr>
          <w:rFonts w:ascii="宋体" w:hAnsi="宋体" w:cs="仿宋_GB2312"/>
        </w:rPr>
      </w:pPr>
      <w:r>
        <w:rPr>
          <w:rFonts w:ascii="宋体" w:hAnsi="宋体" w:cs="仿宋_GB2312"/>
        </w:rPr>
        <w:t>除法律、法规有明确规定的情形外，</w:t>
      </w:r>
      <w:r>
        <w:rPr>
          <w:rFonts w:hint="eastAsia" w:ascii="宋体" w:hAnsi="宋体" w:cs="仿宋_GB2312"/>
        </w:rPr>
        <w:t>政务服务</w:t>
      </w:r>
      <w:r>
        <w:rPr>
          <w:rFonts w:ascii="宋体" w:hAnsi="宋体" w:cs="仿宋_GB2312"/>
        </w:rPr>
        <w:t>工作人员不得对申请人提出的申请事项不予收件。</w:t>
      </w:r>
    </w:p>
    <w:p>
      <w:pPr>
        <w:adjustRightInd w:val="0"/>
        <w:snapToGrid w:val="0"/>
        <w:spacing w:line="560" w:lineRule="exact"/>
        <w:ind w:firstLine="640" w:firstLineChars="200"/>
        <w:rPr>
          <w:rFonts w:ascii="宋体" w:hAnsi="宋体" w:cs="仿宋_GB2312"/>
        </w:rPr>
      </w:pPr>
      <w:r>
        <w:rPr>
          <w:rFonts w:hint="eastAsia" w:ascii="宋体" w:hAnsi="宋体" w:eastAsia="黑体" w:cs="黑体"/>
        </w:rPr>
        <w:t xml:space="preserve">第三十五条  </w:t>
      </w:r>
      <w:r>
        <w:rPr>
          <w:rFonts w:hint="eastAsia" w:ascii="宋体" w:hAnsi="宋体" w:cs="仿宋_GB2312"/>
        </w:rPr>
        <w:t>市、县（区）</w:t>
      </w:r>
      <w:r>
        <w:rPr>
          <w:rFonts w:ascii="宋体" w:hAnsi="宋体" w:cs="仿宋_GB2312"/>
        </w:rPr>
        <w:t>人民政府及其有关部门应当</w:t>
      </w:r>
      <w:r>
        <w:rPr>
          <w:rFonts w:hint="eastAsia" w:ascii="宋体" w:hAnsi="宋体"/>
        </w:rPr>
        <w:t>公布政务服务事项目录及其办事指南，实行政务服务标准化办理</w:t>
      </w:r>
      <w:r>
        <w:rPr>
          <w:rFonts w:ascii="宋体" w:hAnsi="宋体" w:cs="仿宋_GB2312"/>
        </w:rPr>
        <w:t>。</w:t>
      </w:r>
    </w:p>
    <w:p>
      <w:pPr>
        <w:adjustRightInd w:val="0"/>
        <w:snapToGrid w:val="0"/>
        <w:spacing w:line="560" w:lineRule="exact"/>
        <w:ind w:firstLine="640" w:firstLineChars="200"/>
        <w:rPr>
          <w:rFonts w:ascii="宋体" w:hAnsi="宋体"/>
        </w:rPr>
      </w:pPr>
      <w:r>
        <w:rPr>
          <w:rFonts w:hint="eastAsia" w:ascii="宋体" w:hAnsi="宋体"/>
        </w:rPr>
        <w:t>办事指南应当明确政务服务事项办理条件、办理流程、收费标准等内容。办事指南中的办理条件不得含有模糊性兜底要求。</w:t>
      </w:r>
    </w:p>
    <w:p>
      <w:pPr>
        <w:shd w:val="clear" w:color="auto" w:fill="FFFFFF"/>
        <w:adjustRightInd w:val="0"/>
        <w:snapToGrid w:val="0"/>
        <w:spacing w:line="560" w:lineRule="exact"/>
        <w:ind w:firstLine="640" w:firstLineChars="200"/>
        <w:rPr>
          <w:rFonts w:ascii="宋体" w:hAnsi="宋体"/>
        </w:rPr>
      </w:pPr>
      <w:r>
        <w:rPr>
          <w:rFonts w:hint="eastAsia" w:ascii="宋体" w:hAnsi="宋体" w:eastAsia="黑体" w:cs="黑体"/>
          <w:bCs/>
        </w:rPr>
        <w:t>第三十六条</w:t>
      </w:r>
      <w:r>
        <w:rPr>
          <w:rFonts w:hint="eastAsia" w:ascii="宋体" w:hAnsi="宋体"/>
        </w:rPr>
        <w:t xml:space="preserve">  </w:t>
      </w:r>
      <w:r>
        <w:rPr>
          <w:rFonts w:hint="eastAsia" w:ascii="宋体" w:hAnsi="宋体" w:cs="仿宋_GB2312"/>
        </w:rPr>
        <w:t>本市打造场景牵引、数据驱动、智能高效的数字政府，</w:t>
      </w:r>
      <w:r>
        <w:rPr>
          <w:rFonts w:hint="eastAsia" w:ascii="宋体" w:hAnsi="宋体"/>
        </w:rPr>
        <w:t>推动区块链、人工智能、大数据、物联网等新一代信息技术在政务服务领域的应用，</w:t>
      </w:r>
      <w:r>
        <w:rPr>
          <w:rFonts w:hint="eastAsia" w:ascii="宋体" w:hAnsi="宋体" w:cs="仿宋_GB2312"/>
        </w:rPr>
        <w:t>实现政务服务标准化、规范化、便利化。</w:t>
      </w:r>
    </w:p>
    <w:p>
      <w:pPr>
        <w:adjustRightInd w:val="0"/>
        <w:snapToGrid w:val="0"/>
        <w:spacing w:line="560" w:lineRule="exact"/>
        <w:ind w:firstLine="640" w:firstLineChars="200"/>
        <w:rPr>
          <w:rFonts w:ascii="宋体" w:hAnsi="宋体"/>
        </w:rPr>
      </w:pPr>
      <w:r>
        <w:rPr>
          <w:rFonts w:hint="eastAsia" w:ascii="宋体" w:hAnsi="宋体"/>
        </w:rPr>
        <w:t>支持农业、工业、商贸、交通、文化、金融、城市治理、公共服务等领域构建数据开发应用场景，有关部门应当发布重点领域应用场景项目清单。</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eastAsia="黑体"/>
        </w:rPr>
        <w:t xml:space="preserve">第三十七条  </w:t>
      </w:r>
      <w:r>
        <w:rPr>
          <w:rFonts w:hint="eastAsia" w:ascii="宋体" w:hAnsi="宋体" w:cs="仿宋_GB2312"/>
        </w:rPr>
        <w:t>市人民政府应当建立全市统一的大数据平台，实现政务数据和公共服务数据的整合共享。</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cs="仿宋_GB2312"/>
        </w:rPr>
        <w:t>市人民政府大数据工作主管部门应当建立政务信息资源归集、共享、开放和应用机制。有关部门以及履行公共管理和服务职能的单位应当按照统一的规定和标准，准确、及时、完整地向大数据平台汇集相关信息。能够通过部门间政务数据共享收集的，有关部门不得要求服务对象重复提报。</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eastAsia="黑体" w:cs="黑体"/>
        </w:rPr>
        <w:t>第三十八条</w:t>
      </w:r>
      <w:r>
        <w:rPr>
          <w:rFonts w:hint="eastAsia" w:ascii="宋体" w:hAnsi="宋体" w:eastAsia="黑体"/>
        </w:rPr>
        <w:t xml:space="preserve">  </w:t>
      </w:r>
      <w:r>
        <w:rPr>
          <w:rFonts w:hint="eastAsia" w:ascii="宋体" w:hAnsi="宋体" w:cs="仿宋_GB2312"/>
        </w:rPr>
        <w:t>市、县（区）</w:t>
      </w:r>
      <w:r>
        <w:rPr>
          <w:rFonts w:hint="eastAsia" w:ascii="宋体" w:hAnsi="宋体"/>
        </w:rPr>
        <w:t>人民政府有关部门应当编制证明事项清单，并向社会公布。</w:t>
      </w:r>
      <w:r>
        <w:rPr>
          <w:rFonts w:hint="eastAsia" w:ascii="宋体" w:hAnsi="宋体" w:cs="仿宋_GB2312"/>
        </w:rPr>
        <w:t>新证明事项实施或者原有证明事项取消之日起七个工作日内，有关部门应当完成清单更新。</w:t>
      </w:r>
    </w:p>
    <w:p>
      <w:pPr>
        <w:shd w:val="clear" w:color="auto" w:fill="FFFFFF"/>
        <w:adjustRightInd w:val="0"/>
        <w:snapToGrid w:val="0"/>
        <w:spacing w:line="560" w:lineRule="exact"/>
        <w:ind w:firstLine="640" w:firstLineChars="200"/>
        <w:rPr>
          <w:rFonts w:ascii="宋体" w:hAnsi="宋体"/>
          <w:bCs/>
        </w:rPr>
      </w:pPr>
      <w:r>
        <w:rPr>
          <w:rFonts w:hint="eastAsia" w:ascii="宋体" w:hAnsi="宋体"/>
          <w:bCs/>
        </w:rPr>
        <w:t>对通过法定证照、法定文书、书面告知承诺、政府部门内部核查和部门间核查、网络核验、合同凭证等能够办理，或者能够被其他材料涵盖、替代，以及开具单位无法调查核实的，不得设定证明事项。</w:t>
      </w:r>
    </w:p>
    <w:p>
      <w:pPr>
        <w:pStyle w:val="2"/>
        <w:adjustRightInd w:val="0"/>
        <w:snapToGrid w:val="0"/>
        <w:spacing w:line="560" w:lineRule="exact"/>
        <w:ind w:firstLine="640" w:firstLineChars="200"/>
        <w:rPr>
          <w:rFonts w:ascii="宋体" w:hAnsi="宋体" w:eastAsia="仿宋_GB2312"/>
        </w:rPr>
      </w:pPr>
      <w:r>
        <w:rPr>
          <w:rFonts w:hint="eastAsia" w:ascii="宋体" w:hAnsi="宋体" w:eastAsia="仿宋_GB2312"/>
          <w:szCs w:val="32"/>
        </w:rPr>
        <w:t>政府部门、公用企业事业单位和服务机构不得索要清单以外的</w:t>
      </w:r>
      <w:r>
        <w:rPr>
          <w:rFonts w:hint="eastAsia" w:ascii="宋体" w:hAnsi="宋体" w:eastAsia="仿宋_GB2312" w:cs="仿宋_GB2312"/>
          <w:szCs w:val="32"/>
        </w:rPr>
        <w:t>证明。</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eastAsia="黑体" w:cs="黑体"/>
        </w:rPr>
        <w:t>第三十九条</w:t>
      </w:r>
      <w:r>
        <w:rPr>
          <w:rFonts w:hint="eastAsia" w:ascii="宋体" w:hAnsi="宋体" w:eastAsia="黑体" w:cs="宋体"/>
        </w:rPr>
        <w:t xml:space="preserve">  </w:t>
      </w:r>
      <w:r>
        <w:rPr>
          <w:rFonts w:hint="eastAsia" w:ascii="宋体" w:hAnsi="宋体" w:cs="仿宋_GB2312"/>
        </w:rPr>
        <w:t>各级人民政府和有关部门应当推行政务服务事项办理告知承诺制。</w:t>
      </w:r>
      <w:r>
        <w:rPr>
          <w:rFonts w:hint="eastAsia" w:ascii="宋体" w:hAnsi="宋体"/>
        </w:rPr>
        <w:t>市场主体作出的承诺符合办理条件的，有关部门应当直接办理并作出决定；未履行承诺的，应当责令其限期整</w:t>
      </w:r>
      <w:r>
        <w:rPr>
          <w:rFonts w:hint="eastAsia" w:ascii="宋体" w:hAnsi="宋体" w:cs="仿宋_GB2312"/>
          <w:color w:val="000000"/>
        </w:rPr>
        <w:t>改；整改后仍不符合条件的，应当撤销办理决定。</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实施告知承诺的具体办法，由市、县（区）人民政府制定并向社会公布。</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eastAsia="黑体" w:cs="黑体"/>
        </w:rPr>
        <w:t>第四十条</w:t>
      </w:r>
      <w:r>
        <w:rPr>
          <w:rFonts w:hint="eastAsia" w:ascii="宋体" w:hAnsi="宋体"/>
          <w:b/>
        </w:rPr>
        <w:t xml:space="preserve">  </w:t>
      </w:r>
      <w:r>
        <w:rPr>
          <w:rFonts w:hint="eastAsia" w:ascii="宋体" w:hAnsi="宋体" w:cs="仿宋_GB2312"/>
        </w:rPr>
        <w:t>在依法设立的各类开发区、新区、园区以及其他有条件的区域，市人民政府应当按照国家和省有关规定推行区域化评估，对区域内压覆重要矿产资源、地质灾害危险性、环境影响、文物保护、节能评价等事项进行统一评估。</w:t>
      </w:r>
    </w:p>
    <w:p>
      <w:pPr>
        <w:adjustRightInd w:val="0"/>
        <w:snapToGrid w:val="0"/>
        <w:spacing w:line="560" w:lineRule="exact"/>
        <w:ind w:firstLine="640" w:firstLineChars="200"/>
        <w:rPr>
          <w:rFonts w:ascii="宋体" w:hAnsi="宋体" w:cs="仿宋_GB2312"/>
        </w:rPr>
      </w:pPr>
      <w:r>
        <w:rPr>
          <w:rFonts w:hint="eastAsia" w:ascii="宋体" w:hAnsi="宋体" w:cs="仿宋_GB2312"/>
        </w:rPr>
        <w:t>已经实施区域评估的，有关部门在审批工程建设项目时，不得要求市场主体重复开展相关评估评价，但是法律、法规另有规定的除外。区域评估的费用不得由市场主体承担。</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eastAsia="黑体"/>
        </w:rPr>
        <w:t>第四十一条</w:t>
      </w:r>
      <w:r>
        <w:rPr>
          <w:rFonts w:hint="eastAsia" w:ascii="宋体" w:hAnsi="宋体" w:eastAsia="黑体" w:cs="黑体"/>
        </w:rPr>
        <w:t xml:space="preserve">  </w:t>
      </w:r>
      <w:r>
        <w:rPr>
          <w:rFonts w:hint="eastAsia" w:ascii="宋体" w:hAnsi="宋体" w:cs="仿宋_GB2312"/>
        </w:rPr>
        <w:t>市、县（区）人民政府有关部门应当全面推行工程建设项目分级分类管理，根据项目性质、投资规模、风险程度等，公布审批流程图和审批事项清单，明确审批时限和申报材料清单，实行工程建设项目联合审批、多图一审、联合验收。</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发展改革、自然资源和规划、住房城乡建设、行政审批服务等部门应当加强对重大工程建设项目跨前服务。</w:t>
      </w:r>
      <w:r>
        <w:rPr>
          <w:rFonts w:hint="eastAsia" w:ascii="宋体" w:hAnsi="宋体"/>
        </w:rPr>
        <w:t>对重大工程建设项</w:t>
      </w:r>
      <w:r>
        <w:rPr>
          <w:rFonts w:hint="eastAsia" w:ascii="宋体" w:hAnsi="宋体" w:cs="仿宋_GB2312"/>
          <w:color w:val="000000"/>
        </w:rPr>
        <w:t>目审批涉及的非关键要件探索试行“容缺后补”机制。</w:t>
      </w:r>
    </w:p>
    <w:p>
      <w:pPr>
        <w:shd w:val="clear" w:color="auto" w:fill="FFFFFF"/>
        <w:adjustRightInd w:val="0"/>
        <w:snapToGrid w:val="0"/>
        <w:spacing w:line="560" w:lineRule="exact"/>
        <w:ind w:firstLine="640" w:firstLineChars="200"/>
        <w:rPr>
          <w:rFonts w:ascii="宋体" w:hAnsi="宋体" w:cs="仿宋_GB2312"/>
        </w:rPr>
      </w:pPr>
      <w:r>
        <w:rPr>
          <w:rFonts w:hint="eastAsia" w:ascii="宋体" w:hAnsi="宋体" w:cs="仿宋_GB2312"/>
          <w:color w:val="000000"/>
        </w:rPr>
        <w:t>在房屋建筑工程领域探索推行分阶段办理施工许可。</w:t>
      </w:r>
      <w:r>
        <w:rPr>
          <w:rFonts w:hint="eastAsia" w:ascii="宋体" w:hAnsi="宋体" w:cs="仿宋_GB2312"/>
        </w:rPr>
        <w:t>在确保安全前提下，对社会投资的小型低风险新建、改扩建项目，由政府部门发布统一的企业开工条件，企业取得用地、满足开工条件后作出相关承诺，政府部门直接发放相关证书，项目即可开工。</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cs="仿宋_GB2312"/>
        </w:rPr>
        <w:t>工程建设项目竣工实施限时联合验收的，应当统一验收图纸和验收标准，统一出具验收意见。</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cs="仿宋_GB2312"/>
        </w:rPr>
        <w:t>工程建设项目测绘事项推行“多测合一”制度，实现一次委托、联合测绘、成果共享。</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eastAsia="黑体"/>
        </w:rPr>
        <w:t>第四十二条</w:t>
      </w:r>
      <w:r>
        <w:rPr>
          <w:rFonts w:ascii="宋体" w:hAnsi="宋体" w:eastAsia="黑体"/>
        </w:rPr>
        <w:t xml:space="preserve">  </w:t>
      </w:r>
      <w:r>
        <w:rPr>
          <w:rFonts w:hint="eastAsia" w:ascii="宋体" w:hAnsi="宋体" w:cs="仿宋_GB2312"/>
        </w:rPr>
        <w:t>市、县（区）人民政府不动产登记机构应当加强与住房城乡建设等部门和税务机关的协同配合，推动交易、纳税、登记等事项全程网办、一窗受理、并行办理，实现不动产转移登记与水、电、气、暖等事项过户同步办理。</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cs="仿宋_GB2312"/>
        </w:rPr>
        <w:t>鼓励在金融机构、公积金管理中心等场所设立不动产登记便民服务办理点，提供办理不动产抵押权登记等服务。</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cs="仿宋_GB2312"/>
        </w:rPr>
        <w:t>不动产抵押权登记应当在一个工作日内办结。</w:t>
      </w:r>
    </w:p>
    <w:p>
      <w:pPr>
        <w:shd w:val="clear" w:color="auto" w:fill="FFFFFF"/>
        <w:adjustRightInd w:val="0"/>
        <w:snapToGrid w:val="0"/>
        <w:spacing w:line="560" w:lineRule="exact"/>
        <w:ind w:firstLine="640" w:firstLineChars="200"/>
        <w:rPr>
          <w:rFonts w:ascii="宋体" w:hAnsi="宋体" w:cs="仿宋_GB2312"/>
        </w:rPr>
      </w:pPr>
      <w:r>
        <w:rPr>
          <w:rFonts w:hint="eastAsia" w:ascii="宋体" w:hAnsi="宋体" w:eastAsia="黑体" w:cs="黑体"/>
        </w:rPr>
        <w:t>第四十三条</w:t>
      </w:r>
      <w:r>
        <w:rPr>
          <w:rFonts w:hint="eastAsia" w:ascii="宋体" w:hAnsi="宋体" w:eastAsia="黑体" w:cs="宋体"/>
        </w:rPr>
        <w:t xml:space="preserve"> </w:t>
      </w:r>
      <w:r>
        <w:rPr>
          <w:rFonts w:ascii="宋体" w:hAnsi="宋体" w:eastAsia="黑体" w:cs="宋体"/>
        </w:rPr>
        <w:t xml:space="preserve"> </w:t>
      </w:r>
      <w:r>
        <w:rPr>
          <w:rFonts w:hint="eastAsia" w:ascii="宋体" w:hAnsi="宋体" w:cs="仿宋_GB2312"/>
        </w:rPr>
        <w:t>市、县（区）人</w:t>
      </w:r>
      <w:r>
        <w:rPr>
          <w:rFonts w:hint="eastAsia" w:ascii="宋体" w:hAnsi="宋体" w:cs="仿宋_GB2312"/>
          <w:color w:val="000000"/>
        </w:rPr>
        <w:t>民政府有关部门应当依法编制行政审批中介服务事项清单，并向社会公布。</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cs="仿宋_GB2312"/>
        </w:rPr>
        <w:t>除法律、法规、国务院决定规定的中介服务事项外，不得以任何形式要求申请人委托中介服务机构开展服务或者提供相关中介服务材料。对能够通过征求相关部门意见、加强事中事后监管解决以及申请人可以按照要求自行完成的事项，一律不得设定中介服务；现有或者取消的行政审批事项，一律不得转为中介服务；严禁将一项中介服务拆分为多个环节、指定或者变相指定中介服务机构；不得将应当由政府承担的中介服务费用转嫁给市场主体承担。</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cs="仿宋_GB2312"/>
        </w:rPr>
        <w:t>行政审批服务部门应当会同有关部门完善网上中介超市平台，实现网上展示、网上竞价、网上中标、网上评价。</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cs="仿宋_GB2312"/>
        </w:rPr>
        <w:t>中介服务机构应</w:t>
      </w:r>
      <w:r>
        <w:rPr>
          <w:rFonts w:hint="eastAsia" w:ascii="宋体" w:hAnsi="宋体" w:cs="仿宋_GB2312"/>
          <w:color w:val="000000"/>
        </w:rPr>
        <w:t>当明确办理法定行政审批中介服务的条件、流程、时限、收费标准，并向社会公布。</w:t>
      </w:r>
    </w:p>
    <w:p>
      <w:pPr>
        <w:adjustRightInd w:val="0"/>
        <w:snapToGrid w:val="0"/>
        <w:spacing w:line="560" w:lineRule="exact"/>
        <w:ind w:firstLine="640" w:firstLineChars="200"/>
        <w:rPr>
          <w:rFonts w:ascii="宋体" w:hAnsi="宋体" w:cs="仿宋_GB2312"/>
          <w:lang w:val="zh-CN"/>
        </w:rPr>
      </w:pPr>
      <w:r>
        <w:rPr>
          <w:rFonts w:hint="eastAsia" w:ascii="宋体" w:hAnsi="宋体" w:eastAsia="黑体" w:cs="黑体"/>
        </w:rPr>
        <w:t>第四十四条</w:t>
      </w:r>
      <w:r>
        <w:rPr>
          <w:rFonts w:hint="eastAsia" w:ascii="宋体" w:hAnsi="宋体" w:eastAsia="黑体" w:cs="宋体"/>
        </w:rPr>
        <w:t xml:space="preserve">  </w:t>
      </w:r>
      <w:r>
        <w:rPr>
          <w:rFonts w:hint="eastAsia" w:ascii="宋体" w:hAnsi="宋体" w:cs="宋体"/>
        </w:rPr>
        <w:t>公</w:t>
      </w:r>
      <w:r>
        <w:rPr>
          <w:rFonts w:hint="eastAsia" w:ascii="宋体" w:hAnsi="宋体" w:cs="仿宋_GB2312"/>
        </w:rPr>
        <w:t>共资源交易实行目录清单管理</w:t>
      </w:r>
      <w:r>
        <w:rPr>
          <w:rFonts w:hint="eastAsia" w:ascii="宋体" w:hAnsi="宋体" w:cs="黑体"/>
        </w:rPr>
        <w:t>。</w:t>
      </w:r>
      <w:r>
        <w:rPr>
          <w:rFonts w:hint="eastAsia" w:ascii="宋体" w:hAnsi="宋体" w:cs="仿宋_GB2312"/>
          <w:lang w:val="zh-CN"/>
        </w:rPr>
        <w:t>对列入公共资源交易目录清单的项目，应当全部进入公共资源交易平台进行交易，公开交易目录、程序、结果等信息，禁止串通投标、规避招标等行为，保障市场主体平等参与交易活动。</w:t>
      </w:r>
    </w:p>
    <w:p>
      <w:pPr>
        <w:overflowPunct w:val="0"/>
        <w:autoSpaceDE w:val="0"/>
        <w:autoSpaceDN w:val="0"/>
        <w:adjustRightInd w:val="0"/>
        <w:snapToGrid w:val="0"/>
        <w:spacing w:line="560" w:lineRule="exact"/>
        <w:ind w:firstLine="640" w:firstLineChars="200"/>
        <w:rPr>
          <w:rFonts w:ascii="宋体" w:hAnsi="宋体"/>
        </w:rPr>
      </w:pPr>
      <w:r>
        <w:rPr>
          <w:rFonts w:hint="eastAsia" w:ascii="宋体" w:hAnsi="宋体" w:cs="仿宋_GB2312"/>
        </w:rPr>
        <w:t>各级人民政府应当深入推进公共资源交易全流程电子化，优化交易流程和服务，降低市场主体交易成本。</w:t>
      </w:r>
    </w:p>
    <w:p>
      <w:pPr>
        <w:adjustRightInd w:val="0"/>
        <w:snapToGrid w:val="0"/>
        <w:spacing w:line="560" w:lineRule="exact"/>
        <w:ind w:firstLine="640" w:firstLineChars="200"/>
        <w:rPr>
          <w:rFonts w:ascii="宋体" w:hAnsi="宋体" w:cs="仿宋_GB2312"/>
        </w:rPr>
      </w:pPr>
      <w:r>
        <w:rPr>
          <w:rFonts w:hint="eastAsia" w:ascii="宋体" w:hAnsi="宋体" w:eastAsia="黑体" w:cs="黑体"/>
        </w:rPr>
        <w:t>第四十五条</w:t>
      </w:r>
      <w:r>
        <w:rPr>
          <w:rFonts w:hint="eastAsia" w:ascii="宋体" w:hAnsi="宋体" w:eastAsia="黑体" w:cs="宋体"/>
        </w:rPr>
        <w:t xml:space="preserve">  </w:t>
      </w:r>
      <w:r>
        <w:rPr>
          <w:rFonts w:hint="eastAsia" w:ascii="宋体" w:hAnsi="宋体" w:cs="仿宋_GB2312"/>
        </w:rPr>
        <w:t>市、县（区）人民政府有关部门应当按照各自职责，通过统计调查、投诉处理、资质核</w:t>
      </w:r>
      <w:r>
        <w:rPr>
          <w:rFonts w:hint="eastAsia" w:ascii="宋体" w:hAnsi="宋体" w:cs="仿宋_GB2312"/>
          <w:color w:val="000000"/>
        </w:rPr>
        <w:t>查、信用监管等方式，加强对第三方服务机构及其从业人员的监管。</w:t>
      </w:r>
    </w:p>
    <w:p>
      <w:pPr>
        <w:pStyle w:val="7"/>
        <w:adjustRightInd w:val="0"/>
        <w:snapToGrid w:val="0"/>
        <w:spacing w:after="0" w:line="560" w:lineRule="exact"/>
        <w:ind w:left="640"/>
        <w:rPr>
          <w:rFonts w:ascii="宋体" w:hAnsi="宋体"/>
          <w:kern w:val="0"/>
        </w:rPr>
      </w:pPr>
    </w:p>
    <w:p>
      <w:pPr>
        <w:pStyle w:val="7"/>
        <w:adjustRightInd w:val="0"/>
        <w:snapToGrid w:val="0"/>
        <w:spacing w:after="0" w:line="560" w:lineRule="exact"/>
        <w:ind w:left="640" w:firstLine="0"/>
        <w:jc w:val="center"/>
        <w:rPr>
          <w:rFonts w:ascii="宋体" w:hAnsi="宋体" w:eastAsia="黑体"/>
          <w:kern w:val="0"/>
          <w:szCs w:val="32"/>
        </w:rPr>
      </w:pPr>
      <w:r>
        <w:rPr>
          <w:rFonts w:hint="eastAsia" w:ascii="宋体" w:hAnsi="宋体" w:eastAsia="黑体"/>
          <w:kern w:val="0"/>
          <w:szCs w:val="32"/>
        </w:rPr>
        <w:t>第四章  法治环境</w:t>
      </w:r>
    </w:p>
    <w:p>
      <w:pPr>
        <w:adjustRightInd w:val="0"/>
        <w:snapToGrid w:val="0"/>
        <w:spacing w:line="560" w:lineRule="exact"/>
        <w:ind w:firstLine="640" w:firstLineChars="200"/>
        <w:rPr>
          <w:rFonts w:ascii="宋体" w:hAnsi="宋体"/>
        </w:rPr>
      </w:pPr>
    </w:p>
    <w:p>
      <w:pPr>
        <w:adjustRightInd w:val="0"/>
        <w:snapToGrid w:val="0"/>
        <w:spacing w:line="560" w:lineRule="exact"/>
        <w:ind w:firstLine="640" w:firstLineChars="200"/>
        <w:rPr>
          <w:rFonts w:ascii="宋体" w:hAnsi="宋体" w:cs="仿宋_GB2312"/>
          <w:color w:val="000000"/>
        </w:rPr>
      </w:pPr>
      <w:r>
        <w:rPr>
          <w:rFonts w:hint="eastAsia" w:ascii="宋体" w:hAnsi="宋体" w:eastAsia="黑体"/>
        </w:rPr>
        <w:t xml:space="preserve">第四十六条 </w:t>
      </w:r>
      <w:r>
        <w:rPr>
          <w:rFonts w:hint="eastAsia" w:ascii="宋体" w:hAnsi="宋体"/>
        </w:rPr>
        <w:t xml:space="preserve"> </w:t>
      </w:r>
      <w:r>
        <w:rPr>
          <w:rFonts w:hint="eastAsia" w:ascii="宋体" w:hAnsi="宋体" w:cs="仿宋_GB2312"/>
          <w:color w:val="000000"/>
        </w:rPr>
        <w:t>市、县（区）人民政府及其有关部门应当根据优化营商环境需要，</w:t>
      </w:r>
      <w:r>
        <w:rPr>
          <w:rFonts w:hint="eastAsia" w:ascii="宋体" w:hAnsi="宋体"/>
        </w:rPr>
        <w:t>在研究改革方案或者改革措施时，同步考虑改革涉及的立法问题，</w:t>
      </w:r>
      <w:r>
        <w:rPr>
          <w:rFonts w:hint="eastAsia" w:ascii="宋体" w:hAnsi="宋体" w:cs="仿宋_GB2312"/>
          <w:color w:val="000000"/>
        </w:rPr>
        <w:t>及时提出制定或者修改、废止、解释有关地方性法规、规章、行政规范性文件的建议。</w:t>
      </w:r>
    </w:p>
    <w:p>
      <w:pPr>
        <w:shd w:val="clear" w:color="auto" w:fill="FFFFFF"/>
        <w:adjustRightInd w:val="0"/>
        <w:snapToGrid w:val="0"/>
        <w:spacing w:line="560" w:lineRule="exact"/>
        <w:ind w:firstLine="640" w:firstLineChars="200"/>
        <w:rPr>
          <w:rFonts w:ascii="宋体" w:hAnsi="宋体" w:cs="仿宋_GB2312"/>
          <w:color w:val="000000"/>
          <w:lang w:val="zh-CN"/>
        </w:rPr>
      </w:pPr>
      <w:r>
        <w:rPr>
          <w:rFonts w:hint="eastAsia" w:ascii="宋体" w:hAnsi="宋体" w:eastAsia="黑体"/>
        </w:rPr>
        <w:t>第四十七条</w:t>
      </w:r>
      <w:r>
        <w:rPr>
          <w:rFonts w:ascii="宋体" w:hAnsi="宋体" w:eastAsia="黑体"/>
        </w:rPr>
        <w:t xml:space="preserve">  </w:t>
      </w:r>
      <w:r>
        <w:rPr>
          <w:rFonts w:hint="eastAsia" w:ascii="宋体" w:hAnsi="宋体" w:cs="仿宋_GB2312"/>
          <w:color w:val="000000"/>
          <w:lang w:val="zh-CN"/>
        </w:rPr>
        <w:t>市、县（区）人民政府及</w:t>
      </w:r>
      <w:r>
        <w:rPr>
          <w:rFonts w:hint="eastAsia" w:ascii="宋体" w:hAnsi="宋体" w:cs="仿宋_GB2312"/>
          <w:color w:val="000000"/>
        </w:rPr>
        <w:t>其</w:t>
      </w:r>
      <w:r>
        <w:rPr>
          <w:rFonts w:hint="eastAsia" w:ascii="宋体" w:hAnsi="宋体" w:cs="仿宋_GB2312"/>
          <w:color w:val="000000"/>
          <w:lang w:val="zh-CN"/>
        </w:rPr>
        <w:t>有关部门</w:t>
      </w:r>
      <w:r>
        <w:rPr>
          <w:rFonts w:hint="eastAsia" w:ascii="宋体" w:hAnsi="宋体" w:cs="仿宋_GB2312"/>
          <w:color w:val="000000"/>
        </w:rPr>
        <w:t>作出</w:t>
      </w:r>
      <w:r>
        <w:rPr>
          <w:rFonts w:hint="eastAsia" w:ascii="宋体" w:hAnsi="宋体" w:cs="仿宋_GB2312"/>
          <w:color w:val="000000"/>
          <w:lang w:val="zh-CN"/>
        </w:rPr>
        <w:t>涉及市场主体生产经营活动的重大行政决策，应当依法履行公众参与、专家论证、风险评估、合法性审查、集体决策等有关程序。</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制定与市场主体生产经营活动密切相关的规章和行政规范性文件，应当按照规定进行公平竞争审查，评估对市场竞争的影响。</w:t>
      </w:r>
    </w:p>
    <w:p>
      <w:pPr>
        <w:pStyle w:val="2"/>
        <w:adjustRightInd w:val="0"/>
        <w:snapToGrid w:val="0"/>
        <w:spacing w:line="560" w:lineRule="exact"/>
        <w:ind w:firstLine="640" w:firstLineChars="200"/>
        <w:rPr>
          <w:rFonts w:ascii="宋体" w:hAnsi="宋体" w:eastAsia="仿宋_GB2312" w:cs="仿宋_GB2312"/>
          <w:szCs w:val="32"/>
        </w:rPr>
      </w:pPr>
      <w:r>
        <w:rPr>
          <w:rFonts w:hint="eastAsia" w:ascii="宋体" w:hAnsi="宋体" w:eastAsia="黑体" w:cs="黑体"/>
          <w:szCs w:val="32"/>
        </w:rPr>
        <w:t>第四十八条</w:t>
      </w:r>
      <w:r>
        <w:rPr>
          <w:rFonts w:hint="eastAsia" w:ascii="宋体" w:hAnsi="宋体" w:eastAsia="黑体" w:cs="宋体"/>
          <w:szCs w:val="32"/>
        </w:rPr>
        <w:t xml:space="preserve">  </w:t>
      </w:r>
      <w:r>
        <w:rPr>
          <w:rFonts w:hint="eastAsia" w:ascii="宋体" w:hAnsi="宋体" w:eastAsia="仿宋_GB2312"/>
          <w:szCs w:val="32"/>
        </w:rPr>
        <w:t>市</w:t>
      </w:r>
      <w:r>
        <w:rPr>
          <w:rFonts w:hint="eastAsia" w:ascii="宋体" w:hAnsi="宋体" w:eastAsia="仿宋_GB2312" w:cs="仿宋_GB2312"/>
          <w:szCs w:val="32"/>
        </w:rPr>
        <w:t>、县（区）人民政府有关部门应当建立权责清单制度，以清单形式向社会公布行政权力事项、公共服务事项，接受社会监督。</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cs="仿宋_GB2312"/>
        </w:rPr>
        <w:t>部门之间职责不清或者有争议的，机构编制部门应当按照有关规定予以协调。</w:t>
      </w:r>
    </w:p>
    <w:p>
      <w:pPr>
        <w:adjustRightInd w:val="0"/>
        <w:snapToGrid w:val="0"/>
        <w:spacing w:line="560" w:lineRule="exact"/>
        <w:ind w:firstLine="640" w:firstLineChars="200"/>
        <w:rPr>
          <w:rFonts w:ascii="宋体" w:hAnsi="宋体" w:cs="仿宋_GB2312"/>
        </w:rPr>
      </w:pPr>
      <w:r>
        <w:rPr>
          <w:rFonts w:hint="eastAsia" w:ascii="宋体" w:hAnsi="宋体" w:eastAsia="黑体" w:cs="黑体"/>
        </w:rPr>
        <w:t>第四十九条</w:t>
      </w:r>
      <w:r>
        <w:rPr>
          <w:rFonts w:hint="eastAsia" w:ascii="宋体" w:hAnsi="宋体" w:eastAsia="黑体"/>
        </w:rPr>
        <w:t xml:space="preserve">  </w:t>
      </w:r>
      <w:r>
        <w:rPr>
          <w:rFonts w:ascii="宋体" w:hAnsi="宋体" w:cs="仿宋_GB2312"/>
        </w:rPr>
        <w:t>市、县（区）人民政府有关部门应当编制针对市场主体的年度行政执法检查计划，明确检查主体、检查对象范围、检查方式、检查项目和检查比例等内容，并向社会公布。</w:t>
      </w:r>
      <w:r>
        <w:rPr>
          <w:rFonts w:hint="eastAsia" w:ascii="宋体" w:hAnsi="宋体"/>
          <w:lang w:bidi="ar"/>
        </w:rPr>
        <w:t>除直接涉及公共安全和人民群众生命健康等特殊行业、重点领域外，</w:t>
      </w:r>
      <w:r>
        <w:rPr>
          <w:rFonts w:ascii="宋体" w:hAnsi="宋体"/>
          <w:lang w:bidi="ar"/>
        </w:rPr>
        <w:t>市场监管领域</w:t>
      </w:r>
      <w:r>
        <w:rPr>
          <w:rFonts w:hint="eastAsia" w:ascii="宋体" w:hAnsi="宋体"/>
          <w:lang w:bidi="ar"/>
        </w:rPr>
        <w:t>的</w:t>
      </w:r>
      <w:r>
        <w:rPr>
          <w:rFonts w:hint="eastAsia" w:ascii="宋体" w:hAnsi="宋体" w:cs="仿宋_GB2312"/>
        </w:rPr>
        <w:t>行政执法检查采取“双随机、一公开”方式进行。</w:t>
      </w:r>
    </w:p>
    <w:p>
      <w:pPr>
        <w:pStyle w:val="6"/>
        <w:adjustRightInd w:val="0"/>
        <w:snapToGrid w:val="0"/>
        <w:spacing w:before="0" w:beforeAutospacing="0" w:after="0" w:afterAutospacing="0" w:line="560" w:lineRule="exact"/>
        <w:ind w:firstLine="640" w:firstLineChars="200"/>
        <w:rPr>
          <w:rFonts w:ascii="宋体" w:hAnsi="宋体" w:eastAsia="黑体"/>
          <w:sz w:val="32"/>
        </w:rPr>
      </w:pPr>
      <w:r>
        <w:rPr>
          <w:rFonts w:ascii="宋体" w:hAnsi="宋体"/>
          <w:sz w:val="32"/>
          <w:shd w:val="clear" w:color="auto" w:fill="FFFFFF"/>
        </w:rPr>
        <w:t>对直接涉及公共安全和人民群众生命健康等特殊行业、重点领域，应当严格规范重点监管程序，依法开展全覆盖重点监管。对通过投诉举报、转办交办、数据监测等发现的问题，应当有针对性地进行检查并依法处理。</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cs="仿宋_GB2312"/>
          <w:lang w:val="zh-CN"/>
        </w:rPr>
        <w:t>行政机关应当推行远程监管、移动监管、预警防控等非现场监管</w:t>
      </w:r>
      <w:r>
        <w:rPr>
          <w:rFonts w:hint="eastAsia" w:ascii="宋体" w:hAnsi="宋体" w:cs="仿宋_GB2312"/>
        </w:rPr>
        <w:t>。</w:t>
      </w:r>
    </w:p>
    <w:p>
      <w:pPr>
        <w:overflowPunct w:val="0"/>
        <w:adjustRightInd w:val="0"/>
        <w:snapToGrid w:val="0"/>
        <w:spacing w:line="560" w:lineRule="exact"/>
        <w:ind w:firstLine="640" w:firstLineChars="200"/>
        <w:rPr>
          <w:rFonts w:ascii="宋体" w:hAnsi="宋体"/>
        </w:rPr>
      </w:pPr>
      <w:r>
        <w:rPr>
          <w:rFonts w:hint="eastAsia" w:ascii="宋体" w:hAnsi="宋体" w:eastAsia="黑体"/>
        </w:rPr>
        <w:t>第五十条</w:t>
      </w:r>
      <w:r>
        <w:rPr>
          <w:rFonts w:hint="eastAsia" w:ascii="宋体" w:hAnsi="宋体"/>
        </w:rPr>
        <w:t>　本市在现场检查中推行行政检查单制度，</w:t>
      </w:r>
      <w:r>
        <w:rPr>
          <w:rFonts w:ascii="宋体" w:hAnsi="宋体" w:cs="仿宋_GB2312"/>
        </w:rPr>
        <w:t>市、县（区）人民政府</w:t>
      </w:r>
      <w:r>
        <w:rPr>
          <w:rFonts w:hint="eastAsia" w:ascii="宋体" w:hAnsi="宋体"/>
        </w:rPr>
        <w:t>有关部门应当依法制定本行业、本领域行政检查单。</w:t>
      </w:r>
    </w:p>
    <w:p>
      <w:pPr>
        <w:overflowPunct w:val="0"/>
        <w:adjustRightInd w:val="0"/>
        <w:snapToGrid w:val="0"/>
        <w:spacing w:line="560" w:lineRule="exact"/>
        <w:ind w:firstLine="640" w:firstLineChars="200"/>
        <w:rPr>
          <w:rFonts w:ascii="宋体" w:hAnsi="宋体" w:cs="仿宋_GB2312"/>
          <w:shd w:val="pct10" w:color="auto" w:fill="FFFFFF"/>
        </w:rPr>
      </w:pPr>
      <w:r>
        <w:rPr>
          <w:rFonts w:hint="eastAsia" w:ascii="宋体" w:hAnsi="宋体"/>
        </w:rPr>
        <w:t>有关部门应当按照行政检查单实施现场检查，不得擅自改变检查内容、检查方式、检查标准等，不得要求监管对象准备书面汇报材料或者要求负责人陪同，减少对市场主体的影响。</w:t>
      </w:r>
      <w:r>
        <w:rPr>
          <w:rFonts w:hint="eastAsia" w:ascii="宋体" w:hAnsi="宋体" w:eastAsia="黑体" w:cs="黑体"/>
        </w:rPr>
        <w:t xml:space="preserve"> </w:t>
      </w:r>
    </w:p>
    <w:p>
      <w:pPr>
        <w:overflowPunct w:val="0"/>
        <w:adjustRightInd w:val="0"/>
        <w:snapToGrid w:val="0"/>
        <w:spacing w:line="560" w:lineRule="exact"/>
        <w:ind w:firstLine="640" w:firstLineChars="200"/>
        <w:rPr>
          <w:rFonts w:ascii="宋体" w:hAnsi="宋体"/>
        </w:rPr>
      </w:pPr>
      <w:r>
        <w:rPr>
          <w:rFonts w:hint="eastAsia" w:ascii="宋体" w:hAnsi="宋体" w:eastAsia="黑体" w:cs="黑体"/>
        </w:rPr>
        <w:t>第五十一条</w:t>
      </w:r>
      <w:r>
        <w:rPr>
          <w:rFonts w:hint="eastAsia" w:ascii="宋体" w:hAnsi="宋体" w:eastAsia="黑体"/>
        </w:rPr>
        <w:t xml:space="preserve">  </w:t>
      </w:r>
      <w:r>
        <w:rPr>
          <w:rFonts w:hint="eastAsia" w:ascii="宋体" w:hAnsi="宋体"/>
        </w:rPr>
        <w:t>市、县（区）人民政府及其有关部门应当按照国家规定建立健全以信用为基础的新型监管机制，推广应用企业信用信息公示系统和公共信用信息平台，加强信用信息征集、披露、使用和管理，不断提升信用监管效能。</w:t>
      </w:r>
    </w:p>
    <w:p>
      <w:pPr>
        <w:pStyle w:val="7"/>
        <w:adjustRightInd w:val="0"/>
        <w:snapToGrid w:val="0"/>
        <w:spacing w:after="0" w:line="560" w:lineRule="exact"/>
        <w:ind w:left="0" w:leftChars="0" w:firstLine="640" w:firstLineChars="200"/>
        <w:rPr>
          <w:rFonts w:ascii="宋体" w:hAnsi="宋体"/>
          <w:kern w:val="0"/>
        </w:rPr>
      </w:pPr>
      <w:r>
        <w:rPr>
          <w:rFonts w:hint="eastAsia" w:ascii="宋体" w:hAnsi="宋体" w:eastAsia="黑体" w:cs="黑体"/>
          <w:kern w:val="0"/>
          <w:szCs w:val="32"/>
        </w:rPr>
        <w:t xml:space="preserve">第五十二条  </w:t>
      </w:r>
      <w:r>
        <w:rPr>
          <w:rFonts w:ascii="宋体" w:hAnsi="宋体" w:eastAsia="仿宋_GB2312" w:cs="仿宋_GB2312"/>
          <w:kern w:val="0"/>
          <w:szCs w:val="32"/>
        </w:rPr>
        <w:t>市、县（区）人民政府</w:t>
      </w:r>
      <w:r>
        <w:rPr>
          <w:rFonts w:hint="eastAsia" w:ascii="宋体" w:hAnsi="宋体" w:eastAsia="仿宋_GB2312"/>
          <w:kern w:val="0"/>
          <w:szCs w:val="32"/>
        </w:rPr>
        <w:t>有关部门应当建立健全本行业、本领域行政处罚裁量基准制度。实施行政处罚不得擅自突破裁量基准。</w:t>
      </w:r>
    </w:p>
    <w:p>
      <w:pPr>
        <w:adjustRightInd w:val="0"/>
        <w:snapToGrid w:val="0"/>
        <w:spacing w:line="560" w:lineRule="exact"/>
        <w:ind w:firstLine="640" w:firstLineChars="200"/>
        <w:rPr>
          <w:rFonts w:ascii="宋体" w:hAnsi="宋体" w:cs="仿宋_GB2312"/>
        </w:rPr>
      </w:pPr>
      <w:r>
        <w:rPr>
          <w:rFonts w:hint="eastAsia" w:ascii="宋体" w:hAnsi="宋体" w:eastAsia="黑体"/>
          <w:shd w:val="clear" w:color="auto" w:fill="FFFFFF"/>
        </w:rPr>
        <w:t xml:space="preserve">第五十三条  </w:t>
      </w:r>
      <w:r>
        <w:rPr>
          <w:rFonts w:hint="eastAsia" w:ascii="宋体" w:hAnsi="宋体" w:cs="仿宋_GB2312"/>
        </w:rPr>
        <w:t>市、县（区）人民政府有关部门应当按照有关法律、法规、规章的规定，完善轻微违法行为不予行政处罚和一般违法行为减轻行政处罚事项清单。对市场主体违法行为情节轻微的，可以依法从轻、减轻行政处罚；及时纠正且没有造成危害后果的，可以采取教育、告诫等措施，依法不予行政处罚。</w:t>
      </w:r>
    </w:p>
    <w:p>
      <w:pPr>
        <w:adjustRightInd w:val="0"/>
        <w:snapToGrid w:val="0"/>
        <w:spacing w:line="560" w:lineRule="exact"/>
        <w:ind w:firstLine="612"/>
        <w:rPr>
          <w:rFonts w:ascii="宋体" w:hAnsi="宋体"/>
        </w:rPr>
      </w:pPr>
      <w:r>
        <w:rPr>
          <w:rFonts w:hint="eastAsia" w:ascii="宋体" w:hAnsi="宋体" w:eastAsia="黑体"/>
        </w:rPr>
        <w:t xml:space="preserve">第五十四条  </w:t>
      </w:r>
      <w:r>
        <w:rPr>
          <w:rFonts w:ascii="宋体" w:hAnsi="宋体"/>
          <w:shd w:val="clear" w:color="auto" w:fill="FFFFFF"/>
        </w:rPr>
        <w:t>实施行政强制，</w:t>
      </w:r>
      <w:r>
        <w:rPr>
          <w:rFonts w:ascii="宋体" w:hAnsi="宋体"/>
        </w:rPr>
        <w:t>应当依法进行。对不涉及安全生产和人民群众生命财产安全的市场主体轻微违法行为，应当依法慎用查封、扣押等强制措施。采用非强制手段可以达到行政管理目的的，不得</w:t>
      </w:r>
      <w:r>
        <w:rPr>
          <w:rFonts w:hint="eastAsia" w:ascii="宋体" w:hAnsi="宋体"/>
        </w:rPr>
        <w:t>实施行政强制。违法行为情节显著轻微，或者没有明显社会危害的，</w:t>
      </w:r>
      <w:r>
        <w:rPr>
          <w:rFonts w:hint="eastAsia" w:ascii="宋体" w:hAnsi="宋体" w:cs="宋体"/>
          <w:bCs/>
        </w:rPr>
        <w:t>可以不采取行政强制措施</w:t>
      </w:r>
      <w:r>
        <w:rPr>
          <w:rFonts w:hint="eastAsia" w:ascii="宋体" w:hAnsi="宋体"/>
        </w:rPr>
        <w:t>。</w:t>
      </w:r>
    </w:p>
    <w:p>
      <w:pPr>
        <w:pStyle w:val="6"/>
        <w:adjustRightInd w:val="0"/>
        <w:snapToGrid w:val="0"/>
        <w:spacing w:before="0" w:beforeAutospacing="0" w:after="0" w:afterAutospacing="0" w:line="560" w:lineRule="exact"/>
        <w:ind w:firstLine="640" w:firstLineChars="200"/>
        <w:rPr>
          <w:rFonts w:ascii="宋体" w:hAnsi="宋体"/>
          <w:sz w:val="32"/>
        </w:rPr>
      </w:pPr>
      <w:r>
        <w:rPr>
          <w:rFonts w:ascii="宋体" w:hAnsi="宋体" w:eastAsia="黑体"/>
          <w:sz w:val="32"/>
        </w:rPr>
        <w:t>第</w:t>
      </w:r>
      <w:r>
        <w:rPr>
          <w:rFonts w:hint="eastAsia" w:ascii="宋体" w:hAnsi="宋体" w:eastAsia="黑体"/>
          <w:sz w:val="32"/>
        </w:rPr>
        <w:t>五十五</w:t>
      </w:r>
      <w:r>
        <w:rPr>
          <w:rFonts w:ascii="宋体" w:hAnsi="宋体" w:eastAsia="黑体"/>
          <w:sz w:val="32"/>
        </w:rPr>
        <w:t>条</w:t>
      </w:r>
      <w:r>
        <w:rPr>
          <w:rFonts w:hint="eastAsia" w:ascii="宋体" w:hAnsi="宋体"/>
          <w:sz w:val="32"/>
        </w:rPr>
        <w:t xml:space="preserve">  </w:t>
      </w:r>
      <w:r>
        <w:rPr>
          <w:rFonts w:ascii="宋体" w:hAnsi="宋体"/>
          <w:sz w:val="32"/>
        </w:rPr>
        <w:t>各级人民政府和有关部门开展清理整顿、专项整治等活动，应当严格依法进行，除涉及人民群众生命安全、发生重特大事故或者举办国家重大活动，并报经有权机关批准外，不得在相关区域采取要求相关行业、领域的市场主体普遍停产、停业的措施。确需采取普遍停产、停业措施的，应当合理确定实施范围和期限，提前书面通知</w:t>
      </w:r>
      <w:r>
        <w:rPr>
          <w:rFonts w:hint="eastAsia" w:ascii="宋体" w:hAnsi="宋体"/>
          <w:sz w:val="32"/>
        </w:rPr>
        <w:t>市场主体</w:t>
      </w:r>
      <w:r>
        <w:rPr>
          <w:rFonts w:ascii="宋体" w:hAnsi="宋体"/>
          <w:sz w:val="32"/>
        </w:rPr>
        <w:t>或者向社会公告，法律、法规另有规定的除外。</w:t>
      </w:r>
    </w:p>
    <w:p>
      <w:pPr>
        <w:pStyle w:val="6"/>
        <w:overflowPunct w:val="0"/>
        <w:autoSpaceDE w:val="0"/>
        <w:autoSpaceDN w:val="0"/>
        <w:adjustRightInd w:val="0"/>
        <w:snapToGrid w:val="0"/>
        <w:spacing w:before="0" w:beforeAutospacing="0" w:after="0" w:afterAutospacing="0" w:line="560" w:lineRule="exact"/>
        <w:ind w:firstLine="640" w:firstLineChars="200"/>
        <w:rPr>
          <w:rFonts w:ascii="宋体" w:hAnsi="宋体" w:cs="仿宋_GB2312"/>
          <w:sz w:val="32"/>
        </w:rPr>
      </w:pPr>
      <w:r>
        <w:rPr>
          <w:rFonts w:hint="eastAsia" w:ascii="宋体" w:hAnsi="宋体" w:eastAsia="黑体" w:cs="黑体"/>
          <w:sz w:val="32"/>
        </w:rPr>
        <w:t>第五十六条</w:t>
      </w:r>
      <w:r>
        <w:rPr>
          <w:rFonts w:hint="eastAsia" w:ascii="宋体" w:hAnsi="宋体" w:eastAsia="CESI黑体-GB2312" w:cs="CESI黑体-GB2312"/>
          <w:sz w:val="32"/>
        </w:rPr>
        <w:t xml:space="preserve"> </w:t>
      </w:r>
      <w:r>
        <w:rPr>
          <w:rFonts w:hint="eastAsia" w:ascii="宋体" w:hAnsi="宋体" w:cs="仿宋_GB2312"/>
          <w:sz w:val="32"/>
          <w:shd w:val="clear" w:color="auto" w:fill="FFFFFF"/>
          <w:lang w:bidi="ar"/>
        </w:rPr>
        <w:t xml:space="preserve"> </w:t>
      </w:r>
      <w:r>
        <w:rPr>
          <w:rFonts w:hint="eastAsia" w:ascii="宋体" w:hAnsi="宋体" w:cs="仿宋_GB2312"/>
          <w:sz w:val="32"/>
        </w:rPr>
        <w:t>人民法院、人民检察院和公安机关在办理涉企案件时，应当严格区分经济犯罪与经济纠纷，防止将经济纠纷作为经济犯罪处理。依法对市场主体的法定代表人、主要负责人、核心技术骨干等人员采取强制措施的，应当减少对市场主体正常经营活动的不利影响。</w:t>
      </w:r>
    </w:p>
    <w:p>
      <w:pPr>
        <w:pStyle w:val="6"/>
        <w:overflowPunct w:val="0"/>
        <w:autoSpaceDE w:val="0"/>
        <w:autoSpaceDN w:val="0"/>
        <w:adjustRightInd w:val="0"/>
        <w:snapToGrid w:val="0"/>
        <w:spacing w:before="0" w:beforeAutospacing="0" w:after="0" w:afterAutospacing="0" w:line="560" w:lineRule="exact"/>
        <w:ind w:firstLine="640" w:firstLineChars="200"/>
        <w:rPr>
          <w:rFonts w:ascii="宋体" w:hAnsi="宋体" w:cs="仿宋_GB2312"/>
          <w:sz w:val="32"/>
        </w:rPr>
      </w:pPr>
      <w:r>
        <w:rPr>
          <w:rFonts w:hint="eastAsia" w:ascii="宋体" w:hAnsi="宋体" w:cs="仿宋_GB2312"/>
          <w:sz w:val="32"/>
        </w:rPr>
        <w:t>人民法院应当依法全面平等保护市场主体合法权益，畅通涉企案件绿色诉讼通道，推进民事诉讼繁简分流机制改革，完善执行工作长效机制建设，提升审判、执行的质量和效率。</w:t>
      </w:r>
    </w:p>
    <w:p>
      <w:pPr>
        <w:pStyle w:val="6"/>
        <w:overflowPunct w:val="0"/>
        <w:autoSpaceDE w:val="0"/>
        <w:autoSpaceDN w:val="0"/>
        <w:adjustRightInd w:val="0"/>
        <w:snapToGrid w:val="0"/>
        <w:spacing w:before="0" w:beforeAutospacing="0" w:after="0" w:afterAutospacing="0" w:line="560" w:lineRule="exact"/>
        <w:ind w:firstLine="640" w:firstLineChars="200"/>
        <w:rPr>
          <w:rFonts w:ascii="宋体" w:hAnsi="宋体" w:cs="仿宋_GB2312"/>
          <w:sz w:val="32"/>
        </w:rPr>
      </w:pPr>
      <w:r>
        <w:rPr>
          <w:rFonts w:hint="eastAsia" w:ascii="宋体" w:hAnsi="宋体" w:cs="仿宋_GB2312"/>
          <w:sz w:val="32"/>
        </w:rPr>
        <w:t>人民检察院办理涉企刑事案件时，对符合一定条件的企业及其有关人员，在依法作出不批准逮捕、不起诉决定或者提出轻缓量刑建议的同时，可以要求涉案企业作出合规承诺并督促其整改落实，促进企业合规守法经营。</w:t>
      </w:r>
    </w:p>
    <w:p>
      <w:pPr>
        <w:pStyle w:val="6"/>
        <w:overflowPunct w:val="0"/>
        <w:autoSpaceDE w:val="0"/>
        <w:autoSpaceDN w:val="0"/>
        <w:adjustRightInd w:val="0"/>
        <w:snapToGrid w:val="0"/>
        <w:spacing w:before="0" w:beforeAutospacing="0" w:after="0" w:afterAutospacing="0" w:line="560" w:lineRule="exact"/>
        <w:ind w:firstLine="640" w:firstLineChars="200"/>
        <w:rPr>
          <w:rFonts w:ascii="宋体" w:hAnsi="宋体"/>
          <w:sz w:val="32"/>
        </w:rPr>
      </w:pPr>
      <w:r>
        <w:rPr>
          <w:rFonts w:hint="eastAsia" w:ascii="宋体" w:hAnsi="宋体" w:cs="仿宋_GB2312"/>
          <w:sz w:val="32"/>
        </w:rPr>
        <w:t>公安机关应当对干扰市场主体正常生产经营活动，或者侵害生产经营者人身安全、财产安全等违法行为，及时依法处置，保障正常的生产经营秩序。</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eastAsia="黑体"/>
          <w:shd w:val="clear" w:color="090000" w:fill="FFFFFF"/>
        </w:rPr>
        <w:t>第五十七条</w:t>
      </w:r>
      <w:r>
        <w:rPr>
          <w:rFonts w:hint="eastAsia" w:ascii="宋体" w:hAnsi="宋体" w:cs="仿宋_GB2312"/>
        </w:rPr>
        <w:t xml:space="preserve">  </w:t>
      </w:r>
      <w:r>
        <w:rPr>
          <w:rFonts w:hint="eastAsia" w:ascii="宋体" w:hAnsi="宋体" w:cs="仿宋_GB2312"/>
          <w:color w:val="000000"/>
        </w:rPr>
        <w:t>市、县（区）人民政府应当组织有关部门建立调解、仲裁、行政裁决、行政复议、诉讼等有机衔接、相互协调的纠纷解决机制，为市场主体化解纠纷提供多元解决方式。</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市、县（区）人民政府司法行政部门应当会同有关部门整合律师、公证、司法鉴定、仲裁、调解、法律援助等公共法律服务资源，推进公共法律服务体系建设，为市场主体提供优质精准的法律服务。</w:t>
      </w:r>
    </w:p>
    <w:p>
      <w:pPr>
        <w:pStyle w:val="7"/>
        <w:adjustRightInd w:val="0"/>
        <w:snapToGrid w:val="0"/>
        <w:spacing w:after="0" w:line="560" w:lineRule="exact"/>
        <w:ind w:left="0" w:leftChars="0" w:firstLine="640" w:firstLineChars="200"/>
        <w:rPr>
          <w:rFonts w:ascii="宋体" w:hAnsi="宋体" w:eastAsia="仿宋_GB2312"/>
          <w:kern w:val="0"/>
          <w:szCs w:val="32"/>
        </w:rPr>
      </w:pPr>
      <w:r>
        <w:rPr>
          <w:rFonts w:hint="eastAsia" w:ascii="宋体" w:hAnsi="宋体" w:eastAsia="黑体"/>
          <w:kern w:val="0"/>
          <w:szCs w:val="32"/>
        </w:rPr>
        <w:t xml:space="preserve">第五十八条  </w:t>
      </w:r>
      <w:r>
        <w:rPr>
          <w:rFonts w:hint="eastAsia" w:ascii="宋体" w:hAnsi="宋体" w:eastAsia="仿宋_GB2312"/>
          <w:kern w:val="0"/>
          <w:szCs w:val="32"/>
        </w:rPr>
        <w:t>市</w:t>
      </w:r>
      <w:r>
        <w:rPr>
          <w:rFonts w:hint="eastAsia" w:ascii="宋体" w:hAnsi="宋体" w:eastAsia="仿宋_GB2312" w:cs="仿宋_GB2312"/>
          <w:kern w:val="0"/>
          <w:szCs w:val="32"/>
        </w:rPr>
        <w:t>、县（区）人民政府、人民法院应当建立和完善企业破产工作协调机制，协调解决企业破产启动、职工安置、资产处置、信用修复、涉税事项处理、破产企业</w:t>
      </w:r>
      <w:r>
        <w:rPr>
          <w:rFonts w:hint="eastAsia" w:ascii="宋体" w:hAnsi="宋体" w:eastAsia="仿宋_GB2312"/>
          <w:kern w:val="0"/>
          <w:szCs w:val="32"/>
        </w:rPr>
        <w:t>重组等问题。</w:t>
      </w:r>
    </w:p>
    <w:p>
      <w:pPr>
        <w:adjustRightInd w:val="0"/>
        <w:snapToGrid w:val="0"/>
        <w:spacing w:line="560" w:lineRule="exact"/>
        <w:ind w:firstLine="640" w:firstLineChars="200"/>
        <w:rPr>
          <w:rFonts w:ascii="宋体" w:hAnsi="宋体" w:cs="仿宋_GB2312"/>
        </w:rPr>
      </w:pPr>
      <w:r>
        <w:rPr>
          <w:rFonts w:ascii="宋体" w:hAnsi="宋体" w:cs="仿宋_GB2312"/>
        </w:rPr>
        <w:t>人民法院应当探索建立重整识别、预重整等破产拯救机制，帮助具有挽救价值的危困企业进行重整、重组。</w:t>
      </w:r>
    </w:p>
    <w:p>
      <w:pPr>
        <w:adjustRightInd w:val="0"/>
        <w:snapToGrid w:val="0"/>
        <w:spacing w:line="560" w:lineRule="exact"/>
        <w:ind w:firstLine="640" w:firstLineChars="200"/>
        <w:rPr>
          <w:rFonts w:ascii="宋体" w:hAnsi="宋体" w:cs="仿宋_GB2312"/>
        </w:rPr>
      </w:pPr>
      <w:r>
        <w:rPr>
          <w:rFonts w:hint="eastAsia" w:ascii="宋体" w:hAnsi="宋体" w:eastAsia="黑体" w:cs="黑体"/>
          <w:color w:val="000000"/>
        </w:rPr>
        <w:t>第五十九条</w:t>
      </w:r>
      <w:r>
        <w:rPr>
          <w:rFonts w:hint="eastAsia" w:ascii="宋体" w:hAnsi="宋体"/>
          <w:color w:val="000000"/>
        </w:rPr>
        <w:t>　</w:t>
      </w:r>
      <w:r>
        <w:rPr>
          <w:rFonts w:hint="eastAsia" w:ascii="宋体" w:hAnsi="宋体" w:cs="仿宋_GB2312"/>
        </w:rPr>
        <w:t>市、县（区）人民政府及其有关部门应当按照普法责任制的要求开展优化营商环境法治宣传工作，并将其纳入普法责任制考核。</w:t>
      </w:r>
    </w:p>
    <w:p>
      <w:pPr>
        <w:adjustRightInd w:val="0"/>
        <w:snapToGrid w:val="0"/>
        <w:spacing w:line="560" w:lineRule="exact"/>
        <w:ind w:firstLine="640" w:firstLineChars="200"/>
        <w:rPr>
          <w:rFonts w:ascii="宋体" w:hAnsi="宋体"/>
          <w:shd w:val="clear" w:color="auto" w:fill="FFFFFF"/>
        </w:rPr>
      </w:pPr>
      <w:r>
        <w:rPr>
          <w:rFonts w:hint="eastAsia" w:ascii="宋体" w:hAnsi="宋体" w:eastAsia="黑体"/>
          <w:shd w:val="clear" w:color="auto" w:fill="FFFFFF"/>
        </w:rPr>
        <w:t>第六十条</w:t>
      </w:r>
      <w:r>
        <w:rPr>
          <w:rFonts w:hint="eastAsia" w:ascii="宋体" w:hAnsi="宋体"/>
          <w:shd w:val="clear" w:color="auto" w:fill="FFFFFF"/>
        </w:rPr>
        <w:t xml:space="preserve">  </w:t>
      </w:r>
      <w:r>
        <w:rPr>
          <w:rFonts w:hint="eastAsia" w:ascii="宋体" w:hAnsi="宋体" w:cs="仿宋_GB2312"/>
        </w:rPr>
        <w:t>市、县（区）人民代表大会常务委员会可以通过听取和审议专项工作报告、规范性文件备案审查、专题询问、质询、特定问题调查等方式，对优化营商环境工作进行监督。</w:t>
      </w:r>
    </w:p>
    <w:p>
      <w:pPr>
        <w:adjustRightInd w:val="0"/>
        <w:snapToGrid w:val="0"/>
        <w:spacing w:line="560" w:lineRule="exact"/>
        <w:ind w:firstLine="640" w:firstLineChars="200"/>
        <w:rPr>
          <w:rFonts w:ascii="宋体" w:hAnsi="宋体" w:cs="仿宋_GB2312"/>
        </w:rPr>
      </w:pPr>
      <w:r>
        <w:rPr>
          <w:rFonts w:hint="eastAsia" w:ascii="宋体" w:hAnsi="宋体" w:eastAsia="黑体" w:cs="仿宋_GB2312"/>
          <w:color w:val="000000"/>
        </w:rPr>
        <w:t>第六十一条</w:t>
      </w:r>
      <w:r>
        <w:rPr>
          <w:rFonts w:hint="eastAsia" w:ascii="宋体" w:hAnsi="宋体" w:cs="仿宋_GB2312"/>
          <w:color w:val="000000"/>
        </w:rPr>
        <w:t xml:space="preserve">  本市建立营商环境监测机制，通过</w:t>
      </w:r>
      <w:r>
        <w:rPr>
          <w:rFonts w:hint="eastAsia" w:ascii="宋体" w:hAnsi="宋体" w:cs="仿宋_GB2312"/>
        </w:rPr>
        <w:t>建立营商环境监测点、聘请</w:t>
      </w:r>
      <w:r>
        <w:rPr>
          <w:rFonts w:hint="eastAsia" w:ascii="宋体" w:hAnsi="宋体" w:cs="仿宋_GB2312"/>
          <w:color w:val="000000"/>
        </w:rPr>
        <w:t>营商环境社会监督员</w:t>
      </w:r>
      <w:r>
        <w:rPr>
          <w:rFonts w:hint="eastAsia" w:ascii="宋体" w:hAnsi="宋体" w:cs="仿宋_GB2312"/>
        </w:rPr>
        <w:t>等措施对营商环境工作进行监测监督，及时发现、收集优化营商环境工作中存在的困难和问题，并提出整改意见建议。</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eastAsia="黑体" w:cs="黑体"/>
        </w:rPr>
        <w:t>第六十二条</w:t>
      </w:r>
      <w:r>
        <w:rPr>
          <w:rFonts w:hint="eastAsia" w:ascii="宋体" w:hAnsi="宋体" w:eastAsia="黑体" w:cs="宋体"/>
        </w:rPr>
        <w:t xml:space="preserve">  </w:t>
      </w:r>
      <w:r>
        <w:rPr>
          <w:rFonts w:hint="eastAsia" w:ascii="宋体" w:hAnsi="宋体" w:cs="仿宋_GB2312"/>
        </w:rPr>
        <w:t>本市探索建立市场主体评议政府部门优化营商环境工作的制度，推动有关部门及其工作人员增强服务意识、改进工作作风、强化执行能力。</w:t>
      </w:r>
    </w:p>
    <w:p>
      <w:pPr>
        <w:overflowPunct w:val="0"/>
        <w:autoSpaceDE w:val="0"/>
        <w:autoSpaceDN w:val="0"/>
        <w:adjustRightInd w:val="0"/>
        <w:snapToGrid w:val="0"/>
        <w:spacing w:line="560" w:lineRule="exact"/>
        <w:ind w:firstLine="640" w:firstLineChars="200"/>
        <w:rPr>
          <w:rFonts w:ascii="宋体" w:hAnsi="宋体" w:cs="仿宋_GB2312"/>
        </w:rPr>
      </w:pPr>
      <w:r>
        <w:rPr>
          <w:rFonts w:hint="eastAsia" w:ascii="宋体" w:hAnsi="宋体"/>
        </w:rPr>
        <w:t>本市推行政务服务“好差评”制度，市场主体可以对有关政府部门及其工作人员办理政务服务事项的情况进行评价。</w:t>
      </w:r>
    </w:p>
    <w:p>
      <w:pPr>
        <w:adjustRightInd w:val="0"/>
        <w:snapToGrid w:val="0"/>
        <w:spacing w:line="560" w:lineRule="exact"/>
        <w:jc w:val="center"/>
        <w:rPr>
          <w:rFonts w:ascii="宋体" w:hAnsi="宋体" w:eastAsia="黑体"/>
        </w:rPr>
      </w:pPr>
    </w:p>
    <w:p>
      <w:pPr>
        <w:adjustRightInd w:val="0"/>
        <w:snapToGrid w:val="0"/>
        <w:spacing w:line="560" w:lineRule="exact"/>
        <w:jc w:val="center"/>
        <w:rPr>
          <w:rFonts w:ascii="宋体" w:hAnsi="宋体" w:eastAsia="黑体"/>
          <w:snapToGrid/>
        </w:rPr>
      </w:pPr>
      <w:r>
        <w:rPr>
          <w:rFonts w:hint="eastAsia" w:ascii="宋体" w:hAnsi="宋体" w:eastAsia="黑体"/>
          <w:snapToGrid/>
        </w:rPr>
        <w:t>第五章  人文环境</w:t>
      </w:r>
    </w:p>
    <w:p>
      <w:pPr>
        <w:adjustRightInd w:val="0"/>
        <w:snapToGrid w:val="0"/>
        <w:spacing w:line="560" w:lineRule="exact"/>
        <w:ind w:firstLine="640" w:firstLineChars="200"/>
        <w:rPr>
          <w:rFonts w:ascii="宋体" w:hAnsi="宋体" w:eastAsia="黑体"/>
        </w:rPr>
      </w:pPr>
    </w:p>
    <w:p>
      <w:pPr>
        <w:adjustRightInd w:val="0"/>
        <w:snapToGrid w:val="0"/>
        <w:spacing w:line="560" w:lineRule="exact"/>
        <w:ind w:firstLine="640" w:firstLineChars="200"/>
        <w:rPr>
          <w:rFonts w:ascii="宋体" w:hAnsi="宋体" w:cs="仿宋_GB2312"/>
        </w:rPr>
      </w:pPr>
      <w:r>
        <w:rPr>
          <w:rFonts w:hint="eastAsia" w:ascii="宋体" w:hAnsi="宋体" w:eastAsia="黑体"/>
        </w:rPr>
        <w:t xml:space="preserve">第六十三条  </w:t>
      </w:r>
      <w:r>
        <w:rPr>
          <w:rFonts w:hint="eastAsia" w:ascii="宋体" w:hAnsi="宋体" w:cs="仿宋_GB2312"/>
        </w:rPr>
        <w:t>本市弘扬和践行沂蒙精神，推动红色文化和优秀传统文化创造性转化、创新性发展，加强城市软实力建设。</w:t>
      </w:r>
    </w:p>
    <w:p>
      <w:pPr>
        <w:adjustRightInd w:val="0"/>
        <w:snapToGrid w:val="0"/>
        <w:spacing w:line="560" w:lineRule="exact"/>
        <w:ind w:firstLine="640" w:firstLineChars="200"/>
        <w:jc w:val="left"/>
        <w:rPr>
          <w:rFonts w:ascii="宋体" w:hAnsi="宋体" w:cs="仿宋_GB2312"/>
          <w:snapToGrid/>
        </w:rPr>
      </w:pPr>
      <w:r>
        <w:rPr>
          <w:rFonts w:hint="eastAsia" w:ascii="宋体" w:hAnsi="宋体" w:cs="仿宋_GB2312"/>
          <w:snapToGrid/>
        </w:rPr>
        <w:t>各级人民政府和有关部门应当加强对红色文化资源和非物质文化遗产的保护和利用，丰富文化产品和服务，打造特色鲜明的革命老区城市品牌。</w:t>
      </w:r>
    </w:p>
    <w:p>
      <w:pPr>
        <w:adjustRightInd w:val="0"/>
        <w:snapToGrid w:val="0"/>
        <w:spacing w:line="560" w:lineRule="exact"/>
        <w:ind w:firstLine="640" w:firstLineChars="200"/>
        <w:rPr>
          <w:rFonts w:ascii="宋体" w:hAnsi="宋体" w:cs="仿宋_GB2312"/>
        </w:rPr>
      </w:pPr>
      <w:r>
        <w:rPr>
          <w:rFonts w:hint="eastAsia" w:ascii="宋体" w:hAnsi="宋体" w:cs="仿宋_GB2312"/>
        </w:rPr>
        <w:t>开展优秀企业家宣传表扬活动，形成尊商、重商、亲商、安商的社会文化。</w:t>
      </w:r>
    </w:p>
    <w:p>
      <w:pPr>
        <w:adjustRightInd w:val="0"/>
        <w:snapToGrid w:val="0"/>
        <w:spacing w:line="560" w:lineRule="exact"/>
        <w:ind w:firstLine="640" w:firstLineChars="200"/>
        <w:rPr>
          <w:rFonts w:ascii="宋体" w:hAnsi="宋体" w:cs="仿宋_GB2312"/>
        </w:rPr>
      </w:pPr>
      <w:r>
        <w:rPr>
          <w:rFonts w:hint="eastAsia" w:ascii="宋体" w:hAnsi="宋体" w:cs="仿宋_GB2312"/>
        </w:rPr>
        <w:t>弘扬劳模精神、劳动精神、工匠精神，营造尊重技能、尊重劳动的社会氛围。</w:t>
      </w:r>
    </w:p>
    <w:p>
      <w:pPr>
        <w:overflowPunct w:val="0"/>
        <w:autoSpaceDE w:val="0"/>
        <w:autoSpaceDN w:val="0"/>
        <w:adjustRightInd w:val="0"/>
        <w:snapToGrid w:val="0"/>
        <w:spacing w:line="560" w:lineRule="exact"/>
        <w:ind w:firstLine="640" w:firstLineChars="200"/>
        <w:jc w:val="left"/>
        <w:rPr>
          <w:rFonts w:ascii="宋体" w:hAnsi="宋体" w:cs="仿宋_GB2312"/>
          <w:snapToGrid/>
          <w:color w:val="000000"/>
        </w:rPr>
      </w:pPr>
      <w:r>
        <w:rPr>
          <w:rFonts w:hint="eastAsia" w:ascii="宋体" w:hAnsi="宋体" w:eastAsia="黑体" w:cs="黑体"/>
          <w:snapToGrid/>
        </w:rPr>
        <w:t xml:space="preserve">第六十四条  </w:t>
      </w:r>
      <w:r>
        <w:rPr>
          <w:rFonts w:hint="eastAsia" w:ascii="宋体" w:hAnsi="宋体" w:cs="仿宋_GB2312"/>
          <w:snapToGrid/>
          <w:color w:val="000000"/>
        </w:rPr>
        <w:t>各级人民政府和有关部门应当在全社会范围内培育和践行社会主义核心价值观，推进全国文明城市建设，倡导文明行为，弘扬诚信文化，引导全社会牢固树立诚信意识，促进政府守信、企业守信、公民守信。</w:t>
      </w:r>
    </w:p>
    <w:p>
      <w:pPr>
        <w:adjustRightInd w:val="0"/>
        <w:snapToGrid w:val="0"/>
        <w:spacing w:line="560" w:lineRule="exact"/>
        <w:ind w:firstLine="640" w:firstLineChars="200"/>
        <w:jc w:val="left"/>
        <w:rPr>
          <w:rFonts w:ascii="宋体" w:hAnsi="宋体" w:cs="仿宋_GB2312"/>
          <w:snapToGrid/>
        </w:rPr>
      </w:pPr>
      <w:r>
        <w:rPr>
          <w:rFonts w:hint="eastAsia" w:ascii="宋体" w:hAnsi="宋体" w:eastAsia="黑体"/>
          <w:snapToGrid/>
        </w:rPr>
        <w:t>第六十五条</w:t>
      </w:r>
      <w:r>
        <w:rPr>
          <w:rFonts w:hint="eastAsia" w:ascii="宋体" w:hAnsi="宋体" w:eastAsia="微软雅黑"/>
          <w:snapToGrid/>
          <w:sz w:val="22"/>
          <w:szCs w:val="22"/>
        </w:rPr>
        <w:t xml:space="preserve">   </w:t>
      </w:r>
      <w:r>
        <w:rPr>
          <w:rFonts w:hint="eastAsia" w:ascii="宋体" w:hAnsi="宋体" w:cs="仿宋_GB2312"/>
          <w:snapToGrid/>
        </w:rPr>
        <w:t>各级人民政府应当构建亲清新型政商关系，建立常态高效的政企沟通机制，及时倾听和回应市场主体的合理反映和诉求。</w:t>
      </w:r>
    </w:p>
    <w:p>
      <w:pPr>
        <w:adjustRightInd w:val="0"/>
        <w:snapToGrid w:val="0"/>
        <w:spacing w:line="560" w:lineRule="exact"/>
        <w:ind w:firstLine="640" w:firstLineChars="200"/>
        <w:jc w:val="left"/>
        <w:rPr>
          <w:rFonts w:ascii="宋体" w:hAnsi="宋体" w:cs="仿宋_GB2312"/>
          <w:snapToGrid/>
          <w:color w:val="000000"/>
        </w:rPr>
      </w:pPr>
      <w:r>
        <w:rPr>
          <w:rFonts w:hint="eastAsia" w:ascii="宋体" w:hAnsi="宋体" w:cs="仿宋_GB2312"/>
          <w:snapToGrid/>
          <w:color w:val="000000"/>
        </w:rPr>
        <w:t>制定与市场主体生产经营活动密切相关的政策措施，除依法需要保密的外，应当坚持全过程公开、透明的原则，广泛征求市场主体、行业协会商会等方面的意见。</w:t>
      </w:r>
    </w:p>
    <w:p>
      <w:pPr>
        <w:overflowPunct w:val="0"/>
        <w:autoSpaceDE w:val="0"/>
        <w:autoSpaceDN w:val="0"/>
        <w:adjustRightInd w:val="0"/>
        <w:snapToGrid w:val="0"/>
        <w:spacing w:line="560" w:lineRule="exact"/>
        <w:ind w:firstLine="640" w:firstLineChars="200"/>
        <w:jc w:val="left"/>
        <w:rPr>
          <w:rFonts w:ascii="宋体" w:hAnsi="宋体" w:cs="仿宋_GB2312"/>
          <w:snapToGrid/>
        </w:rPr>
      </w:pPr>
      <w:r>
        <w:rPr>
          <w:rFonts w:hint="eastAsia" w:ascii="宋体" w:hAnsi="宋体" w:eastAsia="黑体"/>
          <w:snapToGrid/>
        </w:rPr>
        <w:t xml:space="preserve">第六十六条  </w:t>
      </w:r>
      <w:r>
        <w:rPr>
          <w:rFonts w:hint="eastAsia" w:ascii="宋体" w:hAnsi="宋体" w:cs="仿宋_GB2312"/>
          <w:snapToGrid/>
        </w:rPr>
        <w:t>市、县（区）</w:t>
      </w:r>
      <w:r>
        <w:rPr>
          <w:rFonts w:ascii="宋体" w:hAnsi="宋体" w:cs="仿宋_GB2312"/>
          <w:snapToGrid/>
        </w:rPr>
        <w:t>人民</w:t>
      </w:r>
      <w:r>
        <w:rPr>
          <w:rFonts w:hint="eastAsia" w:ascii="宋体" w:hAnsi="宋体" w:cs="仿宋_GB2312"/>
          <w:snapToGrid/>
        </w:rPr>
        <w:t>政府</w:t>
      </w:r>
      <w:r>
        <w:rPr>
          <w:rFonts w:ascii="宋体" w:hAnsi="宋体" w:cs="仿宋_GB2312"/>
          <w:snapToGrid/>
        </w:rPr>
        <w:t>应当建立营商环境投诉举报和查处回应制度。</w:t>
      </w:r>
    </w:p>
    <w:p>
      <w:pPr>
        <w:overflowPunct w:val="0"/>
        <w:autoSpaceDE w:val="0"/>
        <w:autoSpaceDN w:val="0"/>
        <w:adjustRightInd w:val="0"/>
        <w:snapToGrid w:val="0"/>
        <w:spacing w:line="560" w:lineRule="exact"/>
        <w:ind w:firstLine="640" w:firstLineChars="200"/>
        <w:jc w:val="left"/>
        <w:rPr>
          <w:rFonts w:ascii="宋体" w:hAnsi="宋体"/>
          <w:snapToGrid/>
        </w:rPr>
      </w:pPr>
      <w:r>
        <w:rPr>
          <w:rFonts w:ascii="宋体" w:hAnsi="宋体"/>
          <w:snapToGrid/>
        </w:rPr>
        <w:t>市场主体可以通过</w:t>
      </w:r>
      <w:r>
        <w:rPr>
          <w:rFonts w:hint="eastAsia" w:ascii="宋体" w:hAnsi="宋体"/>
          <w:snapToGrid/>
        </w:rPr>
        <w:t>12345政务服务便民热线</w:t>
      </w:r>
      <w:r>
        <w:rPr>
          <w:rFonts w:ascii="宋体" w:hAnsi="宋体"/>
          <w:snapToGrid/>
        </w:rPr>
        <w:t>、政府网</w:t>
      </w:r>
      <w:r>
        <w:rPr>
          <w:rFonts w:hint="eastAsia" w:ascii="宋体" w:hAnsi="宋体"/>
          <w:snapToGrid/>
        </w:rPr>
        <w:t>站、</w:t>
      </w:r>
      <w:r>
        <w:rPr>
          <w:rFonts w:ascii="宋体" w:hAnsi="宋体"/>
          <w:snapToGrid/>
        </w:rPr>
        <w:t>部门电话、</w:t>
      </w:r>
      <w:r>
        <w:rPr>
          <w:rFonts w:hint="eastAsia" w:ascii="宋体" w:hAnsi="宋体"/>
          <w:snapToGrid/>
        </w:rPr>
        <w:t>政务新媒体等提出有关营商环境的咨询和投诉举报。有关部门、公用企业事业单位应当按照规定的时限办理、答复；无法解决的，应当及时告知并说明情况。</w:t>
      </w:r>
    </w:p>
    <w:p>
      <w:pPr>
        <w:adjustRightInd w:val="0"/>
        <w:snapToGrid w:val="0"/>
        <w:spacing w:line="560" w:lineRule="exact"/>
        <w:ind w:firstLine="640" w:firstLineChars="200"/>
        <w:jc w:val="left"/>
        <w:rPr>
          <w:rFonts w:ascii="宋体" w:hAnsi="宋体" w:cs="仿宋_GB2312"/>
          <w:snapToGrid/>
        </w:rPr>
      </w:pPr>
      <w:r>
        <w:rPr>
          <w:rFonts w:hint="eastAsia" w:ascii="宋体" w:hAnsi="宋体" w:eastAsia="黑体"/>
          <w:snapToGrid/>
        </w:rPr>
        <w:t>第六十七条</w:t>
      </w:r>
      <w:r>
        <w:rPr>
          <w:rFonts w:hint="eastAsia" w:ascii="宋体" w:hAnsi="宋体" w:eastAsia="微软雅黑"/>
          <w:snapToGrid/>
          <w:sz w:val="22"/>
          <w:szCs w:val="22"/>
        </w:rPr>
        <w:t xml:space="preserve">   </w:t>
      </w:r>
      <w:r>
        <w:rPr>
          <w:rFonts w:hint="eastAsia" w:ascii="宋体" w:hAnsi="宋体" w:cs="仿宋_GB2312"/>
          <w:snapToGrid/>
        </w:rPr>
        <w:t>各级人民政府应当践行绿水青山就是金山银山理念，持续改善生态环境质量，建设生态之城，打造适宜人居和创新创业的环境。</w:t>
      </w:r>
    </w:p>
    <w:p>
      <w:pPr>
        <w:overflowPunct w:val="0"/>
        <w:autoSpaceDE w:val="0"/>
        <w:autoSpaceDN w:val="0"/>
        <w:adjustRightInd w:val="0"/>
        <w:snapToGrid w:val="0"/>
        <w:spacing w:line="560" w:lineRule="exact"/>
        <w:ind w:firstLine="640" w:firstLineChars="200"/>
        <w:jc w:val="left"/>
        <w:rPr>
          <w:rFonts w:ascii="宋体" w:hAnsi="宋体" w:cs="仿宋_GB2312"/>
          <w:snapToGrid/>
        </w:rPr>
      </w:pPr>
      <w:r>
        <w:rPr>
          <w:rFonts w:hint="eastAsia" w:ascii="宋体" w:hAnsi="宋体" w:eastAsia="黑体"/>
          <w:snapToGrid/>
        </w:rPr>
        <w:t>第六十八条</w:t>
      </w:r>
      <w:r>
        <w:rPr>
          <w:rFonts w:ascii="宋体" w:hAnsi="宋体" w:eastAsia="黑体"/>
          <w:snapToGrid/>
        </w:rPr>
        <w:t xml:space="preserve">  </w:t>
      </w:r>
      <w:r>
        <w:rPr>
          <w:rFonts w:hint="eastAsia" w:ascii="宋体" w:hAnsi="宋体" w:cs="仿宋_GB2312"/>
          <w:snapToGrid/>
        </w:rPr>
        <w:t>各级人民政府应当根据本行政区域人口、经济发展水平，合理设置教育、医疗、养老和托幼等机构，提供均等、优质、普惠、高效的公共服务。</w:t>
      </w:r>
    </w:p>
    <w:p>
      <w:pPr>
        <w:adjustRightInd w:val="0"/>
        <w:snapToGrid w:val="0"/>
        <w:spacing w:line="560" w:lineRule="exact"/>
        <w:ind w:firstLine="640" w:firstLineChars="200"/>
        <w:rPr>
          <w:rFonts w:ascii="宋体" w:hAnsi="宋体" w:cs="仿宋_GB2312"/>
          <w:color w:val="000000"/>
        </w:rPr>
      </w:pPr>
      <w:r>
        <w:rPr>
          <w:rFonts w:hint="eastAsia" w:ascii="宋体" w:hAnsi="宋体" w:eastAsia="黑体"/>
        </w:rPr>
        <w:t xml:space="preserve">第六十九条  </w:t>
      </w:r>
      <w:r>
        <w:rPr>
          <w:rFonts w:hint="eastAsia" w:ascii="宋体" w:hAnsi="宋体" w:cs="仿宋_GB2312"/>
          <w:color w:val="000000"/>
        </w:rPr>
        <w:t>市、县（区）人民政府及其有关部门应当科学布局城乡交通基础设施，建设市域快速路网，构建综合立体大交通，优化城市交通出行结构，实现多种交通方式互联互通。</w:t>
      </w:r>
    </w:p>
    <w:p>
      <w:pPr>
        <w:adjustRightInd w:val="0"/>
        <w:snapToGrid w:val="0"/>
        <w:spacing w:line="560" w:lineRule="exact"/>
        <w:ind w:firstLine="640" w:firstLineChars="200"/>
        <w:rPr>
          <w:rFonts w:ascii="宋体" w:hAnsi="宋体" w:eastAsia="微软雅黑"/>
          <w:sz w:val="22"/>
          <w:szCs w:val="22"/>
        </w:rPr>
      </w:pPr>
      <w:r>
        <w:rPr>
          <w:rFonts w:hint="eastAsia" w:ascii="宋体" w:hAnsi="宋体" w:eastAsia="黑体"/>
        </w:rPr>
        <w:t xml:space="preserve">第七十条  </w:t>
      </w:r>
      <w:r>
        <w:rPr>
          <w:rFonts w:hint="eastAsia" w:ascii="宋体" w:hAnsi="宋体" w:cs="仿宋_GB2312"/>
          <w:color w:val="000000"/>
        </w:rPr>
        <w:t>市、县（区）人民政府及其有关部门应当健全住房市场体系和住房保障体系，完善多主体供给、多渠道保障、租购并举的住房制度，持续改善居住条件，提升物业管理水平，完善社区周边配套设施，提供优质居住环境。</w:t>
      </w:r>
    </w:p>
    <w:p>
      <w:pPr>
        <w:pStyle w:val="7"/>
        <w:adjustRightInd w:val="0"/>
        <w:snapToGrid w:val="0"/>
        <w:spacing w:after="0" w:line="560" w:lineRule="exact"/>
        <w:ind w:left="640"/>
        <w:rPr>
          <w:rFonts w:ascii="宋体" w:hAnsi="宋体"/>
          <w:kern w:val="0"/>
        </w:rPr>
      </w:pPr>
    </w:p>
    <w:p>
      <w:pPr>
        <w:adjustRightInd w:val="0"/>
        <w:snapToGrid w:val="0"/>
        <w:spacing w:line="560" w:lineRule="exact"/>
        <w:jc w:val="center"/>
        <w:rPr>
          <w:rFonts w:ascii="宋体" w:hAnsi="宋体" w:eastAsia="黑体"/>
        </w:rPr>
      </w:pPr>
    </w:p>
    <w:p>
      <w:pPr>
        <w:adjustRightInd w:val="0"/>
        <w:snapToGrid w:val="0"/>
        <w:spacing w:line="560" w:lineRule="exact"/>
        <w:jc w:val="center"/>
        <w:rPr>
          <w:rFonts w:ascii="宋体" w:hAnsi="宋体" w:eastAsia="黑体"/>
        </w:rPr>
      </w:pPr>
    </w:p>
    <w:p>
      <w:pPr>
        <w:adjustRightInd w:val="0"/>
        <w:snapToGrid w:val="0"/>
        <w:spacing w:line="560" w:lineRule="exact"/>
        <w:jc w:val="center"/>
        <w:rPr>
          <w:rFonts w:ascii="宋体" w:hAnsi="宋体" w:eastAsia="黑体"/>
        </w:rPr>
      </w:pPr>
    </w:p>
    <w:p>
      <w:pPr>
        <w:adjustRightInd w:val="0"/>
        <w:snapToGrid w:val="0"/>
        <w:spacing w:line="560" w:lineRule="exact"/>
        <w:jc w:val="center"/>
        <w:rPr>
          <w:rFonts w:ascii="宋体" w:hAnsi="宋体" w:eastAsia="黑体"/>
        </w:rPr>
      </w:pPr>
      <w:r>
        <w:rPr>
          <w:rFonts w:hint="eastAsia" w:ascii="宋体" w:hAnsi="宋体" w:eastAsia="黑体"/>
        </w:rPr>
        <w:t>第六章  法律责任</w:t>
      </w:r>
    </w:p>
    <w:p>
      <w:pPr>
        <w:adjustRightInd w:val="0"/>
        <w:snapToGrid w:val="0"/>
        <w:spacing w:line="560" w:lineRule="exact"/>
        <w:rPr>
          <w:rFonts w:ascii="宋体" w:hAnsi="宋体"/>
        </w:rPr>
      </w:pPr>
    </w:p>
    <w:p>
      <w:pPr>
        <w:pStyle w:val="6"/>
        <w:overflowPunct w:val="0"/>
        <w:topLinePunct/>
        <w:autoSpaceDE w:val="0"/>
        <w:autoSpaceDN w:val="0"/>
        <w:adjustRightInd w:val="0"/>
        <w:snapToGrid w:val="0"/>
        <w:spacing w:before="0" w:beforeAutospacing="0" w:after="0" w:afterAutospacing="0" w:line="560" w:lineRule="exact"/>
        <w:ind w:firstLine="614"/>
        <w:contextualSpacing/>
        <w:rPr>
          <w:rFonts w:ascii="宋体" w:hAnsi="宋体" w:eastAsia="黑体"/>
          <w:bCs/>
          <w:sz w:val="32"/>
        </w:rPr>
      </w:pPr>
      <w:r>
        <w:rPr>
          <w:rFonts w:hint="eastAsia" w:ascii="宋体" w:hAnsi="宋体" w:eastAsia="黑体"/>
          <w:bCs/>
          <w:sz w:val="32"/>
        </w:rPr>
        <w:t>第七十一条</w:t>
      </w:r>
      <w:r>
        <w:rPr>
          <w:rFonts w:hint="eastAsia" w:ascii="宋体" w:hAnsi="宋体"/>
          <w:bCs/>
          <w:sz w:val="32"/>
        </w:rPr>
        <w:t xml:space="preserve">  对违反本条例规定的行为，法律、法规已经规定法律责任的，适用其规定。</w:t>
      </w:r>
    </w:p>
    <w:p>
      <w:pPr>
        <w:adjustRightInd w:val="0"/>
        <w:snapToGrid w:val="0"/>
        <w:spacing w:line="560" w:lineRule="exact"/>
        <w:ind w:firstLine="640" w:firstLineChars="200"/>
        <w:rPr>
          <w:rFonts w:ascii="宋体" w:hAnsi="宋体" w:cs="仿宋_GB2312"/>
        </w:rPr>
      </w:pPr>
      <w:r>
        <w:rPr>
          <w:rFonts w:hint="eastAsia" w:ascii="宋体" w:hAnsi="宋体" w:eastAsia="黑体"/>
        </w:rPr>
        <w:t>第七十二条</w:t>
      </w:r>
      <w:r>
        <w:rPr>
          <w:rFonts w:ascii="宋体" w:hAnsi="宋体" w:eastAsia="黑体"/>
        </w:rPr>
        <w:t xml:space="preserve">  </w:t>
      </w:r>
      <w:r>
        <w:rPr>
          <w:rFonts w:hint="eastAsia" w:ascii="宋体" w:hAnsi="宋体" w:cs="仿宋_GB2312"/>
        </w:rPr>
        <w:t>各级监察委员会应当依法对优化营商环境工作中有关公职人员依法履职、秉公用权、廉洁从政从业以及道德操守情况进行监督检查。</w:t>
      </w:r>
    </w:p>
    <w:p>
      <w:pPr>
        <w:pStyle w:val="6"/>
        <w:overflowPunct w:val="0"/>
        <w:topLinePunct/>
        <w:autoSpaceDE w:val="0"/>
        <w:autoSpaceDN w:val="0"/>
        <w:adjustRightInd w:val="0"/>
        <w:snapToGrid w:val="0"/>
        <w:spacing w:before="0" w:beforeAutospacing="0" w:after="0" w:afterAutospacing="0" w:line="560" w:lineRule="exact"/>
        <w:ind w:firstLine="614"/>
        <w:contextualSpacing/>
        <w:rPr>
          <w:rFonts w:ascii="宋体" w:hAnsi="宋体"/>
          <w:bCs/>
          <w:sz w:val="32"/>
          <w:shd w:val="clear" w:color="FFFFFF" w:fill="D9D9D9"/>
        </w:rPr>
      </w:pPr>
      <w:r>
        <w:rPr>
          <w:rFonts w:hint="eastAsia" w:ascii="宋体" w:hAnsi="宋体"/>
          <w:bCs/>
          <w:sz w:val="32"/>
        </w:rPr>
        <w:t>各级人民政府和有关部门及其工作人员在优化营商环境工作中，因缺乏经验、先行先试出现失误错误，但是符合下列条件的</w:t>
      </w:r>
      <w:r>
        <w:rPr>
          <w:rFonts w:hint="eastAsia" w:ascii="宋体" w:hAnsi="宋体" w:cs="黑体"/>
          <w:bCs/>
          <w:sz w:val="32"/>
        </w:rPr>
        <w:t>，</w:t>
      </w:r>
      <w:r>
        <w:rPr>
          <w:rFonts w:hint="eastAsia" w:ascii="宋体" w:hAnsi="宋体"/>
          <w:bCs/>
          <w:sz w:val="32"/>
        </w:rPr>
        <w:t>按照有关规定从轻、减轻或者免予追责：</w:t>
      </w:r>
    </w:p>
    <w:p>
      <w:pPr>
        <w:pStyle w:val="6"/>
        <w:overflowPunct w:val="0"/>
        <w:topLinePunct/>
        <w:autoSpaceDE w:val="0"/>
        <w:autoSpaceDN w:val="0"/>
        <w:adjustRightInd w:val="0"/>
        <w:snapToGrid w:val="0"/>
        <w:spacing w:before="0" w:beforeAutospacing="0" w:after="0" w:afterAutospacing="0" w:line="560" w:lineRule="exact"/>
        <w:ind w:firstLine="614"/>
        <w:contextualSpacing/>
        <w:rPr>
          <w:rFonts w:ascii="宋体" w:hAnsi="宋体"/>
          <w:bCs/>
          <w:sz w:val="32"/>
        </w:rPr>
      </w:pPr>
      <w:r>
        <w:rPr>
          <w:rFonts w:hint="eastAsia" w:ascii="宋体" w:hAnsi="宋体"/>
          <w:bCs/>
          <w:sz w:val="32"/>
        </w:rPr>
        <w:t>（一）符合国家和省确定的改革方向的；</w:t>
      </w:r>
    </w:p>
    <w:p>
      <w:pPr>
        <w:pStyle w:val="6"/>
        <w:overflowPunct w:val="0"/>
        <w:topLinePunct/>
        <w:autoSpaceDE w:val="0"/>
        <w:autoSpaceDN w:val="0"/>
        <w:adjustRightInd w:val="0"/>
        <w:snapToGrid w:val="0"/>
        <w:spacing w:before="0" w:beforeAutospacing="0" w:after="0" w:afterAutospacing="0" w:line="560" w:lineRule="exact"/>
        <w:ind w:firstLine="614"/>
        <w:contextualSpacing/>
        <w:rPr>
          <w:rFonts w:ascii="宋体" w:hAnsi="宋体"/>
          <w:bCs/>
          <w:sz w:val="32"/>
        </w:rPr>
      </w:pPr>
      <w:r>
        <w:rPr>
          <w:rFonts w:hint="eastAsia" w:ascii="宋体" w:hAnsi="宋体"/>
          <w:bCs/>
          <w:sz w:val="32"/>
        </w:rPr>
        <w:t>（二）未违反法律、法规禁止性规定的；</w:t>
      </w:r>
    </w:p>
    <w:p>
      <w:pPr>
        <w:pStyle w:val="6"/>
        <w:overflowPunct w:val="0"/>
        <w:topLinePunct/>
        <w:autoSpaceDE w:val="0"/>
        <w:autoSpaceDN w:val="0"/>
        <w:adjustRightInd w:val="0"/>
        <w:snapToGrid w:val="0"/>
        <w:spacing w:before="0" w:beforeAutospacing="0" w:after="0" w:afterAutospacing="0" w:line="560" w:lineRule="exact"/>
        <w:ind w:firstLine="614"/>
        <w:contextualSpacing/>
        <w:rPr>
          <w:rFonts w:ascii="宋体" w:hAnsi="宋体"/>
          <w:bCs/>
          <w:sz w:val="32"/>
        </w:rPr>
      </w:pPr>
      <w:r>
        <w:rPr>
          <w:rFonts w:hint="eastAsia" w:ascii="宋体" w:hAnsi="宋体"/>
          <w:bCs/>
          <w:sz w:val="32"/>
        </w:rPr>
        <w:t>（三）决策程序符合法律、法规规定的；</w:t>
      </w:r>
    </w:p>
    <w:p>
      <w:pPr>
        <w:pStyle w:val="6"/>
        <w:overflowPunct w:val="0"/>
        <w:topLinePunct/>
        <w:autoSpaceDE w:val="0"/>
        <w:autoSpaceDN w:val="0"/>
        <w:adjustRightInd w:val="0"/>
        <w:snapToGrid w:val="0"/>
        <w:spacing w:before="0" w:beforeAutospacing="0" w:after="0" w:afterAutospacing="0" w:line="560" w:lineRule="exact"/>
        <w:ind w:firstLine="614"/>
        <w:contextualSpacing/>
        <w:rPr>
          <w:rFonts w:ascii="宋体" w:hAnsi="宋体"/>
          <w:bCs/>
          <w:sz w:val="32"/>
        </w:rPr>
      </w:pPr>
      <w:r>
        <w:rPr>
          <w:rFonts w:hint="eastAsia" w:ascii="宋体" w:hAnsi="宋体"/>
          <w:bCs/>
          <w:sz w:val="32"/>
        </w:rPr>
        <w:t>（四）勤勉尽责、未牟取私利的；</w:t>
      </w:r>
    </w:p>
    <w:p>
      <w:pPr>
        <w:pStyle w:val="6"/>
        <w:overflowPunct w:val="0"/>
        <w:topLinePunct/>
        <w:autoSpaceDE w:val="0"/>
        <w:autoSpaceDN w:val="0"/>
        <w:adjustRightInd w:val="0"/>
        <w:snapToGrid w:val="0"/>
        <w:spacing w:before="0" w:beforeAutospacing="0" w:after="0" w:afterAutospacing="0" w:line="560" w:lineRule="exact"/>
        <w:ind w:firstLine="614"/>
        <w:contextualSpacing/>
        <w:rPr>
          <w:rFonts w:ascii="宋体" w:hAnsi="宋体"/>
          <w:bCs/>
          <w:sz w:val="32"/>
        </w:rPr>
      </w:pPr>
      <w:r>
        <w:rPr>
          <w:rFonts w:hint="eastAsia" w:ascii="宋体" w:hAnsi="宋体"/>
          <w:bCs/>
          <w:sz w:val="32"/>
        </w:rPr>
        <w:t>（五）主动挽回损失、消除不良影响或者有效阻止危害结果发生的。</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eastAsia="黑体" w:cs="黑体"/>
        </w:rPr>
        <w:t>第七十三条</w:t>
      </w:r>
      <w:r>
        <w:rPr>
          <w:rFonts w:hint="eastAsia" w:ascii="宋体" w:hAnsi="宋体" w:eastAsia="黑体"/>
        </w:rPr>
        <w:t xml:space="preserve">  </w:t>
      </w:r>
      <w:r>
        <w:rPr>
          <w:rFonts w:hint="eastAsia" w:ascii="宋体" w:hAnsi="宋体" w:cs="仿宋_GB2312"/>
        </w:rPr>
        <w:t>各级人民政府和有关部门及其工作人员</w:t>
      </w:r>
      <w:r>
        <w:rPr>
          <w:rFonts w:hint="eastAsia" w:ascii="宋体" w:hAnsi="宋体" w:cs="仿宋_GB2312"/>
          <w:color w:val="000000"/>
        </w:rPr>
        <w:t>不履行优化营商环境工作职责，有下列情形之一的，由法律、法规规定的相关主管部门责令改正；情节严重的，对负有直接责任的主管人员和其他直接责任人员依法给予处分；构成犯罪的，依法追究刑事责任：</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（一）违反规定不履行、不完全履行、迟延履行向市场主体依法作出的政策承诺以及依法订立的各类合同的；</w:t>
      </w:r>
      <w:r>
        <w:rPr>
          <w:rFonts w:ascii="宋体" w:hAnsi="宋体" w:cs="仿宋_GB2312"/>
          <w:color w:val="000000"/>
        </w:rPr>
        <w:t xml:space="preserve"> </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（二）无正当理由拖欠市场主体的货物、工程、服务等账款，或者变相延长付款期限的；</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（三）违反规定在清单之外向市场主体收取行政事业性收费、政府性基金、涉企保证金的；</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（四）违反规定要求市场主体重复提交年度报告的；</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（五）违法增设政务服务事项办理条件和环节，延长办事时限的；</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（六）违反规定向市场主体索要证明材料的；</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（七）违法设定中介服务事项，为市场主体指定或者变相指定中介服务机构，将应当由政府承担的中介服务费用转嫁市场主体承担的；</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（八）不按照规定制定年度执法检查计划、不执行年度执法检查计划或者超出年度执法检查计划实施行政检查的；</w:t>
      </w:r>
    </w:p>
    <w:p>
      <w:pPr>
        <w:pStyle w:val="2"/>
        <w:adjustRightInd w:val="0"/>
        <w:snapToGrid w:val="0"/>
        <w:spacing w:line="560" w:lineRule="exact"/>
        <w:ind w:firstLine="640" w:firstLineChars="200"/>
        <w:rPr>
          <w:rFonts w:ascii="宋体" w:hAnsi="宋体" w:eastAsia="仿宋_GB2312" w:cs="仿宋_GB2312"/>
          <w:color w:val="000000"/>
          <w:szCs w:val="32"/>
        </w:rPr>
      </w:pPr>
      <w:r>
        <w:rPr>
          <w:rFonts w:hint="eastAsia" w:ascii="宋体" w:hAnsi="宋体" w:eastAsia="仿宋_GB2312" w:cs="仿宋_GB2312"/>
          <w:color w:val="000000"/>
          <w:szCs w:val="32"/>
        </w:rPr>
        <w:t>（九）实施现场检查不执行行政检查单制度，擅自改变检查内容、检查方式、检查标准的；</w:t>
      </w:r>
    </w:p>
    <w:p>
      <w:pPr>
        <w:pStyle w:val="2"/>
        <w:adjustRightInd w:val="0"/>
        <w:snapToGrid w:val="0"/>
        <w:spacing w:line="560" w:lineRule="exact"/>
        <w:ind w:firstLine="640" w:firstLineChars="200"/>
        <w:rPr>
          <w:rFonts w:ascii="宋体" w:hAnsi="宋体" w:eastAsia="仿宋_GB2312" w:cs="仿宋_GB2312"/>
          <w:color w:val="000000"/>
          <w:szCs w:val="32"/>
        </w:rPr>
      </w:pPr>
      <w:r>
        <w:rPr>
          <w:rFonts w:hint="eastAsia" w:ascii="宋体" w:hAnsi="宋体" w:eastAsia="仿宋_GB2312" w:cs="仿宋_GB2312"/>
          <w:color w:val="000000"/>
          <w:szCs w:val="32"/>
        </w:rPr>
        <w:t>（十）违反规定突破行政处罚裁量基准实施行政处罚的；</w:t>
      </w:r>
    </w:p>
    <w:p>
      <w:pPr>
        <w:pStyle w:val="2"/>
        <w:adjustRightInd w:val="0"/>
        <w:snapToGrid w:val="0"/>
        <w:spacing w:line="560" w:lineRule="exact"/>
        <w:ind w:firstLine="640" w:firstLineChars="200"/>
        <w:rPr>
          <w:rFonts w:ascii="宋体" w:hAnsi="宋体" w:eastAsia="仿宋_GB2312" w:cs="仿宋_GB2312"/>
          <w:color w:val="000000"/>
          <w:szCs w:val="32"/>
        </w:rPr>
      </w:pPr>
      <w:r>
        <w:rPr>
          <w:rFonts w:hint="eastAsia" w:ascii="宋体" w:hAnsi="宋体" w:eastAsia="仿宋_GB2312" w:cs="仿宋_GB2312"/>
          <w:color w:val="000000"/>
          <w:szCs w:val="32"/>
        </w:rPr>
        <w:t>（十一）违反规定</w:t>
      </w:r>
      <w:r>
        <w:rPr>
          <w:rFonts w:ascii="宋体" w:hAnsi="宋体" w:eastAsia="仿宋_GB2312" w:cs="仿宋_GB2312"/>
          <w:color w:val="000000"/>
          <w:szCs w:val="32"/>
        </w:rPr>
        <w:t>对采用非强制手段可以达到行政管理目的的</w:t>
      </w:r>
      <w:r>
        <w:rPr>
          <w:rFonts w:hint="eastAsia" w:ascii="宋体" w:hAnsi="宋体" w:eastAsia="仿宋_GB2312" w:cs="仿宋_GB2312"/>
          <w:color w:val="000000"/>
          <w:szCs w:val="32"/>
        </w:rPr>
        <w:t>行为</w:t>
      </w:r>
      <w:r>
        <w:rPr>
          <w:rFonts w:ascii="宋体" w:hAnsi="宋体" w:eastAsia="仿宋_GB2312" w:cs="仿宋_GB2312"/>
          <w:color w:val="000000"/>
          <w:szCs w:val="32"/>
        </w:rPr>
        <w:t>实施行政强制</w:t>
      </w:r>
      <w:r>
        <w:rPr>
          <w:rFonts w:hint="eastAsia" w:ascii="宋体" w:hAnsi="宋体" w:eastAsia="仿宋_GB2312" w:cs="仿宋_GB2312"/>
          <w:color w:val="000000"/>
          <w:szCs w:val="32"/>
        </w:rPr>
        <w:t>的；</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（十二）违反规定不受理或者推诿、敷衍、拖延办理有关营商环境投诉举报的；</w:t>
      </w:r>
    </w:p>
    <w:p>
      <w:pPr>
        <w:shd w:val="clear" w:color="auto" w:fill="FFFFFF"/>
        <w:adjustRightInd w:val="0"/>
        <w:snapToGrid w:val="0"/>
        <w:spacing w:line="560" w:lineRule="exact"/>
        <w:ind w:firstLine="640" w:firstLineChars="200"/>
        <w:rPr>
          <w:rFonts w:ascii="宋体" w:hAnsi="宋体" w:cs="仿宋_GB2312"/>
          <w:color w:val="000000"/>
        </w:rPr>
      </w:pPr>
      <w:r>
        <w:rPr>
          <w:rFonts w:hint="eastAsia" w:ascii="宋体" w:hAnsi="宋体" w:cs="仿宋_GB2312"/>
          <w:color w:val="000000"/>
        </w:rPr>
        <w:t>（十三）侵害市场主体利益、损害营商环境的其他情形。</w:t>
      </w:r>
    </w:p>
    <w:p>
      <w:pPr>
        <w:overflowPunct w:val="0"/>
        <w:autoSpaceDE w:val="0"/>
        <w:autoSpaceDN w:val="0"/>
        <w:adjustRightInd w:val="0"/>
        <w:snapToGrid w:val="0"/>
        <w:spacing w:line="560" w:lineRule="exact"/>
        <w:ind w:firstLine="640" w:firstLineChars="200"/>
        <w:rPr>
          <w:rFonts w:ascii="宋体" w:hAnsi="宋体" w:eastAsia="黑体" w:cs="黑体"/>
        </w:rPr>
      </w:pPr>
    </w:p>
    <w:p>
      <w:pPr>
        <w:overflowPunct w:val="0"/>
        <w:autoSpaceDE w:val="0"/>
        <w:autoSpaceDN w:val="0"/>
        <w:adjustRightInd w:val="0"/>
        <w:snapToGrid w:val="0"/>
        <w:spacing w:line="560" w:lineRule="exact"/>
        <w:jc w:val="center"/>
        <w:rPr>
          <w:rFonts w:ascii="宋体" w:hAnsi="宋体" w:eastAsia="黑体" w:cs="黑体"/>
        </w:rPr>
      </w:pPr>
      <w:r>
        <w:rPr>
          <w:rFonts w:hint="eastAsia" w:ascii="宋体" w:hAnsi="宋体" w:eastAsia="黑体" w:cs="黑体"/>
        </w:rPr>
        <w:t>第七章  附则</w:t>
      </w:r>
      <w:bookmarkStart w:id="0" w:name="_GoBack"/>
      <w:bookmarkEnd w:id="0"/>
    </w:p>
    <w:p>
      <w:pPr>
        <w:pStyle w:val="2"/>
        <w:overflowPunct w:val="0"/>
        <w:autoSpaceDE w:val="0"/>
        <w:autoSpaceDN w:val="0"/>
        <w:adjustRightInd w:val="0"/>
        <w:snapToGrid w:val="0"/>
        <w:spacing w:line="560" w:lineRule="exact"/>
        <w:ind w:firstLine="640" w:firstLineChars="200"/>
        <w:rPr>
          <w:rFonts w:ascii="宋体" w:hAnsi="宋体"/>
        </w:rPr>
      </w:pPr>
    </w:p>
    <w:p>
      <w:pPr>
        <w:shd w:val="clear" w:color="auto" w:fill="FFFFFF"/>
        <w:overflowPunct w:val="0"/>
        <w:autoSpaceDE w:val="0"/>
        <w:adjustRightInd w:val="0"/>
        <w:snapToGrid w:val="0"/>
        <w:spacing w:line="560" w:lineRule="exact"/>
        <w:ind w:firstLine="640" w:firstLineChars="200"/>
        <w:rPr>
          <w:rFonts w:ascii="宋体" w:hAnsi="宋体" w:cs="仿宋_GB2312"/>
        </w:rPr>
      </w:pPr>
      <w:r>
        <w:rPr>
          <w:rFonts w:hint="eastAsia" w:ascii="宋体" w:hAnsi="宋体" w:eastAsia="黑体" w:cs="黑体"/>
        </w:rPr>
        <w:t xml:space="preserve">第七十四条 </w:t>
      </w:r>
      <w:r>
        <w:rPr>
          <w:rFonts w:hint="eastAsia" w:ascii="宋体" w:hAnsi="宋体" w:cs="仿宋_GB2312"/>
        </w:rPr>
        <w:t xml:space="preserve"> 本条例自</w:t>
      </w:r>
      <w:r>
        <w:rPr>
          <w:rFonts w:hint="eastAsia" w:ascii="仿宋_GB2312" w:hAnsi="黑体" w:cs="仿宋_GB2312"/>
        </w:rPr>
        <w:t>2023年3月1日</w:t>
      </w:r>
      <w:r>
        <w:rPr>
          <w:rFonts w:hint="eastAsia" w:ascii="宋体" w:hAnsi="宋体" w:cs="仿宋_GB2312"/>
        </w:rPr>
        <w:t>起施行。</w:t>
      </w:r>
    </w:p>
    <w:p>
      <w:pPr>
        <w:pStyle w:val="5"/>
        <w:rPr>
          <w:rFonts w:ascii="宋体" w:hAnsi="宋体"/>
        </w:rPr>
      </w:pPr>
    </w:p>
    <w:p/>
    <w:p>
      <w:pPr>
        <w:rPr>
          <w:rFonts w:ascii="宋体" w:hAnsi="宋体"/>
        </w:rPr>
      </w:pPr>
    </w:p>
    <w:p>
      <w:pPr>
        <w:pStyle w:val="5"/>
        <w:rPr>
          <w:rFonts w:ascii="宋体" w:hAnsi="宋体"/>
        </w:rPr>
      </w:pPr>
    </w:p>
    <w:p>
      <w:pPr>
        <w:rPr>
          <w:rFonts w:ascii="宋体" w:hAnsi="宋体"/>
        </w:rPr>
      </w:pPr>
    </w:p>
    <w:p>
      <w:pPr>
        <w:pStyle w:val="2"/>
        <w:rPr>
          <w:rFonts w:ascii="宋体" w:hAnsi="宋体" w:eastAsia="仿宋_GB2312"/>
          <w:szCs w:val="32"/>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ESI黑体-GB2312">
    <w:panose1 w:val="02000500000000000000"/>
    <w:charset w:val="86"/>
    <w:family w:val="auto"/>
    <w:pitch w:val="default"/>
    <w:sig w:usb0="800002BF" w:usb1="184F6CF8" w:usb2="00000012"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7FAADB"/>
    <w:rsid w:val="5F7FA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w:basedOn w:val="1"/>
    <w:unhideWhenUsed/>
    <w:qFormat/>
    <w:uiPriority w:val="99"/>
    <w:rPr>
      <w:rFonts w:eastAsia="宋体"/>
      <w:szCs w:val="20"/>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nhideWhenUsed/>
    <w:qFormat/>
    <w:uiPriority w:val="39"/>
  </w:style>
  <w:style w:type="paragraph" w:styleId="6">
    <w:name w:val="Normal (Web)"/>
    <w:basedOn w:val="1"/>
    <w:qFormat/>
    <w:uiPriority w:val="99"/>
    <w:pPr>
      <w:spacing w:before="100" w:beforeAutospacing="1" w:after="100" w:afterAutospacing="1"/>
    </w:pPr>
    <w:rPr>
      <w:sz w:val="24"/>
    </w:rPr>
  </w:style>
  <w:style w:type="paragraph" w:styleId="7">
    <w:name w:val="Body Text First Indent 2"/>
    <w:basedOn w:val="1"/>
    <w:next w:val="1"/>
    <w:qFormat/>
    <w:uiPriority w:val="0"/>
    <w:pPr>
      <w:spacing w:after="120"/>
      <w:ind w:left="420" w:leftChars="200" w:firstLine="210"/>
    </w:pPr>
    <w:rPr>
      <w:rFonts w:eastAsia="宋体"/>
      <w:kern w:val="2"/>
      <w:szCs w:val="24"/>
    </w:rPr>
  </w:style>
  <w:style w:type="paragraph" w:customStyle="1" w:styleId="10">
    <w:name w:val="p0"/>
    <w:basedOn w:val="1"/>
    <w:qFormat/>
    <w:uiPriority w:val="99"/>
    <w:pPr>
      <w:spacing w:line="360" w:lineRule="auto"/>
      <w:ind w:firstLine="420"/>
    </w:pPr>
    <w:rPr>
      <w:rFonts w:ascii="Calibri" w:hAnsi="Calibri" w:cs="宋体"/>
      <w:szCs w:val="21"/>
    </w:rPr>
  </w:style>
  <w:style w:type="paragraph" w:customStyle="1" w:styleId="11">
    <w:name w:val="列出段落1"/>
    <w:basedOn w:val="12"/>
    <w:qFormat/>
    <w:uiPriority w:val="0"/>
    <w:pPr>
      <w:ind w:firstLine="420" w:firstLineChars="200"/>
    </w:pPr>
  </w:style>
  <w:style w:type="paragraph" w:customStyle="1" w:styleId="12">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2023-03-01T15:38:00Z</dcterms:created>
  <dc:creator>user</dc:creator>
  <cp:lastModifiedBy>user</cp:lastModifiedBy>
  <dcterms:modified xsi:type="dcterms:W3CDTF">2023-03-01T15:45:02Z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