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jc w:val="center"/>
        <w:outlineLvl w:val="0"/>
        <w:rPr>
          <w:rFonts w:ascii="宋体" w:hAnsi="宋体" w:eastAsia="宋体" w:cs="宋体"/>
          <w:bCs/>
          <w:sz w:val="44"/>
          <w:szCs w:val="44"/>
        </w:rPr>
      </w:pPr>
    </w:p>
    <w:p>
      <w:pPr>
        <w:spacing w:line="580" w:lineRule="exact"/>
        <w:jc w:val="center"/>
        <w:outlineLvl w:val="0"/>
        <w:rPr>
          <w:rFonts w:ascii="宋体" w:hAnsi="宋体" w:eastAsia="宋体" w:cs="宋体"/>
          <w:bCs/>
          <w:sz w:val="44"/>
          <w:szCs w:val="44"/>
        </w:rPr>
      </w:pPr>
    </w:p>
    <w:p>
      <w:pPr>
        <w:spacing w:line="620" w:lineRule="exact"/>
        <w:jc w:val="center"/>
        <w:outlineLvl w:val="0"/>
        <w:rPr>
          <w:rFonts w:ascii="宋体" w:hAnsi="宋体" w:eastAsia="宋体" w:cs="宋体"/>
          <w:bCs/>
          <w:sz w:val="44"/>
          <w:szCs w:val="44"/>
        </w:rPr>
      </w:pPr>
      <w:bookmarkStart w:id="0" w:name="_GoBack"/>
      <w:r>
        <w:rPr>
          <w:rFonts w:hint="eastAsia" w:ascii="宋体" w:hAnsi="宋体" w:eastAsia="宋体" w:cs="宋体"/>
          <w:bCs/>
          <w:sz w:val="44"/>
          <w:szCs w:val="44"/>
        </w:rPr>
        <w:t>山东省人民代表大会常务委员会</w:t>
      </w:r>
    </w:p>
    <w:p>
      <w:pPr>
        <w:spacing w:line="620" w:lineRule="exact"/>
        <w:jc w:val="center"/>
        <w:outlineLvl w:val="0"/>
        <w:rPr>
          <w:rFonts w:ascii="宋体" w:hAnsi="宋体" w:eastAsia="宋体" w:cs="宋体"/>
          <w:bCs/>
          <w:sz w:val="44"/>
          <w:szCs w:val="44"/>
        </w:rPr>
      </w:pPr>
      <w:r>
        <w:rPr>
          <w:rFonts w:hint="eastAsia" w:ascii="宋体" w:hAnsi="宋体" w:eastAsia="宋体" w:cs="宋体"/>
          <w:bCs/>
          <w:sz w:val="44"/>
          <w:szCs w:val="44"/>
        </w:rPr>
        <w:t>关于山东省契税具体适用税率和免征或者</w:t>
      </w:r>
    </w:p>
    <w:p>
      <w:pPr>
        <w:spacing w:line="620" w:lineRule="exact"/>
        <w:jc w:val="center"/>
        <w:outlineLvl w:val="0"/>
        <w:rPr>
          <w:rFonts w:ascii="宋体" w:hAnsi="宋体" w:eastAsia="宋体" w:cs="宋体"/>
          <w:bCs/>
          <w:sz w:val="44"/>
          <w:szCs w:val="44"/>
        </w:rPr>
      </w:pPr>
      <w:r>
        <w:rPr>
          <w:rFonts w:hint="eastAsia" w:ascii="宋体" w:hAnsi="宋体" w:eastAsia="宋体" w:cs="宋体"/>
          <w:bCs/>
          <w:sz w:val="44"/>
          <w:szCs w:val="44"/>
        </w:rPr>
        <w:t>减征办法的决定</w:t>
      </w:r>
    </w:p>
    <w:bookmarkEnd w:id="0"/>
    <w:p>
      <w:pPr>
        <w:adjustRightInd w:val="0"/>
        <w:snapToGrid w:val="0"/>
        <w:spacing w:line="620" w:lineRule="exact"/>
        <w:ind w:firstLine="480" w:firstLineChars="150"/>
        <w:jc w:val="left"/>
        <w:rPr>
          <w:rFonts w:ascii="楷体_GB2312" w:hAnsi="楷体" w:eastAsia="楷体_GB2312" w:cs="方正小标宋_GBK"/>
        </w:rPr>
      </w:pPr>
    </w:p>
    <w:p>
      <w:pPr>
        <w:adjustRightInd w:val="0"/>
        <w:snapToGrid w:val="0"/>
        <w:spacing w:line="620" w:lineRule="exact"/>
        <w:ind w:firstLine="480" w:firstLineChars="150"/>
        <w:jc w:val="left"/>
        <w:rPr>
          <w:rFonts w:ascii="楷体_GB2312" w:hAnsi="楷体" w:eastAsia="楷体_GB2312" w:cs="方正小标宋_GBK"/>
        </w:rPr>
      </w:pPr>
      <w:r>
        <w:rPr>
          <w:rFonts w:hint="eastAsia" w:ascii="楷体_GB2312" w:hAnsi="楷体" w:eastAsia="楷体_GB2312" w:cs="方正小标宋_GBK"/>
        </w:rPr>
        <w:t>（2021年5月27日山东省第十三届人民代表大会常务</w:t>
      </w:r>
    </w:p>
    <w:p>
      <w:pPr>
        <w:adjustRightInd w:val="0"/>
        <w:snapToGrid w:val="0"/>
        <w:spacing w:line="620" w:lineRule="exact"/>
        <w:ind w:firstLine="480" w:firstLineChars="150"/>
        <w:jc w:val="left"/>
        <w:rPr>
          <w:rFonts w:ascii="楷体_GB2312" w:hAnsi="楷体" w:eastAsia="楷体_GB2312" w:cs="方正小标宋_GBK"/>
        </w:rPr>
      </w:pPr>
      <w:r>
        <w:rPr>
          <w:rFonts w:hint="eastAsia" w:ascii="楷体_GB2312" w:hAnsi="楷体" w:eastAsia="楷体_GB2312" w:cs="方正小标宋_GBK"/>
        </w:rPr>
        <w:t>委员会第二十八次会议通过）</w:t>
      </w:r>
    </w:p>
    <w:p>
      <w:pPr>
        <w:spacing w:line="620" w:lineRule="exact"/>
        <w:jc w:val="center"/>
        <w:outlineLvl w:val="0"/>
        <w:rPr>
          <w:rFonts w:ascii="方正小标宋_GBK" w:hAnsi="仿宋" w:eastAsia="方正小标宋_GBK" w:cs="宋体"/>
          <w:bCs/>
          <w:sz w:val="44"/>
          <w:szCs w:val="44"/>
        </w:rPr>
      </w:pPr>
    </w:p>
    <w:p>
      <w:pPr>
        <w:widowControl/>
        <w:adjustRightInd w:val="0"/>
        <w:spacing w:line="620" w:lineRule="exact"/>
        <w:ind w:firstLine="640" w:firstLineChars="200"/>
        <w:rPr>
          <w:color w:val="000000"/>
        </w:rPr>
      </w:pPr>
      <w:r>
        <w:rPr>
          <w:rFonts w:hint="eastAsia"/>
          <w:color w:val="000000"/>
        </w:rPr>
        <w:t>根据《中华人民共和国契税法》，结合本省实际，</w:t>
      </w:r>
      <w:r>
        <w:rPr>
          <w:rFonts w:hint="eastAsia" w:ascii="仿宋_GB2312" w:hAnsi="黑体"/>
          <w:color w:val="000000"/>
        </w:rPr>
        <w:t>山东省第十三届人民代表大会常务委员会第二十八次会议</w:t>
      </w:r>
      <w:r>
        <w:rPr>
          <w:rFonts w:hint="eastAsia" w:ascii="仿宋_GB2312"/>
          <w:color w:val="000000"/>
        </w:rPr>
        <w:t>对契税具</w:t>
      </w:r>
      <w:r>
        <w:rPr>
          <w:rFonts w:hint="eastAsia"/>
          <w:color w:val="000000"/>
        </w:rPr>
        <w:t>体适用税率和免征或者减征办法作如下决定：</w:t>
      </w:r>
    </w:p>
    <w:p>
      <w:pPr>
        <w:widowControl/>
        <w:adjustRightInd w:val="0"/>
        <w:spacing w:line="620" w:lineRule="exact"/>
        <w:ind w:firstLine="640" w:firstLineChars="200"/>
        <w:rPr>
          <w:color w:val="000000"/>
        </w:rPr>
      </w:pPr>
      <w:r>
        <w:rPr>
          <w:rFonts w:hint="eastAsia" w:ascii="黑体" w:hAnsi="黑体" w:eastAsia="黑体"/>
          <w:color w:val="000000"/>
        </w:rPr>
        <w:t>一、</w:t>
      </w:r>
      <w:r>
        <w:rPr>
          <w:rFonts w:hint="eastAsia"/>
          <w:color w:val="000000"/>
        </w:rPr>
        <w:t>契税税率为</w:t>
      </w:r>
      <w:r>
        <w:rPr>
          <w:rFonts w:hint="eastAsia" w:ascii="仿宋_GB2312" w:hAnsi="仿宋_GB2312" w:cs="仿宋_GB2312"/>
          <w:color w:val="000000"/>
        </w:rPr>
        <w:t>百分之三。</w:t>
      </w:r>
    </w:p>
    <w:p>
      <w:pPr>
        <w:widowControl/>
        <w:spacing w:line="620" w:lineRule="exact"/>
        <w:ind w:firstLine="640" w:firstLineChars="200"/>
        <w:jc w:val="left"/>
        <w:rPr>
          <w:rFonts w:ascii="仿宋_GB2312" w:hAnsi="仿宋_GB2312" w:cs="仿宋_GB2312"/>
          <w:color w:val="000000"/>
        </w:rPr>
      </w:pPr>
      <w:r>
        <w:rPr>
          <w:rFonts w:hint="eastAsia" w:ascii="黑体" w:hAnsi="黑体" w:eastAsia="黑体"/>
          <w:color w:val="000000"/>
        </w:rPr>
        <w:t>二、</w:t>
      </w:r>
      <w:r>
        <w:rPr>
          <w:rFonts w:hint="eastAsia"/>
          <w:color w:val="000000"/>
        </w:rPr>
        <w:t>纳税人</w:t>
      </w:r>
      <w:r>
        <w:rPr>
          <w:rFonts w:hint="eastAsia" w:ascii="仿宋_GB2312" w:hAnsi="仿宋_GB2312" w:cs="仿宋_GB2312"/>
          <w:color w:val="000000"/>
        </w:rPr>
        <w:t>因土地、房屋被县级以上人民政府征收、征用，选择货币补偿用以重新购置土地、房屋，且成交价格不超过货币补偿的，免征契税；成交价格超过货币补偿的，对差价部分按照规定征收契税。</w:t>
      </w:r>
    </w:p>
    <w:p>
      <w:pPr>
        <w:widowControl/>
        <w:spacing w:line="620" w:lineRule="exact"/>
        <w:ind w:firstLine="640" w:firstLineChars="200"/>
        <w:jc w:val="left"/>
        <w:rPr>
          <w:rFonts w:ascii="仿宋_GB2312" w:hAnsi="仿宋_GB2312" w:cs="仿宋_GB2312"/>
          <w:color w:val="000000"/>
        </w:rPr>
      </w:pPr>
      <w:r>
        <w:rPr>
          <w:rFonts w:hint="eastAsia"/>
          <w:color w:val="000000"/>
        </w:rPr>
        <w:t>纳税人</w:t>
      </w:r>
      <w:r>
        <w:rPr>
          <w:rFonts w:hint="eastAsia" w:ascii="仿宋_GB2312" w:hAnsi="仿宋_GB2312" w:cs="仿宋_GB2312"/>
          <w:color w:val="000000"/>
        </w:rPr>
        <w:t>因土地、房屋被县级以上人民政府征收、征用，选择产权调换而重新承受土地、房屋权属，且不交纳产权调换差价的，免征契税；交纳产权调换差价的，对差价部分按照规定征收契税。</w:t>
      </w:r>
    </w:p>
    <w:p>
      <w:pPr>
        <w:widowControl/>
        <w:spacing w:line="620" w:lineRule="exact"/>
        <w:ind w:firstLine="640" w:firstLineChars="200"/>
        <w:jc w:val="left"/>
        <w:rPr>
          <w:rFonts w:ascii="仿宋_GB2312" w:hAnsi="仿宋_GB2312" w:cs="仿宋_GB2312"/>
          <w:color w:val="000000"/>
        </w:rPr>
      </w:pPr>
      <w:r>
        <w:rPr>
          <w:rFonts w:hint="eastAsia" w:ascii="黑体" w:hAnsi="黑体" w:eastAsia="黑体" w:cs="仿宋_GB2312"/>
          <w:color w:val="000000"/>
        </w:rPr>
        <w:t>三、</w:t>
      </w:r>
      <w:r>
        <w:rPr>
          <w:rFonts w:hint="eastAsia" w:ascii="仿宋_GB2312" w:hAnsi="仿宋_GB2312" w:cs="仿宋_GB2312"/>
          <w:color w:val="000000"/>
        </w:rPr>
        <w:t>纳税人因不可抗力灭失住房，重新承受住房权属的，免征契税。</w:t>
      </w:r>
    </w:p>
    <w:p>
      <w:pPr>
        <w:widowControl/>
        <w:spacing w:line="620" w:lineRule="exact"/>
        <w:ind w:firstLine="640" w:firstLineChars="200"/>
      </w:pPr>
      <w:r>
        <w:rPr>
          <w:rFonts w:hint="eastAsia" w:ascii="黑体" w:hAnsi="黑体" w:eastAsia="黑体" w:cs="仿宋_GB2312"/>
          <w:color w:val="000000"/>
        </w:rPr>
        <w:t>四、</w:t>
      </w:r>
      <w:r>
        <w:rPr>
          <w:rFonts w:hint="eastAsia" w:ascii="仿宋_GB2312" w:hAnsi="仿宋_GB2312" w:cs="仿宋_GB2312"/>
          <w:color w:val="000000"/>
        </w:rPr>
        <w:t>本决定自</w:t>
      </w:r>
      <w:r>
        <w:rPr>
          <w:rFonts w:hint="eastAsia" w:ascii="仿宋_GB2312" w:hAnsi="黑体" w:cs="仿宋_GB2312"/>
          <w:color w:val="000000"/>
        </w:rPr>
        <w:t>2021年9月1日起</w:t>
      </w:r>
      <w:r>
        <w:rPr>
          <w:rFonts w:hint="eastAsia" w:ascii="仿宋_GB2312" w:hAnsi="仿宋_GB2312" w:cs="仿宋_GB2312"/>
          <w:color w:val="000000"/>
        </w:rPr>
        <w:t>施行。</w:t>
      </w:r>
    </w:p>
    <w:p>
      <w:pPr>
        <w:overflowPunct w:val="0"/>
        <w:spacing w:line="580" w:lineRule="exact"/>
        <w:jc w:val="center"/>
        <w:rPr>
          <w:rFonts w:ascii="黑体" w:hAnsi="黑体" w:eastAsia="黑体" w:cs="方正小标宋简体"/>
          <w:color w:val="000000"/>
          <w:sz w:val="44"/>
          <w:szCs w:val="44"/>
        </w:rPr>
      </w:pPr>
    </w:p>
    <w:p/>
    <w:sectPr>
      <w:footerReference r:id="rId3" w:type="default"/>
      <w:pgSz w:w="11906" w:h="16838"/>
      <w:pgMar w:top="2154" w:right="1531" w:bottom="1814" w:left="1531" w:header="851" w:footer="1531" w:gutter="0"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320" w:leftChars="100" w:right="320" w:rightChars="100"/>
                            <w:textAlignment w:val="auto"/>
                            <w:outlineLvl w:val="9"/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320" w:leftChars="100" w:right="320" w:rightChars="100"/>
                      <w:textAlignment w:val="auto"/>
                      <w:outlineLvl w:val="9"/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45C24"/>
    <w:rsid w:val="48945C24"/>
    <w:rsid w:val="4D476F4C"/>
    <w:rsid w:val="5BEB3E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spacing w:after="12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2021-06-16T07:02:00Z</dcterms:created>
  <dc:creator>苏健 }</dc:creator>
  <cp:lastModifiedBy>苏健 }</cp:lastModifiedBy>
  <dcterms:modified xsi:type="dcterms:W3CDTF">2021-06-16T07:03:35Z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