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80" w:lineRule="exact"/>
        <w:jc w:val="center"/>
        <w:rPr>
          <w:rFonts w:ascii="方正小标宋_GBK" w:hAnsi="方正小标宋_GBK" w:eastAsia="方正小标宋_GBK" w:cs="方正小标宋_GBK"/>
          <w:color w:val="000000"/>
          <w:sz w:val="44"/>
          <w:szCs w:val="44"/>
        </w:rPr>
      </w:pPr>
    </w:p>
    <w:p>
      <w:pPr>
        <w:spacing w:line="580" w:lineRule="exact"/>
        <w:jc w:val="center"/>
        <w:rPr>
          <w:rFonts w:ascii="方正小标宋_GBK" w:hAnsi="方正小标宋_GBK" w:eastAsia="方正小标宋_GBK" w:cs="方正小标宋_GBK"/>
          <w:color w:val="000000"/>
          <w:sz w:val="44"/>
          <w:szCs w:val="44"/>
        </w:rPr>
      </w:pPr>
    </w:p>
    <w:p>
      <w:pPr>
        <w:spacing w:line="580" w:lineRule="exact"/>
        <w:jc w:val="center"/>
        <w:rPr>
          <w:rFonts w:ascii="宋体" w:hAnsi="宋体" w:eastAsia="宋体" w:cs="方正小标宋_GBK"/>
          <w:color w:val="000000"/>
          <w:sz w:val="44"/>
          <w:szCs w:val="44"/>
        </w:rPr>
      </w:pPr>
      <w:bookmarkStart w:id="0" w:name="_GoBack"/>
      <w:r>
        <w:rPr>
          <w:rFonts w:hint="eastAsia" w:ascii="宋体" w:hAnsi="宋体" w:eastAsia="宋体" w:cs="方正小标宋_GBK"/>
          <w:color w:val="000000"/>
          <w:sz w:val="44"/>
          <w:szCs w:val="44"/>
        </w:rPr>
        <w:t>山东省人民代表大会常务委员会</w:t>
      </w:r>
    </w:p>
    <w:p>
      <w:pPr>
        <w:spacing w:line="580" w:lineRule="exact"/>
        <w:jc w:val="center"/>
        <w:rPr>
          <w:rFonts w:ascii="宋体" w:hAnsi="宋体" w:eastAsia="宋体" w:cs="方正小标宋_GBK"/>
          <w:color w:val="000000"/>
          <w:sz w:val="44"/>
          <w:szCs w:val="44"/>
        </w:rPr>
      </w:pPr>
      <w:r>
        <w:rPr>
          <w:rFonts w:hint="eastAsia" w:ascii="宋体" w:hAnsi="宋体" w:eastAsia="宋体" w:cs="方正小标宋_GBK"/>
          <w:color w:val="000000"/>
          <w:sz w:val="44"/>
          <w:szCs w:val="44"/>
        </w:rPr>
        <w:t>关于山东省耕地占用税适用税额的决定</w:t>
      </w:r>
    </w:p>
    <w:bookmarkEnd w:id="0"/>
    <w:p>
      <w:pPr>
        <w:spacing w:line="580" w:lineRule="exact"/>
        <w:jc w:val="center"/>
        <w:rPr>
          <w:rFonts w:ascii="楷体_GB2312" w:eastAsia="楷体_GB2312"/>
          <w:color w:val="000000"/>
        </w:rPr>
      </w:pPr>
    </w:p>
    <w:p>
      <w:pPr>
        <w:spacing w:line="580" w:lineRule="exact"/>
        <w:rPr>
          <w:rFonts w:ascii="楷体_GB2312" w:eastAsia="楷体_GB2312"/>
          <w:color w:val="000000"/>
        </w:rPr>
      </w:pPr>
      <w:r>
        <w:rPr>
          <w:rFonts w:hint="eastAsia" w:ascii="楷体_GB2312" w:eastAsia="楷体_GB2312"/>
          <w:color w:val="000000"/>
        </w:rPr>
        <w:t xml:space="preserve">   （2019年7月26日山东省第十三届人民代表大会常务</w:t>
      </w:r>
    </w:p>
    <w:p>
      <w:pPr>
        <w:spacing w:line="580" w:lineRule="exact"/>
        <w:rPr>
          <w:rFonts w:ascii="楷体_GB2312" w:hAnsi="楷体_GB2312" w:eastAsia="楷体_GB2312" w:cs="楷体_GB2312"/>
          <w:color w:val="000000"/>
          <w:sz w:val="44"/>
          <w:szCs w:val="44"/>
        </w:rPr>
      </w:pPr>
      <w:r>
        <w:rPr>
          <w:rFonts w:hint="eastAsia" w:ascii="楷体_GB2312" w:eastAsia="楷体_GB2312"/>
          <w:color w:val="000000"/>
        </w:rPr>
        <w:t xml:space="preserve">    委员会第十三次会议通过）</w:t>
      </w:r>
    </w:p>
    <w:p>
      <w:pPr>
        <w:spacing w:line="580" w:lineRule="exact"/>
        <w:rPr>
          <w:rFonts w:ascii="仿宋_GB2312"/>
        </w:rPr>
      </w:pPr>
    </w:p>
    <w:p>
      <w:pPr>
        <w:spacing w:line="580" w:lineRule="exact"/>
        <w:ind w:firstLine="640" w:firstLineChars="200"/>
        <w:rPr>
          <w:rFonts w:ascii="仿宋_GB2312"/>
        </w:rPr>
      </w:pPr>
      <w:r>
        <w:rPr>
          <w:rFonts w:hint="eastAsia" w:ascii="仿宋_GB2312"/>
        </w:rPr>
        <w:t>为了合理利用土地资源，加强土地管理，保护耕地，根据《中华人民共和国耕地占用税法》，结合本省实际，山东省第十三届人民代表大会常务委员会第十三次会议对耕地占用税适用税额作如下决定：</w:t>
      </w:r>
    </w:p>
    <w:p>
      <w:pPr>
        <w:spacing w:line="580" w:lineRule="exact"/>
        <w:ind w:firstLine="640" w:firstLineChars="200"/>
        <w:rPr>
          <w:rFonts w:ascii="微软雅黑" w:hAnsi="微软雅黑" w:cs="宋体"/>
        </w:rPr>
      </w:pPr>
      <w:r>
        <w:rPr>
          <w:rFonts w:hint="eastAsia" w:ascii="黑体" w:hAnsi="黑体" w:eastAsia="黑体"/>
        </w:rPr>
        <w:t>一、</w:t>
      </w:r>
      <w:r>
        <w:rPr>
          <w:rFonts w:hint="eastAsia" w:ascii="仿宋_GB2312"/>
        </w:rPr>
        <w:t>耕地占用税的适用税额按照《山东省各县（市、区）耕地占用税适用税额表》执行</w:t>
      </w:r>
      <w:r>
        <w:rPr>
          <w:rFonts w:hint="eastAsia" w:ascii="微软雅黑" w:hAnsi="微软雅黑" w:cs="宋体"/>
        </w:rPr>
        <w:t>。</w:t>
      </w:r>
    </w:p>
    <w:p>
      <w:pPr>
        <w:widowControl/>
        <w:spacing w:line="580" w:lineRule="exact"/>
        <w:ind w:firstLine="640" w:firstLineChars="200"/>
        <w:jc w:val="left"/>
        <w:rPr>
          <w:rFonts w:ascii="微软雅黑" w:hAnsi="微软雅黑" w:cs="宋体"/>
        </w:rPr>
      </w:pPr>
      <w:r>
        <w:rPr>
          <w:rFonts w:hint="eastAsia" w:ascii="微软雅黑" w:hAnsi="微软雅黑" w:cs="宋体"/>
        </w:rPr>
        <w:t>人均耕地低于零点五亩的县（市、区），耕地占用税的适用税额依照上述规定执行。</w:t>
      </w:r>
    </w:p>
    <w:p>
      <w:pPr>
        <w:widowControl/>
        <w:spacing w:line="580" w:lineRule="exact"/>
        <w:ind w:firstLine="640" w:firstLineChars="200"/>
        <w:jc w:val="left"/>
        <w:rPr>
          <w:rFonts w:ascii="仿宋_GB2312"/>
        </w:rPr>
      </w:pPr>
      <w:r>
        <w:rPr>
          <w:rFonts w:hint="eastAsia" w:ascii="黑体" w:hAnsi="黑体" w:eastAsia="黑体"/>
        </w:rPr>
        <w:t>二、</w:t>
      </w:r>
      <w:r>
        <w:rPr>
          <w:rFonts w:hint="eastAsia" w:ascii="微软雅黑" w:hAnsi="微软雅黑" w:cs="宋体"/>
        </w:rPr>
        <w:t>占用园地、林地、草地、农田水利用地、养殖水面、渔业水域滩涂以及其他农用地建设建筑物、构筑物或者从事非农业建设的，耕地占用税的适用税</w:t>
      </w:r>
      <w:r>
        <w:rPr>
          <w:rFonts w:hint="eastAsia" w:ascii="仿宋_GB2312"/>
        </w:rPr>
        <w:t>额按照《山东省各县（市、区）耕地占用税适用税额表》执行。</w:t>
      </w:r>
    </w:p>
    <w:p>
      <w:pPr>
        <w:widowControl/>
        <w:spacing w:line="580" w:lineRule="exact"/>
        <w:ind w:firstLine="640" w:firstLineChars="200"/>
        <w:jc w:val="left"/>
        <w:rPr>
          <w:rFonts w:ascii="仿宋_GB2312"/>
        </w:rPr>
      </w:pPr>
      <w:r>
        <w:rPr>
          <w:rFonts w:hint="eastAsia" w:ascii="黑体" w:hAnsi="黑体" w:eastAsia="黑体"/>
        </w:rPr>
        <w:t>三、</w:t>
      </w:r>
      <w:r>
        <w:rPr>
          <w:rFonts w:hint="eastAsia" w:ascii="仿宋_GB2312"/>
        </w:rPr>
        <w:t>本决定自2019年9月1日起施行。</w:t>
      </w:r>
    </w:p>
    <w:p/>
    <w:sectPr>
      <w:pgSz w:w="11906" w:h="16838"/>
      <w:pgMar w:top="2154" w:right="1531" w:bottom="1814" w:left="1531" w:header="851" w:footer="1531"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74411A"/>
    <w:rsid w:val="4B74411A"/>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2019-08-28T02:50:00Z</dcterms:created>
  <dc:creator>苏健</dc:creator>
  <cp:lastModifiedBy>苏健</cp:lastModifiedBy>
  <dcterms:modified xsi:type="dcterms:W3CDTF">2019-08-28T02:52:25Z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