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20" w:lineRule="exact"/>
        <w:jc w:val="center"/>
        <w:rPr>
          <w:rFonts w:ascii="方正小标宋_GBK" w:hAnsi="宋体" w:eastAsia="方正小标宋_GBK" w:cs="宋体"/>
          <w:bCs/>
          <w:sz w:val="44"/>
          <w:szCs w:val="44"/>
        </w:rPr>
      </w:pPr>
    </w:p>
    <w:p>
      <w:pPr>
        <w:pStyle w:val="2"/>
      </w:pPr>
    </w:p>
    <w:p>
      <w:pPr>
        <w:spacing w:line="620" w:lineRule="exact"/>
        <w:jc w:val="center"/>
        <w:rPr>
          <w:rFonts w:ascii="宋体" w:hAnsi="宋体" w:eastAsia="宋体"/>
        </w:rPr>
      </w:pPr>
      <w:r>
        <w:rPr>
          <w:rFonts w:hint="eastAsia" w:ascii="宋体" w:hAnsi="宋体" w:eastAsia="宋体" w:cs="宋体"/>
          <w:bCs/>
          <w:sz w:val="44"/>
          <w:szCs w:val="44"/>
        </w:rPr>
        <w:t>山东省人民代表大会常务委员会</w:t>
      </w:r>
    </w:p>
    <w:p>
      <w:pPr>
        <w:widowControl/>
        <w:shd w:val="clear" w:color="auto" w:fill="FFFFFF"/>
        <w:spacing w:line="620" w:lineRule="exact"/>
        <w:jc w:val="center"/>
      </w:pPr>
      <w:r>
        <w:rPr>
          <w:rFonts w:hint="eastAsia" w:ascii="宋体" w:hAnsi="宋体" w:eastAsia="宋体" w:cs="宋体"/>
          <w:bCs/>
          <w:sz w:val="44"/>
          <w:szCs w:val="44"/>
        </w:rPr>
        <w:t>关于废止《山东省信访条例》的决定</w:t>
      </w:r>
    </w:p>
    <w:p>
      <w:pPr>
        <w:spacing w:line="620" w:lineRule="exact"/>
        <w:jc w:val="center"/>
        <w:rPr>
          <w:rFonts w:hint="eastAsia" w:ascii="楷体_GB2312" w:hAnsi="楷体" w:eastAsia="楷体_GB231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20" w:lineRule="exact"/>
        <w:ind w:left="640" w:leftChars="200" w:right="640" w:rightChars="200"/>
        <w:jc w:val="both"/>
        <w:textAlignment w:val="auto"/>
        <w:rPr>
          <w:rFonts w:ascii="楷体_GB2312" w:eastAsia="楷体_GB2312"/>
        </w:rPr>
      </w:pPr>
      <w:bookmarkStart w:id="0" w:name="_GoBack"/>
      <w:r>
        <w:rPr>
          <w:rFonts w:hint="eastAsia" w:ascii="楷体_GB2312" w:hAnsi="楷体" w:eastAsia="楷体_GB2312"/>
        </w:rPr>
        <w:t>（2022年12月21日</w:t>
      </w:r>
      <w:r>
        <w:rPr>
          <w:rFonts w:hint="eastAsia" w:ascii="楷体_GB2312" w:eastAsia="楷体_GB2312"/>
        </w:rPr>
        <w:t>山东省第十三届人民代表大会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20" w:lineRule="exact"/>
        <w:ind w:left="640" w:leftChars="200" w:right="640" w:rightChars="200"/>
        <w:jc w:val="both"/>
        <w:textAlignment w:val="auto"/>
        <w:rPr>
          <w:rFonts w:ascii="楷体_GB2312" w:eastAsia="楷体_GB2312"/>
        </w:rPr>
      </w:pPr>
      <w:r>
        <w:rPr>
          <w:rFonts w:hint="eastAsia" w:ascii="楷体_GB2312" w:eastAsia="楷体_GB2312"/>
        </w:rPr>
        <w:t>常务委员会第三十九次会议通过</w:t>
      </w:r>
      <w:r>
        <w:rPr>
          <w:rFonts w:hint="eastAsia" w:ascii="楷体_GB2312" w:hAnsi="楷体" w:eastAsia="楷体_GB2312"/>
        </w:rPr>
        <w:t>）</w:t>
      </w:r>
    </w:p>
    <w:bookmarkEnd w:id="0"/>
    <w:p>
      <w:pPr>
        <w:widowControl/>
        <w:shd w:val="clear" w:color="auto" w:fill="FFFFFF"/>
        <w:spacing w:line="620" w:lineRule="exact"/>
        <w:rPr>
          <w:rFonts w:ascii="仿宋_GB2312" w:hAnsi="宋体" w:cs="宋体"/>
        </w:rPr>
      </w:pPr>
    </w:p>
    <w:p>
      <w:pPr>
        <w:widowControl/>
        <w:shd w:val="clear" w:color="auto" w:fill="FFFFFF"/>
        <w:spacing w:line="620" w:lineRule="exact"/>
        <w:ind w:firstLine="675"/>
        <w:rPr>
          <w:rFonts w:ascii="仿宋_GB2312" w:hAnsi="黑体" w:cs="宋体"/>
        </w:rPr>
      </w:pPr>
      <w:r>
        <w:rPr>
          <w:rFonts w:hint="eastAsia" w:ascii="仿宋_GB2312" w:hAnsi="黑体" w:cs="宋体"/>
        </w:rPr>
        <w:t>山东省第十三届人民代表大会常务委员会第三十九次会议决定，废止《山东省信访条例》（2015年9月24日山东省第十二届人民代表大会常务委员会第十六次会议通过）。</w:t>
      </w:r>
    </w:p>
    <w:p>
      <w:pPr>
        <w:widowControl/>
        <w:shd w:val="clear" w:color="auto" w:fill="FFFFFF"/>
        <w:spacing w:line="620" w:lineRule="exact"/>
        <w:rPr>
          <w:rFonts w:ascii="仿宋_GB2312" w:hAnsi="黑体" w:cs="宋体"/>
        </w:rPr>
      </w:pPr>
      <w:r>
        <w:rPr>
          <w:rFonts w:hint="eastAsia" w:ascii="仿宋_GB2312" w:hAnsi="黑体" w:cs="宋体"/>
        </w:rPr>
        <w:t>　　本决定自公布之日起施行。</w:t>
      </w:r>
    </w:p>
    <w:p>
      <w:pPr>
        <w:pStyle w:val="2"/>
        <w:spacing w:before="0" w:after="0" w:line="620" w:lineRule="exact"/>
      </w:pPr>
    </w:p>
    <w:p>
      <w:pPr>
        <w:spacing w:line="620" w:lineRule="exact"/>
      </w:pPr>
    </w:p>
    <w:p>
      <w:pPr>
        <w:pStyle w:val="2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07095554-E4FC-4103-992F-2105AF49E732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2" w:fontKey="{FA6432AB-D695-4FBD-BB3B-CFD5E567EA04}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  <w:embedRegular r:id="rId3" w:fontKey="{9E7DF08B-3FF5-4E5B-8253-931319F75D51}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小标宋_GBK">
    <w:panose1 w:val="02000000000000000000"/>
    <w:charset w:val="86"/>
    <w:family w:val="script"/>
    <w:pitch w:val="default"/>
    <w:sig w:usb0="A00002BF" w:usb1="38CF7CFA" w:usb2="00082016" w:usb3="00000000" w:csb0="00040001" w:csb1="00000000"/>
    <w:embedRegular r:id="rId4" w:fontKey="{6FAC8DF5-A98D-4E37-9091-19DDB17918F5}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  <w:embedRegular r:id="rId5" w:fontKey="{03341514-0CE4-478A-864C-464EE61CE957}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  <w:embedRegular r:id="rId6" w:fontKey="{47318AC8-8335-453A-981B-62226AE76729}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xNDUyNTNkNWNiNDMxOWIzZjFiY2Q4ZWUyOWU2OTUifQ=="/>
  </w:docVars>
  <w:rsids>
    <w:rsidRoot w:val="BFF7F51B"/>
    <w:rsid w:val="7D7A0C19"/>
    <w:rsid w:val="BFF7F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仿宋_GB2312" w:cs="Times New Roman"/>
      <w:snapToGrid w:val="0"/>
      <w:sz w:val="32"/>
      <w:szCs w:val="3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宋体" w:cs="黑体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151</Words>
  <Characters>160</Characters>
  <Lines>0</Lines>
  <Paragraphs>0</Paragraphs>
  <TotalTime>1</TotalTime>
  <ScaleCrop>false</ScaleCrop>
  <LinksUpToDate>false</LinksUpToDate>
  <CharactersWithSpaces>162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2023-01-31T10:19:00Z</dcterms:created>
  <dc:creator>user</dc:creator>
  <cp:lastModifiedBy>PC400</cp:lastModifiedBy>
  <dcterms:modified xsi:type="dcterms:W3CDTF">2023-03-02T07:50:11Z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00CF30D4753B4F4281994221AE9EF719</vt:lpwstr>
  </property>
</Properties>
</file>