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widowControl w:val="0"/>
        <w:overflowPunct w:val="0"/>
        <w:topLinePunct/>
        <w:autoSpaceDE w:val="0"/>
        <w:autoSpaceDN w:val="0"/>
        <w:adjustRightInd w:val="0"/>
        <w:snapToGrid w:val="0"/>
        <w:spacing w:before="0" w:beforeAutospacing="0" w:after="0" w:afterAutospacing="0" w:line="580" w:lineRule="exact"/>
        <w:contextualSpacing/>
        <w:jc w:val="center"/>
        <w:rPr>
          <w:rFonts w:ascii="方正小标宋_GBK" w:hAnsi="方正小标宋简体" w:eastAsia="方正小标宋_GBK" w:cs="方正小标宋简体"/>
          <w:bCs/>
          <w:sz w:val="44"/>
          <w:szCs w:val="44"/>
        </w:rPr>
      </w:pPr>
    </w:p>
    <w:p>
      <w:pPr>
        <w:pStyle w:val="6"/>
        <w:widowControl w:val="0"/>
        <w:overflowPunct w:val="0"/>
        <w:topLinePunct/>
        <w:autoSpaceDE w:val="0"/>
        <w:autoSpaceDN w:val="0"/>
        <w:adjustRightInd w:val="0"/>
        <w:snapToGrid w:val="0"/>
        <w:spacing w:before="0" w:beforeAutospacing="0" w:after="0" w:afterAutospacing="0" w:line="580" w:lineRule="exact"/>
        <w:contextualSpacing/>
        <w:jc w:val="center"/>
        <w:rPr>
          <w:rFonts w:ascii="方正小标宋_GBK" w:hAnsi="方正小标宋简体" w:eastAsia="方正小标宋_GBK" w:cs="方正小标宋简体"/>
          <w:bCs/>
          <w:sz w:val="44"/>
          <w:szCs w:val="44"/>
        </w:rPr>
      </w:pPr>
    </w:p>
    <w:p>
      <w:pPr>
        <w:pStyle w:val="6"/>
        <w:widowControl w:val="0"/>
        <w:overflowPunct w:val="0"/>
        <w:topLinePunct/>
        <w:autoSpaceDE w:val="0"/>
        <w:autoSpaceDN w:val="0"/>
        <w:adjustRightInd w:val="0"/>
        <w:snapToGrid w:val="0"/>
        <w:spacing w:before="0" w:beforeAutospacing="0" w:after="0" w:afterAutospacing="0" w:line="580" w:lineRule="exact"/>
        <w:contextualSpacing/>
        <w:jc w:val="center"/>
        <w:rPr>
          <w:rFonts w:eastAsia="宋体" w:cs="方正小标宋简体"/>
          <w:bCs/>
          <w:sz w:val="44"/>
          <w:szCs w:val="44"/>
        </w:rPr>
      </w:pPr>
      <w:r>
        <w:rPr>
          <w:rFonts w:hint="eastAsia" w:eastAsia="宋体" w:cs="方正小标宋简体"/>
          <w:bCs/>
          <w:sz w:val="44"/>
          <w:szCs w:val="44"/>
        </w:rPr>
        <w:t>山东省优化营商环境条例</w:t>
      </w:r>
    </w:p>
    <w:p>
      <w:pPr>
        <w:pStyle w:val="6"/>
        <w:widowControl w:val="0"/>
        <w:overflowPunct w:val="0"/>
        <w:topLinePunct/>
        <w:autoSpaceDE w:val="0"/>
        <w:autoSpaceDN w:val="0"/>
        <w:adjustRightInd w:val="0"/>
        <w:snapToGrid w:val="0"/>
        <w:spacing w:before="0" w:beforeAutospacing="0" w:after="0" w:afterAutospacing="0" w:line="580" w:lineRule="exact"/>
        <w:contextualSpacing/>
        <w:jc w:val="center"/>
        <w:rPr>
          <w:rFonts w:ascii="方正小标宋_GBK" w:hAnsi="方正小标宋简体" w:eastAsia="方正小标宋_GBK" w:cs="方正小标宋简体"/>
          <w:bCs/>
          <w:sz w:val="44"/>
          <w:szCs w:val="44"/>
        </w:rPr>
      </w:pPr>
    </w:p>
    <w:p>
      <w:pPr>
        <w:spacing w:line="580" w:lineRule="exact"/>
        <w:ind w:left="707" w:leftChars="221" w:right="621" w:rightChars="194"/>
        <w:jc w:val="left"/>
        <w:outlineLvl w:val="0"/>
        <w:rPr>
          <w:rFonts w:ascii="楷体_GB2312" w:hAnsi="宋体" w:eastAsia="楷体_GB2312"/>
          <w:color w:val="000000"/>
        </w:rPr>
      </w:pPr>
      <w:r>
        <w:rPr>
          <w:rFonts w:hint="eastAsia" w:ascii="楷体_GB2312" w:hAnsi="宋体" w:eastAsia="楷体_GB2312"/>
          <w:color w:val="000000"/>
        </w:rPr>
        <w:t>（</w:t>
      </w:r>
      <w:r>
        <w:rPr>
          <w:rFonts w:ascii="楷体_GB2312" w:hAnsi="宋体" w:eastAsia="楷体_GB2312"/>
          <w:color w:val="000000"/>
        </w:rPr>
        <w:t>2020年9月25日山东省第十三届人民代表大会常务委员会第二十三次会议通过</w:t>
      </w:r>
      <w:r>
        <w:rPr>
          <w:rFonts w:hint="eastAsia" w:ascii="楷体_GB2312" w:eastAsia="楷体_GB2312"/>
          <w:color w:val="000000"/>
        </w:rPr>
        <w:t>）</w:t>
      </w:r>
    </w:p>
    <w:p>
      <w:pPr>
        <w:pStyle w:val="6"/>
        <w:widowControl w:val="0"/>
        <w:overflowPunct w:val="0"/>
        <w:topLinePunct/>
        <w:autoSpaceDE w:val="0"/>
        <w:autoSpaceDN w:val="0"/>
        <w:adjustRightInd w:val="0"/>
        <w:snapToGrid w:val="0"/>
        <w:spacing w:before="0" w:beforeAutospacing="0" w:after="0" w:afterAutospacing="0" w:line="580" w:lineRule="exact"/>
        <w:contextualSpacing/>
        <w:jc w:val="center"/>
        <w:rPr>
          <w:rFonts w:ascii="楷体_GB2312" w:hAnsi="黑体" w:eastAsia="楷体_GB2312"/>
          <w:bCs/>
          <w:sz w:val="32"/>
        </w:rPr>
      </w:pPr>
    </w:p>
    <w:p>
      <w:pPr>
        <w:pStyle w:val="6"/>
        <w:widowControl w:val="0"/>
        <w:overflowPunct w:val="0"/>
        <w:topLinePunct/>
        <w:autoSpaceDE w:val="0"/>
        <w:autoSpaceDN w:val="0"/>
        <w:adjustRightInd w:val="0"/>
        <w:snapToGrid w:val="0"/>
        <w:spacing w:before="0" w:beforeAutospacing="0" w:after="0" w:afterAutospacing="0" w:line="580" w:lineRule="exact"/>
        <w:contextualSpacing/>
        <w:jc w:val="center"/>
        <w:rPr>
          <w:rFonts w:ascii="楷体_GB2312" w:hAnsi="黑体" w:eastAsia="楷体_GB2312"/>
          <w:bCs/>
          <w:sz w:val="32"/>
        </w:rPr>
      </w:pPr>
      <w:r>
        <w:rPr>
          <w:rFonts w:hint="eastAsia" w:ascii="楷体_GB2312" w:hAnsi="黑体" w:eastAsia="楷体_GB2312"/>
          <w:bCs/>
          <w:sz w:val="32"/>
        </w:rPr>
        <w:t>目</w:t>
      </w:r>
      <w:r>
        <w:rPr>
          <w:rFonts w:hint="eastAsia" w:ascii="楷体_GB2312" w:hAnsi="微软雅黑" w:eastAsia="楷体_GB2312"/>
          <w:bCs/>
          <w:sz w:val="32"/>
        </w:rPr>
        <w:t xml:space="preserve">  </w:t>
      </w:r>
      <w:r>
        <w:rPr>
          <w:rFonts w:hint="eastAsia" w:ascii="楷体_GB2312" w:hAnsi="黑体" w:eastAsia="楷体_GB2312"/>
          <w:bCs/>
          <w:sz w:val="32"/>
        </w:rPr>
        <w:t>录</w:t>
      </w:r>
    </w:p>
    <w:p>
      <w:pPr>
        <w:pStyle w:val="6"/>
        <w:widowControl w:val="0"/>
        <w:overflowPunct w:val="0"/>
        <w:topLinePunct/>
        <w:autoSpaceDE w:val="0"/>
        <w:autoSpaceDN w:val="0"/>
        <w:adjustRightInd w:val="0"/>
        <w:snapToGrid w:val="0"/>
        <w:spacing w:before="0" w:beforeAutospacing="0" w:after="0" w:afterAutospacing="0" w:line="580" w:lineRule="exact"/>
        <w:ind w:firstLine="640" w:firstLineChars="200"/>
        <w:contextualSpacing/>
        <w:rPr>
          <w:rFonts w:ascii="楷体_GB2312" w:hAnsi="楷体" w:eastAsia="楷体_GB2312"/>
          <w:bCs/>
          <w:sz w:val="32"/>
        </w:rPr>
      </w:pPr>
      <w:r>
        <w:rPr>
          <w:rFonts w:hint="eastAsia" w:ascii="楷体_GB2312" w:hAnsi="楷体" w:eastAsia="楷体_GB2312"/>
          <w:bCs/>
          <w:sz w:val="32"/>
        </w:rPr>
        <w:t>第一章</w:t>
      </w:r>
      <w:r>
        <w:rPr>
          <w:rFonts w:hint="eastAsia" w:ascii="楷体_GB2312" w:hAnsi="微软雅黑" w:eastAsia="楷体_GB2312"/>
          <w:bCs/>
          <w:sz w:val="32"/>
        </w:rPr>
        <w:t xml:space="preserve">  </w:t>
      </w:r>
      <w:r>
        <w:rPr>
          <w:rFonts w:hint="eastAsia" w:ascii="楷体_GB2312" w:hAnsi="楷体" w:eastAsia="楷体_GB2312"/>
          <w:bCs/>
          <w:sz w:val="32"/>
        </w:rPr>
        <w:t>总则</w:t>
      </w:r>
    </w:p>
    <w:p>
      <w:pPr>
        <w:pStyle w:val="6"/>
        <w:widowControl w:val="0"/>
        <w:overflowPunct w:val="0"/>
        <w:topLinePunct/>
        <w:autoSpaceDE w:val="0"/>
        <w:autoSpaceDN w:val="0"/>
        <w:adjustRightInd w:val="0"/>
        <w:snapToGrid w:val="0"/>
        <w:spacing w:before="0" w:beforeAutospacing="0" w:after="0" w:afterAutospacing="0" w:line="580" w:lineRule="exact"/>
        <w:ind w:firstLine="640" w:firstLineChars="200"/>
        <w:contextualSpacing/>
        <w:rPr>
          <w:rFonts w:ascii="楷体_GB2312" w:hAnsi="楷体" w:eastAsia="楷体_GB2312"/>
          <w:bCs/>
          <w:sz w:val="32"/>
        </w:rPr>
      </w:pPr>
      <w:r>
        <w:rPr>
          <w:rFonts w:hint="eastAsia" w:ascii="楷体_GB2312" w:hAnsi="楷体" w:eastAsia="楷体_GB2312"/>
          <w:bCs/>
          <w:sz w:val="32"/>
        </w:rPr>
        <w:t>第二章</w:t>
      </w:r>
      <w:r>
        <w:rPr>
          <w:rFonts w:hint="eastAsia" w:ascii="楷体_GB2312" w:hAnsi="微软雅黑" w:eastAsia="楷体_GB2312"/>
          <w:bCs/>
          <w:sz w:val="32"/>
        </w:rPr>
        <w:t xml:space="preserve">  </w:t>
      </w:r>
      <w:r>
        <w:rPr>
          <w:rFonts w:hint="eastAsia" w:ascii="楷体_GB2312" w:hAnsi="楷体" w:eastAsia="楷体_GB2312"/>
          <w:bCs/>
          <w:sz w:val="32"/>
        </w:rPr>
        <w:t>市场环境</w:t>
      </w:r>
    </w:p>
    <w:p>
      <w:pPr>
        <w:pStyle w:val="6"/>
        <w:widowControl w:val="0"/>
        <w:overflowPunct w:val="0"/>
        <w:topLinePunct/>
        <w:autoSpaceDE w:val="0"/>
        <w:autoSpaceDN w:val="0"/>
        <w:adjustRightInd w:val="0"/>
        <w:snapToGrid w:val="0"/>
        <w:spacing w:before="0" w:beforeAutospacing="0" w:after="0" w:afterAutospacing="0" w:line="580" w:lineRule="exact"/>
        <w:ind w:firstLine="640" w:firstLineChars="200"/>
        <w:contextualSpacing/>
        <w:rPr>
          <w:rFonts w:ascii="楷体_GB2312" w:hAnsi="楷体" w:eastAsia="楷体_GB2312"/>
          <w:bCs/>
          <w:sz w:val="32"/>
        </w:rPr>
      </w:pPr>
      <w:r>
        <w:rPr>
          <w:rFonts w:hint="eastAsia" w:ascii="楷体_GB2312" w:hAnsi="楷体" w:eastAsia="楷体_GB2312"/>
          <w:bCs/>
          <w:sz w:val="32"/>
        </w:rPr>
        <w:t>第三章</w:t>
      </w:r>
      <w:r>
        <w:rPr>
          <w:rFonts w:hint="eastAsia" w:ascii="楷体_GB2312" w:hAnsi="微软雅黑" w:eastAsia="楷体_GB2312"/>
          <w:bCs/>
          <w:sz w:val="32"/>
        </w:rPr>
        <w:t xml:space="preserve">  </w:t>
      </w:r>
      <w:r>
        <w:rPr>
          <w:rFonts w:hint="eastAsia" w:ascii="楷体_GB2312" w:hAnsi="楷体" w:eastAsia="楷体_GB2312"/>
          <w:bCs/>
          <w:sz w:val="32"/>
        </w:rPr>
        <w:t>政务环境</w:t>
      </w:r>
    </w:p>
    <w:p>
      <w:pPr>
        <w:pStyle w:val="6"/>
        <w:widowControl w:val="0"/>
        <w:overflowPunct w:val="0"/>
        <w:topLinePunct/>
        <w:autoSpaceDE w:val="0"/>
        <w:autoSpaceDN w:val="0"/>
        <w:adjustRightInd w:val="0"/>
        <w:snapToGrid w:val="0"/>
        <w:spacing w:before="0" w:beforeAutospacing="0" w:after="0" w:afterAutospacing="0" w:line="580" w:lineRule="exact"/>
        <w:ind w:firstLine="640" w:firstLineChars="200"/>
        <w:contextualSpacing/>
        <w:rPr>
          <w:rFonts w:ascii="楷体_GB2312" w:hAnsi="楷体" w:eastAsia="楷体_GB2312"/>
          <w:bCs/>
          <w:sz w:val="32"/>
        </w:rPr>
      </w:pPr>
      <w:r>
        <w:rPr>
          <w:rFonts w:hint="eastAsia" w:ascii="楷体_GB2312" w:hAnsi="楷体" w:eastAsia="楷体_GB2312"/>
          <w:bCs/>
          <w:sz w:val="32"/>
        </w:rPr>
        <w:t>第四章</w:t>
      </w:r>
      <w:r>
        <w:rPr>
          <w:rFonts w:hint="eastAsia" w:ascii="楷体_GB2312" w:hAnsi="微软雅黑" w:eastAsia="楷体_GB2312"/>
          <w:bCs/>
          <w:sz w:val="32"/>
        </w:rPr>
        <w:t xml:space="preserve">  </w:t>
      </w:r>
      <w:r>
        <w:rPr>
          <w:rFonts w:hint="eastAsia" w:ascii="楷体_GB2312" w:hAnsi="楷体" w:eastAsia="楷体_GB2312"/>
          <w:bCs/>
          <w:sz w:val="32"/>
        </w:rPr>
        <w:t>法治环境</w:t>
      </w:r>
    </w:p>
    <w:p>
      <w:pPr>
        <w:pStyle w:val="6"/>
        <w:widowControl w:val="0"/>
        <w:overflowPunct w:val="0"/>
        <w:topLinePunct/>
        <w:autoSpaceDE w:val="0"/>
        <w:autoSpaceDN w:val="0"/>
        <w:adjustRightInd w:val="0"/>
        <w:snapToGrid w:val="0"/>
        <w:spacing w:before="0" w:beforeAutospacing="0" w:after="0" w:afterAutospacing="0" w:line="580" w:lineRule="exact"/>
        <w:ind w:firstLine="640" w:firstLineChars="200"/>
        <w:contextualSpacing/>
        <w:rPr>
          <w:rFonts w:ascii="楷体_GB2312" w:hAnsi="楷体" w:eastAsia="楷体_GB2312"/>
          <w:bCs/>
          <w:sz w:val="32"/>
        </w:rPr>
      </w:pPr>
      <w:r>
        <w:rPr>
          <w:rFonts w:hint="eastAsia" w:ascii="楷体_GB2312" w:hAnsi="楷体" w:eastAsia="楷体_GB2312"/>
          <w:bCs/>
          <w:sz w:val="32"/>
        </w:rPr>
        <w:t>第五章  监督保障</w:t>
      </w:r>
    </w:p>
    <w:p>
      <w:pPr>
        <w:pStyle w:val="6"/>
        <w:widowControl w:val="0"/>
        <w:overflowPunct w:val="0"/>
        <w:topLinePunct/>
        <w:autoSpaceDE w:val="0"/>
        <w:autoSpaceDN w:val="0"/>
        <w:adjustRightInd w:val="0"/>
        <w:snapToGrid w:val="0"/>
        <w:spacing w:before="0" w:beforeAutospacing="0" w:after="0" w:afterAutospacing="0" w:line="580" w:lineRule="exact"/>
        <w:ind w:firstLine="640" w:firstLineChars="200"/>
        <w:contextualSpacing/>
        <w:rPr>
          <w:rFonts w:ascii="楷体_GB2312" w:hAnsi="楷体" w:eastAsia="楷体_GB2312"/>
          <w:bCs/>
          <w:sz w:val="32"/>
        </w:rPr>
      </w:pPr>
      <w:r>
        <w:rPr>
          <w:rFonts w:hint="eastAsia" w:ascii="楷体_GB2312" w:hAnsi="楷体" w:eastAsia="楷体_GB2312"/>
          <w:bCs/>
          <w:sz w:val="32"/>
        </w:rPr>
        <w:t>第六章  法律责任</w:t>
      </w:r>
    </w:p>
    <w:p>
      <w:pPr>
        <w:pStyle w:val="6"/>
        <w:widowControl w:val="0"/>
        <w:overflowPunct w:val="0"/>
        <w:topLinePunct/>
        <w:autoSpaceDE w:val="0"/>
        <w:autoSpaceDN w:val="0"/>
        <w:adjustRightInd w:val="0"/>
        <w:snapToGrid w:val="0"/>
        <w:spacing w:before="0" w:beforeAutospacing="0" w:after="0" w:afterAutospacing="0" w:line="580" w:lineRule="exact"/>
        <w:ind w:firstLine="640" w:firstLineChars="200"/>
        <w:contextualSpacing/>
        <w:rPr>
          <w:rFonts w:ascii="楷体_GB2312" w:hAnsi="楷体" w:eastAsia="楷体_GB2312"/>
          <w:bCs/>
          <w:sz w:val="32"/>
        </w:rPr>
      </w:pPr>
      <w:r>
        <w:rPr>
          <w:rFonts w:hint="eastAsia" w:ascii="楷体_GB2312" w:hAnsi="楷体" w:eastAsia="楷体_GB2312"/>
          <w:bCs/>
          <w:sz w:val="32"/>
        </w:rPr>
        <w:t>第七章</w:t>
      </w:r>
      <w:r>
        <w:rPr>
          <w:rFonts w:hint="eastAsia" w:ascii="楷体_GB2312" w:hAnsi="微软雅黑" w:eastAsia="楷体_GB2312"/>
          <w:bCs/>
          <w:sz w:val="32"/>
        </w:rPr>
        <w:t xml:space="preserve">  </w:t>
      </w:r>
      <w:r>
        <w:rPr>
          <w:rFonts w:hint="eastAsia" w:ascii="楷体_GB2312" w:hAnsi="楷体" w:eastAsia="楷体_GB2312"/>
          <w:bCs/>
          <w:sz w:val="32"/>
        </w:rPr>
        <w:t>附则</w:t>
      </w:r>
    </w:p>
    <w:p>
      <w:pPr>
        <w:pStyle w:val="6"/>
        <w:widowControl w:val="0"/>
        <w:overflowPunct w:val="0"/>
        <w:topLinePunct/>
        <w:autoSpaceDE w:val="0"/>
        <w:autoSpaceDN w:val="0"/>
        <w:adjustRightInd w:val="0"/>
        <w:snapToGrid w:val="0"/>
        <w:spacing w:before="0" w:beforeAutospacing="0" w:after="0" w:afterAutospacing="0" w:line="580" w:lineRule="exact"/>
        <w:contextualSpacing/>
        <w:jc w:val="center"/>
        <w:rPr>
          <w:rFonts w:ascii="楷体" w:hAnsi="楷体" w:eastAsia="楷体"/>
          <w:bCs/>
          <w:sz w:val="30"/>
          <w:szCs w:val="30"/>
        </w:rPr>
      </w:pPr>
    </w:p>
    <w:p>
      <w:pPr>
        <w:pStyle w:val="6"/>
        <w:widowControl w:val="0"/>
        <w:overflowPunct w:val="0"/>
        <w:topLinePunct/>
        <w:autoSpaceDE w:val="0"/>
        <w:autoSpaceDN w:val="0"/>
        <w:adjustRightInd w:val="0"/>
        <w:snapToGrid w:val="0"/>
        <w:spacing w:before="0" w:beforeAutospacing="0" w:after="0" w:afterAutospacing="0" w:line="580" w:lineRule="exact"/>
        <w:contextualSpacing/>
        <w:jc w:val="center"/>
        <w:rPr>
          <w:rFonts w:ascii="黑体" w:hAnsi="黑体" w:eastAsia="黑体"/>
          <w:bCs/>
          <w:sz w:val="32"/>
        </w:rPr>
      </w:pPr>
      <w:r>
        <w:rPr>
          <w:rFonts w:hint="eastAsia" w:ascii="黑体" w:hAnsi="黑体" w:eastAsia="黑体"/>
          <w:bCs/>
          <w:sz w:val="32"/>
        </w:rPr>
        <w:t>第一章  总则</w:t>
      </w:r>
    </w:p>
    <w:p>
      <w:pPr>
        <w:pStyle w:val="6"/>
        <w:widowControl w:val="0"/>
        <w:overflowPunct w:val="0"/>
        <w:topLinePunct/>
        <w:autoSpaceDE w:val="0"/>
        <w:autoSpaceDN w:val="0"/>
        <w:adjustRightInd w:val="0"/>
        <w:snapToGrid w:val="0"/>
        <w:spacing w:before="0" w:beforeAutospacing="0" w:after="0" w:afterAutospacing="0" w:line="580" w:lineRule="exact"/>
        <w:contextualSpacing/>
        <w:jc w:val="both"/>
        <w:rPr>
          <w:bCs/>
          <w:sz w:val="32"/>
        </w:rPr>
      </w:pPr>
    </w:p>
    <w:p>
      <w:pPr>
        <w:pStyle w:val="6"/>
        <w:widowControl w:val="0"/>
        <w:overflowPunct w:val="0"/>
        <w:topLinePunct/>
        <w:autoSpaceDE w:val="0"/>
        <w:autoSpaceDN w:val="0"/>
        <w:adjustRightInd w:val="0"/>
        <w:snapToGrid w:val="0"/>
        <w:spacing w:before="0" w:beforeAutospacing="0" w:after="0" w:afterAutospacing="0" w:line="580" w:lineRule="exact"/>
        <w:ind w:firstLine="622"/>
        <w:contextualSpacing/>
        <w:jc w:val="both"/>
        <w:rPr>
          <w:rFonts w:ascii="仿宋_GB2312" w:hAnsi="微软雅黑"/>
          <w:bCs/>
          <w:sz w:val="32"/>
        </w:rPr>
      </w:pPr>
      <w:r>
        <w:rPr>
          <w:rFonts w:hint="eastAsia" w:ascii="黑体" w:hAnsi="黑体" w:eastAsia="黑体"/>
          <w:bCs/>
          <w:sz w:val="32"/>
        </w:rPr>
        <w:t>第一条</w:t>
      </w:r>
      <w:r>
        <w:rPr>
          <w:rFonts w:hint="eastAsia" w:ascii="楷体_GB2312" w:hAnsi="黑体" w:eastAsia="楷体_GB2312"/>
          <w:bCs/>
          <w:sz w:val="32"/>
        </w:rPr>
        <w:t xml:space="preserve">  </w:t>
      </w:r>
      <w:r>
        <w:rPr>
          <w:rFonts w:hint="eastAsia" w:ascii="仿宋_GB2312" w:hAnsi="微软雅黑"/>
          <w:bCs/>
          <w:sz w:val="32"/>
        </w:rPr>
        <w:t>为了优化营商环境，保护各类市场主体合法权益，激发市场活力，促进高质量发展，根据有关法律、行政法规，结合本省实际，制定本条例。</w:t>
      </w:r>
    </w:p>
    <w:p>
      <w:pPr>
        <w:pStyle w:val="6"/>
        <w:widowControl w:val="0"/>
        <w:overflowPunct w:val="0"/>
        <w:topLinePunct/>
        <w:autoSpaceDE w:val="0"/>
        <w:autoSpaceDN w:val="0"/>
        <w:adjustRightInd w:val="0"/>
        <w:snapToGrid w:val="0"/>
        <w:spacing w:before="0" w:beforeAutospacing="0" w:after="0" w:afterAutospacing="0" w:line="580" w:lineRule="exact"/>
        <w:ind w:firstLine="622"/>
        <w:contextualSpacing/>
        <w:jc w:val="both"/>
        <w:rPr>
          <w:rFonts w:ascii="仿宋_GB2312" w:hAnsi="微软雅黑"/>
          <w:bCs/>
          <w:sz w:val="32"/>
        </w:rPr>
      </w:pPr>
      <w:r>
        <w:rPr>
          <w:rFonts w:hint="eastAsia" w:ascii="黑体" w:hAnsi="黑体" w:eastAsia="黑体"/>
          <w:bCs/>
          <w:sz w:val="32"/>
        </w:rPr>
        <w:t>第二条</w:t>
      </w:r>
      <w:r>
        <w:rPr>
          <w:rFonts w:hint="eastAsia" w:hAnsi="黑体" w:eastAsia="黑体"/>
          <w:bCs/>
          <w:sz w:val="32"/>
        </w:rPr>
        <w:t xml:space="preserve"> </w:t>
      </w:r>
      <w:r>
        <w:rPr>
          <w:rFonts w:hint="eastAsia" w:ascii="仿宋_GB2312" w:hAnsi="微软雅黑"/>
          <w:bCs/>
          <w:sz w:val="32"/>
        </w:rPr>
        <w:t xml:space="preserve"> 本省行政区域内与优化营商环境相关的活动，适用本条例。</w:t>
      </w:r>
    </w:p>
    <w:p>
      <w:pPr>
        <w:pStyle w:val="6"/>
        <w:widowControl w:val="0"/>
        <w:overflowPunct w:val="0"/>
        <w:topLinePunct/>
        <w:autoSpaceDE w:val="0"/>
        <w:autoSpaceDN w:val="0"/>
        <w:adjustRightInd w:val="0"/>
        <w:snapToGrid w:val="0"/>
        <w:spacing w:before="0" w:beforeAutospacing="0" w:after="0" w:afterAutospacing="0" w:line="580" w:lineRule="exact"/>
        <w:ind w:firstLine="622"/>
        <w:contextualSpacing/>
        <w:jc w:val="both"/>
        <w:rPr>
          <w:rFonts w:ascii="仿宋_GB2312" w:hAnsi="微软雅黑"/>
          <w:bCs/>
          <w:sz w:val="32"/>
        </w:rPr>
      </w:pPr>
      <w:r>
        <w:rPr>
          <w:rFonts w:hint="eastAsia" w:ascii="黑体" w:hAnsi="黑体" w:eastAsia="黑体"/>
          <w:bCs/>
          <w:sz w:val="32"/>
        </w:rPr>
        <w:t>第三条</w:t>
      </w:r>
      <w:r>
        <w:rPr>
          <w:rFonts w:hint="eastAsia" w:ascii="楷体_GB2312" w:eastAsia="楷体_GB2312"/>
          <w:bCs/>
          <w:sz w:val="32"/>
        </w:rPr>
        <w:t xml:space="preserve">  </w:t>
      </w:r>
      <w:r>
        <w:rPr>
          <w:rFonts w:hint="eastAsia" w:ascii="仿宋_GB2312" w:hAnsi="微软雅黑"/>
          <w:bCs/>
          <w:sz w:val="32"/>
        </w:rPr>
        <w:t>优化营商环境应当</w:t>
      </w:r>
      <w:r>
        <w:rPr>
          <w:rFonts w:hint="eastAsia" w:ascii="仿宋_GB2312"/>
          <w:bCs/>
          <w:sz w:val="32"/>
        </w:rPr>
        <w:t>遵循市场化、法治化、国际化原则，</w:t>
      </w:r>
      <w:r>
        <w:rPr>
          <w:rFonts w:hint="eastAsia" w:ascii="仿宋_GB2312" w:hAnsi="微软雅黑"/>
          <w:bCs/>
          <w:sz w:val="32"/>
        </w:rPr>
        <w:t>坚持改革创新、公平公正、诚实守信、权责一致，发挥市场在资源配置中的决定性作用，最大限度减少政府对市场资源的直接配置和对市场活动的直接干预，建</w:t>
      </w:r>
      <w:r>
        <w:rPr>
          <w:rFonts w:hint="eastAsia" w:ascii="仿宋_GB2312"/>
          <w:bCs/>
          <w:sz w:val="32"/>
        </w:rPr>
        <w:t>立统一开放、竞争有序的现代市场体系，</w:t>
      </w:r>
      <w:r>
        <w:rPr>
          <w:rFonts w:hint="eastAsia" w:ascii="仿宋_GB2312" w:hAnsi="微软雅黑"/>
          <w:bCs/>
          <w:sz w:val="32"/>
        </w:rPr>
        <w:t>营造稳定、公平、透明和可预期的营商环境。</w:t>
      </w:r>
    </w:p>
    <w:p>
      <w:pPr>
        <w:pStyle w:val="6"/>
        <w:widowControl w:val="0"/>
        <w:overflowPunct w:val="0"/>
        <w:topLinePunct/>
        <w:autoSpaceDE w:val="0"/>
        <w:autoSpaceDN w:val="0"/>
        <w:adjustRightInd w:val="0"/>
        <w:snapToGrid w:val="0"/>
        <w:spacing w:before="0" w:beforeAutospacing="0" w:after="0" w:afterAutospacing="0" w:line="580" w:lineRule="exact"/>
        <w:ind w:firstLine="622"/>
        <w:contextualSpacing/>
        <w:jc w:val="both"/>
        <w:rPr>
          <w:rFonts w:ascii="仿宋_GB2312" w:hAnsi="微软雅黑"/>
          <w:bCs/>
          <w:sz w:val="32"/>
        </w:rPr>
      </w:pPr>
      <w:r>
        <w:rPr>
          <w:rFonts w:hint="eastAsia" w:ascii="黑体" w:hAnsi="黑体" w:eastAsia="黑体"/>
          <w:bCs/>
          <w:sz w:val="32"/>
        </w:rPr>
        <w:t>第四条</w:t>
      </w:r>
      <w:r>
        <w:rPr>
          <w:rFonts w:hint="eastAsia" w:ascii="楷体_GB2312" w:eastAsia="楷体_GB2312"/>
          <w:bCs/>
          <w:sz w:val="32"/>
        </w:rPr>
        <w:t xml:space="preserve">  </w:t>
      </w:r>
      <w:r>
        <w:rPr>
          <w:rFonts w:hint="eastAsia" w:ascii="仿宋_GB2312" w:hAnsi="微软雅黑"/>
          <w:bCs/>
          <w:sz w:val="32"/>
        </w:rPr>
        <w:t>县级以上人民政府应当加强对</w:t>
      </w:r>
      <w:r>
        <w:rPr>
          <w:rFonts w:hint="eastAsia" w:ascii="仿宋_GB2312"/>
          <w:bCs/>
          <w:sz w:val="32"/>
        </w:rPr>
        <w:t>本行政区域内</w:t>
      </w:r>
      <w:r>
        <w:rPr>
          <w:rFonts w:hint="eastAsia" w:ascii="仿宋_GB2312" w:hAnsi="微软雅黑"/>
          <w:bCs/>
          <w:sz w:val="32"/>
        </w:rPr>
        <w:t>优化营商环境工作的组织领导，制定实施优化营商环境政策措施，建立健全优化营商环境工作协调机制，协调解决优化营商环境工作中的重大问题。</w:t>
      </w:r>
    </w:p>
    <w:p>
      <w:pPr>
        <w:pStyle w:val="6"/>
        <w:widowControl w:val="0"/>
        <w:overflowPunct w:val="0"/>
        <w:topLinePunct/>
        <w:autoSpaceDE w:val="0"/>
        <w:autoSpaceDN w:val="0"/>
        <w:adjustRightInd w:val="0"/>
        <w:snapToGrid w:val="0"/>
        <w:spacing w:before="0" w:beforeAutospacing="0" w:after="0" w:afterAutospacing="0" w:line="580" w:lineRule="exact"/>
        <w:ind w:firstLine="622"/>
        <w:contextualSpacing/>
        <w:jc w:val="both"/>
        <w:rPr>
          <w:rFonts w:ascii="仿宋_GB2312" w:hAnsi="微软雅黑"/>
          <w:bCs/>
          <w:sz w:val="32"/>
        </w:rPr>
      </w:pPr>
      <w:r>
        <w:rPr>
          <w:rFonts w:hint="eastAsia" w:ascii="仿宋_GB2312" w:hAnsi="微软雅黑"/>
          <w:bCs/>
          <w:sz w:val="32"/>
        </w:rPr>
        <w:t>县</w:t>
      </w:r>
      <w:r>
        <w:rPr>
          <w:rFonts w:ascii="仿宋_GB2312" w:hAnsi="微软雅黑"/>
          <w:bCs/>
          <w:sz w:val="32"/>
        </w:rPr>
        <w:t>级</w:t>
      </w:r>
      <w:r>
        <w:rPr>
          <w:rFonts w:hint="eastAsia" w:ascii="仿宋_GB2312" w:hAnsi="微软雅黑"/>
          <w:bCs/>
          <w:sz w:val="32"/>
        </w:rPr>
        <w:t>以上</w:t>
      </w:r>
      <w:r>
        <w:rPr>
          <w:rFonts w:ascii="仿宋_GB2312" w:hAnsi="微软雅黑"/>
          <w:bCs/>
          <w:sz w:val="32"/>
        </w:rPr>
        <w:t>人民政府</w:t>
      </w:r>
      <w:r>
        <w:rPr>
          <w:rFonts w:hint="eastAsia" w:ascii="仿宋_GB2312" w:hAnsi="微软雅黑"/>
          <w:bCs/>
          <w:sz w:val="32"/>
        </w:rPr>
        <w:t>可以明确优化营商环境工作的主管部门。</w:t>
      </w:r>
      <w:r>
        <w:rPr>
          <w:rFonts w:ascii="仿宋_GB2312" w:hAnsi="微软雅黑"/>
          <w:bCs/>
          <w:sz w:val="32"/>
        </w:rPr>
        <w:t>有关部门</w:t>
      </w:r>
      <w:r>
        <w:rPr>
          <w:rFonts w:hint="eastAsia" w:ascii="仿宋_GB2312" w:hAnsi="微软雅黑"/>
          <w:bCs/>
          <w:sz w:val="32"/>
        </w:rPr>
        <w:t>、司法机关、人民团体</w:t>
      </w:r>
      <w:r>
        <w:rPr>
          <w:rFonts w:ascii="仿宋_GB2312" w:hAnsi="微软雅黑"/>
          <w:bCs/>
          <w:sz w:val="32"/>
        </w:rPr>
        <w:t>应当按照各自职责，做好优化营商环境</w:t>
      </w:r>
      <w:r>
        <w:rPr>
          <w:rFonts w:hint="eastAsia" w:ascii="仿宋_GB2312" w:hAnsi="微软雅黑"/>
          <w:bCs/>
          <w:sz w:val="32"/>
        </w:rPr>
        <w:t>有关</w:t>
      </w:r>
      <w:r>
        <w:rPr>
          <w:rFonts w:ascii="仿宋_GB2312" w:hAnsi="微软雅黑"/>
          <w:bCs/>
          <w:sz w:val="32"/>
        </w:rPr>
        <w:t>工作。</w:t>
      </w:r>
    </w:p>
    <w:p>
      <w:pPr>
        <w:pStyle w:val="6"/>
        <w:widowControl w:val="0"/>
        <w:overflowPunct w:val="0"/>
        <w:topLinePunct/>
        <w:autoSpaceDE w:val="0"/>
        <w:autoSpaceDN w:val="0"/>
        <w:adjustRightInd w:val="0"/>
        <w:snapToGrid w:val="0"/>
        <w:spacing w:before="0" w:beforeAutospacing="0" w:after="0" w:afterAutospacing="0" w:line="580" w:lineRule="exact"/>
        <w:ind w:firstLine="622"/>
        <w:contextualSpacing/>
        <w:jc w:val="both"/>
        <w:rPr>
          <w:rFonts w:ascii="仿宋_GB2312" w:hAnsi="微软雅黑"/>
          <w:bCs/>
          <w:sz w:val="32"/>
        </w:rPr>
      </w:pPr>
      <w:r>
        <w:rPr>
          <w:rFonts w:ascii="仿宋_GB2312" w:hAnsi="微软雅黑"/>
          <w:bCs/>
          <w:sz w:val="32"/>
        </w:rPr>
        <w:t>各级人民政府的主要负责人，是本行政区域优化营商环境工作的第一责任人。</w:t>
      </w:r>
    </w:p>
    <w:p>
      <w:pPr>
        <w:pStyle w:val="6"/>
        <w:widowControl w:val="0"/>
        <w:overflowPunct w:val="0"/>
        <w:topLinePunct/>
        <w:autoSpaceDE w:val="0"/>
        <w:autoSpaceDN w:val="0"/>
        <w:adjustRightInd w:val="0"/>
        <w:snapToGrid w:val="0"/>
        <w:spacing w:before="0" w:beforeAutospacing="0" w:after="0" w:afterAutospacing="0" w:line="580" w:lineRule="exact"/>
        <w:ind w:firstLine="622"/>
        <w:contextualSpacing/>
        <w:jc w:val="both"/>
        <w:rPr>
          <w:rFonts w:ascii="仿宋_GB2312" w:hAnsi="微软雅黑"/>
          <w:bCs/>
          <w:sz w:val="32"/>
        </w:rPr>
      </w:pPr>
      <w:r>
        <w:rPr>
          <w:rFonts w:hint="eastAsia" w:ascii="黑体" w:hAnsi="黑体" w:eastAsia="黑体" w:cs="Times New Roman"/>
          <w:bCs/>
          <w:kern w:val="2"/>
          <w:sz w:val="32"/>
        </w:rPr>
        <w:t>第五条</w:t>
      </w:r>
      <w:r>
        <w:rPr>
          <w:rFonts w:hint="eastAsia" w:ascii="楷体_GB2312" w:hAnsi="黑体" w:eastAsia="楷体_GB2312"/>
          <w:bCs/>
          <w:sz w:val="32"/>
        </w:rPr>
        <w:t xml:space="preserve">  </w:t>
      </w:r>
      <w:r>
        <w:rPr>
          <w:rFonts w:hint="eastAsia" w:ascii="仿宋_GB2312" w:hAnsi="微软雅黑"/>
          <w:bCs/>
          <w:sz w:val="32"/>
        </w:rPr>
        <w:t>各级</w:t>
      </w:r>
      <w:r>
        <w:rPr>
          <w:rFonts w:ascii="仿宋_GB2312" w:hAnsi="微软雅黑"/>
          <w:bCs/>
          <w:sz w:val="32"/>
        </w:rPr>
        <w:t>人民政府</w:t>
      </w:r>
      <w:r>
        <w:rPr>
          <w:rFonts w:hint="eastAsia" w:ascii="仿宋_GB2312" w:hAnsi="微软雅黑"/>
          <w:bCs/>
          <w:sz w:val="32"/>
        </w:rPr>
        <w:t>和有关部门、司法机关应当按照权利平等、机会平等、规则平等的原则，保障各种所有制经济平等受到法律保护。</w:t>
      </w:r>
    </w:p>
    <w:p>
      <w:pPr>
        <w:pStyle w:val="6"/>
        <w:widowControl w:val="0"/>
        <w:overflowPunct w:val="0"/>
        <w:topLinePunct/>
        <w:autoSpaceDE w:val="0"/>
        <w:autoSpaceDN w:val="0"/>
        <w:adjustRightInd w:val="0"/>
        <w:snapToGrid w:val="0"/>
        <w:spacing w:before="0" w:beforeAutospacing="0" w:after="0" w:afterAutospacing="0" w:line="580" w:lineRule="exact"/>
        <w:ind w:firstLine="622"/>
        <w:contextualSpacing/>
        <w:jc w:val="both"/>
        <w:rPr>
          <w:rFonts w:ascii="仿宋_GB2312" w:hAnsi="微软雅黑"/>
          <w:bCs/>
          <w:sz w:val="32"/>
        </w:rPr>
      </w:pPr>
      <w:r>
        <w:rPr>
          <w:rFonts w:hint="eastAsia" w:ascii="仿宋_GB2312" w:hAnsi="微软雅黑"/>
          <w:bCs/>
          <w:sz w:val="32"/>
        </w:rPr>
        <w:t>鼓励、支持和引导非公有制经济发展，激发非公有制经济活力和创造力；进一步扩大对外开放，积极促进外商投资，平等对待内资企业、外商投资企业等各类市场主体。</w:t>
      </w:r>
    </w:p>
    <w:p>
      <w:pPr>
        <w:pStyle w:val="5"/>
        <w:widowControl w:val="0"/>
        <w:spacing w:line="580" w:lineRule="exact"/>
        <w:ind w:firstLine="640" w:firstLineChars="200"/>
        <w:jc w:val="both"/>
        <w:rPr>
          <w:rFonts w:ascii="仿宋_GB2312" w:hAnsi="微软雅黑"/>
          <w:bCs/>
          <w:sz w:val="32"/>
        </w:rPr>
      </w:pPr>
      <w:r>
        <w:rPr>
          <w:rFonts w:ascii="黑体" w:hAnsi="黑体" w:eastAsia="黑体"/>
          <w:bCs/>
          <w:sz w:val="32"/>
        </w:rPr>
        <w:t>第</w:t>
      </w:r>
      <w:r>
        <w:rPr>
          <w:rFonts w:hint="eastAsia" w:ascii="黑体" w:hAnsi="黑体" w:eastAsia="黑体"/>
          <w:bCs/>
          <w:sz w:val="32"/>
        </w:rPr>
        <w:t>六</w:t>
      </w:r>
      <w:r>
        <w:rPr>
          <w:rFonts w:ascii="黑体" w:hAnsi="黑体" w:eastAsia="黑体"/>
          <w:bCs/>
          <w:sz w:val="32"/>
        </w:rPr>
        <w:t xml:space="preserve">条  </w:t>
      </w:r>
      <w:r>
        <w:rPr>
          <w:rFonts w:ascii="仿宋_GB2312" w:hAnsi="微软雅黑"/>
          <w:bCs/>
          <w:sz w:val="32"/>
        </w:rPr>
        <w:t>设区的市和县（市、区）人民政府及其有关部门</w:t>
      </w:r>
      <w:r>
        <w:rPr>
          <w:rFonts w:hint="eastAsia" w:ascii="仿宋_GB2312" w:hAnsi="微软雅黑"/>
          <w:bCs/>
          <w:sz w:val="32"/>
        </w:rPr>
        <w:t>应当</w:t>
      </w:r>
      <w:r>
        <w:rPr>
          <w:rFonts w:ascii="仿宋_GB2312" w:hAnsi="微软雅黑"/>
          <w:bCs/>
          <w:sz w:val="32"/>
        </w:rPr>
        <w:t>结合实际，探索</w:t>
      </w:r>
      <w:r>
        <w:rPr>
          <w:rFonts w:hint="eastAsia" w:ascii="仿宋_GB2312" w:hAnsi="微软雅黑"/>
          <w:bCs/>
          <w:sz w:val="32"/>
        </w:rPr>
        <w:t>与当地经济社会发展相适宜的</w:t>
      </w:r>
      <w:r>
        <w:rPr>
          <w:rFonts w:ascii="仿宋_GB2312" w:hAnsi="微软雅黑"/>
          <w:bCs/>
          <w:sz w:val="32"/>
        </w:rPr>
        <w:t>优化营商环境具体措施</w:t>
      </w:r>
      <w:r>
        <w:rPr>
          <w:rFonts w:hint="eastAsia" w:ascii="仿宋_GB2312" w:hAnsi="微软雅黑"/>
          <w:bCs/>
          <w:sz w:val="32"/>
        </w:rPr>
        <w:t>并动态调整完善；对</w:t>
      </w:r>
      <w:r>
        <w:rPr>
          <w:rFonts w:ascii="仿宋_GB2312" w:hAnsi="微软雅黑"/>
          <w:bCs/>
          <w:sz w:val="32"/>
        </w:rPr>
        <w:t>行之有效的改革措施</w:t>
      </w:r>
      <w:r>
        <w:rPr>
          <w:rFonts w:hint="eastAsia" w:ascii="仿宋_GB2312" w:hAnsi="微软雅黑"/>
          <w:bCs/>
          <w:sz w:val="32"/>
        </w:rPr>
        <w:t>，可以</w:t>
      </w:r>
      <w:r>
        <w:rPr>
          <w:rFonts w:ascii="仿宋_GB2312" w:hAnsi="微软雅黑"/>
          <w:bCs/>
          <w:sz w:val="32"/>
        </w:rPr>
        <w:t>在全省复制推广</w:t>
      </w:r>
      <w:r>
        <w:rPr>
          <w:rFonts w:hint="eastAsia" w:ascii="仿宋_GB2312" w:hAnsi="微软雅黑"/>
          <w:bCs/>
          <w:sz w:val="32"/>
        </w:rPr>
        <w:t>。</w:t>
      </w:r>
    </w:p>
    <w:p>
      <w:pPr>
        <w:pStyle w:val="5"/>
        <w:widowControl w:val="0"/>
        <w:spacing w:line="580" w:lineRule="exact"/>
        <w:ind w:firstLine="640" w:firstLineChars="200"/>
        <w:jc w:val="both"/>
        <w:rPr>
          <w:rFonts w:ascii="仿宋_GB2312" w:hAnsi="微软雅黑"/>
          <w:bCs/>
          <w:sz w:val="32"/>
        </w:rPr>
      </w:pPr>
      <w:r>
        <w:rPr>
          <w:rFonts w:ascii="仿宋_GB2312" w:hAnsi="微软雅黑"/>
          <w:bCs/>
          <w:sz w:val="32"/>
        </w:rPr>
        <w:t>中国(山东)自由贸易试验区应当在优化营商环境方面发挥引领示范作用，先行先试有利于优化营商环境的各项改革措施。</w:t>
      </w:r>
    </w:p>
    <w:p>
      <w:pPr>
        <w:pStyle w:val="6"/>
        <w:widowControl w:val="0"/>
        <w:overflowPunct w:val="0"/>
        <w:topLinePunct/>
        <w:autoSpaceDE w:val="0"/>
        <w:autoSpaceDN w:val="0"/>
        <w:adjustRightInd w:val="0"/>
        <w:snapToGrid w:val="0"/>
        <w:spacing w:before="0" w:beforeAutospacing="0" w:after="0" w:afterAutospacing="0" w:line="580" w:lineRule="exact"/>
        <w:ind w:firstLine="622"/>
        <w:contextualSpacing/>
        <w:jc w:val="both"/>
        <w:rPr>
          <w:rFonts w:ascii="仿宋_GB2312" w:hAnsi="微软雅黑"/>
          <w:bCs/>
          <w:sz w:val="32"/>
        </w:rPr>
      </w:pPr>
      <w:r>
        <w:rPr>
          <w:rFonts w:hint="eastAsia" w:ascii="黑体" w:hAnsi="黑体" w:eastAsia="黑体"/>
          <w:bCs/>
          <w:sz w:val="32"/>
        </w:rPr>
        <w:t>第七条</w:t>
      </w:r>
      <w:r>
        <w:rPr>
          <w:rFonts w:hint="eastAsia" w:ascii="楷体_GB2312" w:hAnsi="黑体" w:eastAsia="楷体_GB2312"/>
          <w:bCs/>
          <w:sz w:val="32"/>
        </w:rPr>
        <w:t xml:space="preserve">  </w:t>
      </w:r>
      <w:r>
        <w:rPr>
          <w:rFonts w:hint="eastAsia" w:ascii="仿宋_GB2312" w:hAnsi="微软雅黑"/>
          <w:bCs/>
          <w:sz w:val="32"/>
        </w:rPr>
        <w:t>市场主体在生产经营活动中应当遵守法律、法规，遵守社会公德、商业道德，诚实守信，公平竞争，承担安全生产、生态环境保护、耕地保护、消费者权益保护等社会责任。</w:t>
      </w:r>
    </w:p>
    <w:p>
      <w:pPr>
        <w:pStyle w:val="6"/>
        <w:widowControl w:val="0"/>
        <w:overflowPunct w:val="0"/>
        <w:topLinePunct/>
        <w:autoSpaceDE w:val="0"/>
        <w:autoSpaceDN w:val="0"/>
        <w:adjustRightInd w:val="0"/>
        <w:snapToGrid w:val="0"/>
        <w:spacing w:before="0" w:beforeAutospacing="0" w:after="0" w:afterAutospacing="0" w:line="580" w:lineRule="exact"/>
        <w:ind w:firstLine="622"/>
        <w:contextualSpacing/>
        <w:jc w:val="both"/>
        <w:rPr>
          <w:rFonts w:ascii="仿宋_GB2312" w:hAnsi="微软雅黑"/>
          <w:bCs/>
          <w:sz w:val="32"/>
        </w:rPr>
      </w:pPr>
      <w:r>
        <w:rPr>
          <w:rFonts w:hint="eastAsia" w:ascii="黑体" w:hAnsi="黑体" w:eastAsia="黑体"/>
          <w:bCs/>
          <w:sz w:val="32"/>
        </w:rPr>
        <w:t>第八条</w:t>
      </w:r>
      <w:r>
        <w:rPr>
          <w:rFonts w:hint="eastAsia" w:ascii="楷体_GB2312" w:hAnsi="黑体" w:eastAsia="楷体_GB2312"/>
          <w:bCs/>
          <w:sz w:val="32"/>
        </w:rPr>
        <w:t xml:space="preserve">  </w:t>
      </w:r>
      <w:r>
        <w:rPr>
          <w:rFonts w:hint="eastAsia" w:ascii="仿宋_GB2312" w:hAnsi="微软雅黑"/>
          <w:bCs/>
          <w:sz w:val="32"/>
        </w:rPr>
        <w:t>各级人民政府和有关部门以及新闻媒体应当加强优化营商环境的法律、法规、政策措施和</w:t>
      </w:r>
      <w:r>
        <w:rPr>
          <w:rFonts w:ascii="仿宋_GB2312" w:hAnsi="微软雅黑"/>
          <w:bCs/>
          <w:sz w:val="32"/>
        </w:rPr>
        <w:t>先进典型</w:t>
      </w:r>
      <w:r>
        <w:rPr>
          <w:rFonts w:hint="eastAsia" w:ascii="仿宋_GB2312" w:hAnsi="微软雅黑"/>
          <w:bCs/>
          <w:sz w:val="32"/>
        </w:rPr>
        <w:t>的宣传</w:t>
      </w:r>
      <w:r>
        <w:rPr>
          <w:rFonts w:ascii="仿宋_GB2312" w:hAnsi="微软雅黑"/>
          <w:bCs/>
          <w:sz w:val="32"/>
        </w:rPr>
        <w:t>，</w:t>
      </w:r>
      <w:r>
        <w:rPr>
          <w:rFonts w:hint="eastAsia" w:ascii="仿宋_GB2312" w:hAnsi="微软雅黑"/>
          <w:bCs/>
          <w:sz w:val="32"/>
        </w:rPr>
        <w:t>营造良好的优化营商环境社会氛围。</w:t>
      </w:r>
    </w:p>
    <w:p>
      <w:pPr>
        <w:pStyle w:val="6"/>
        <w:widowControl w:val="0"/>
        <w:overflowPunct w:val="0"/>
        <w:topLinePunct/>
        <w:autoSpaceDE w:val="0"/>
        <w:autoSpaceDN w:val="0"/>
        <w:adjustRightInd w:val="0"/>
        <w:snapToGrid w:val="0"/>
        <w:spacing w:before="0" w:beforeAutospacing="0" w:after="0" w:afterAutospacing="0" w:line="580" w:lineRule="exact"/>
        <w:contextualSpacing/>
        <w:jc w:val="both"/>
        <w:rPr>
          <w:bCs/>
          <w:sz w:val="32"/>
        </w:rPr>
      </w:pPr>
    </w:p>
    <w:p>
      <w:pPr>
        <w:pStyle w:val="6"/>
        <w:widowControl w:val="0"/>
        <w:overflowPunct w:val="0"/>
        <w:topLinePunct/>
        <w:autoSpaceDE w:val="0"/>
        <w:autoSpaceDN w:val="0"/>
        <w:adjustRightInd w:val="0"/>
        <w:snapToGrid w:val="0"/>
        <w:spacing w:before="0" w:beforeAutospacing="0" w:after="0" w:afterAutospacing="0" w:line="580" w:lineRule="exact"/>
        <w:contextualSpacing/>
        <w:jc w:val="center"/>
        <w:rPr>
          <w:rFonts w:ascii="黑体" w:hAnsi="黑体" w:eastAsia="黑体"/>
          <w:bCs/>
          <w:sz w:val="32"/>
        </w:rPr>
      </w:pPr>
      <w:r>
        <w:rPr>
          <w:rFonts w:hint="eastAsia" w:ascii="黑体" w:hAnsi="黑体" w:eastAsia="黑体"/>
          <w:bCs/>
          <w:sz w:val="32"/>
        </w:rPr>
        <w:t>第二章  市场环境</w:t>
      </w:r>
    </w:p>
    <w:p>
      <w:pPr>
        <w:pStyle w:val="6"/>
        <w:widowControl w:val="0"/>
        <w:overflowPunct w:val="0"/>
        <w:topLinePunct/>
        <w:autoSpaceDE w:val="0"/>
        <w:autoSpaceDN w:val="0"/>
        <w:adjustRightInd w:val="0"/>
        <w:snapToGrid w:val="0"/>
        <w:spacing w:before="0" w:beforeAutospacing="0" w:after="0" w:afterAutospacing="0" w:line="580" w:lineRule="exact"/>
        <w:contextualSpacing/>
        <w:jc w:val="both"/>
        <w:rPr>
          <w:bCs/>
          <w:sz w:val="32"/>
        </w:rPr>
      </w:pPr>
    </w:p>
    <w:p>
      <w:pPr>
        <w:overflowPunct w:val="0"/>
        <w:topLinePunct/>
        <w:autoSpaceDE w:val="0"/>
        <w:autoSpaceDN w:val="0"/>
        <w:adjustRightInd w:val="0"/>
        <w:snapToGrid w:val="0"/>
        <w:spacing w:line="580" w:lineRule="exact"/>
        <w:ind w:firstLine="640" w:firstLineChars="200"/>
        <w:rPr>
          <w:rFonts w:ascii="仿宋_GB2312"/>
          <w:bCs/>
        </w:rPr>
      </w:pPr>
      <w:r>
        <w:rPr>
          <w:rFonts w:hint="eastAsia" w:ascii="黑体" w:hAnsi="黑体" w:eastAsia="黑体"/>
          <w:bCs/>
        </w:rPr>
        <w:t>第九条</w:t>
      </w:r>
      <w:r>
        <w:rPr>
          <w:rFonts w:hint="eastAsia" w:ascii="楷体_GB2312" w:eastAsia="楷体_GB2312"/>
          <w:bCs/>
        </w:rPr>
        <w:t xml:space="preserve">  </w:t>
      </w:r>
      <w:r>
        <w:rPr>
          <w:rFonts w:hint="eastAsia" w:ascii="仿宋_GB2312"/>
          <w:bCs/>
        </w:rPr>
        <w:t>国家规定的市场准入负面清单以外的领域，各类市场主体均可依法平等进入。</w:t>
      </w:r>
    </w:p>
    <w:p>
      <w:pPr>
        <w:overflowPunct w:val="0"/>
        <w:topLinePunct/>
        <w:autoSpaceDE w:val="0"/>
        <w:autoSpaceDN w:val="0"/>
        <w:adjustRightInd w:val="0"/>
        <w:snapToGrid w:val="0"/>
        <w:spacing w:line="580" w:lineRule="exact"/>
        <w:ind w:firstLine="640" w:firstLineChars="200"/>
        <w:rPr>
          <w:rFonts w:ascii="仿宋_GB2312"/>
          <w:bCs/>
        </w:rPr>
      </w:pPr>
      <w:r>
        <w:rPr>
          <w:rFonts w:hint="eastAsia" w:ascii="仿宋_GB2312" w:hAnsi="黑体"/>
          <w:bCs/>
        </w:rPr>
        <w:t>各级人民政府和有关部门不得</w:t>
      </w:r>
      <w:r>
        <w:rPr>
          <w:rFonts w:hint="eastAsia" w:ascii="仿宋_GB2312"/>
          <w:bCs/>
        </w:rPr>
        <w:t xml:space="preserve">颁布施行歧视非公有制市场主体的政策措施。 </w:t>
      </w:r>
    </w:p>
    <w:p>
      <w:pPr>
        <w:overflowPunct w:val="0"/>
        <w:topLinePunct/>
        <w:autoSpaceDE w:val="0"/>
        <w:autoSpaceDN w:val="0"/>
        <w:adjustRightInd w:val="0"/>
        <w:snapToGrid w:val="0"/>
        <w:spacing w:line="580" w:lineRule="exact"/>
        <w:ind w:firstLine="640" w:firstLineChars="200"/>
        <w:rPr>
          <w:rFonts w:ascii="仿宋_GB2312"/>
          <w:bCs/>
        </w:rPr>
      </w:pPr>
      <w:r>
        <w:rPr>
          <w:rFonts w:hint="eastAsia" w:ascii="仿宋_GB2312"/>
          <w:bCs/>
        </w:rPr>
        <w:t>禁止在市场准入、融资借贷、招标投标等领域设置不合理条件限制或者排斥非公有制市场主体。</w:t>
      </w:r>
    </w:p>
    <w:p>
      <w:pPr>
        <w:overflowPunct w:val="0"/>
        <w:topLinePunct/>
        <w:autoSpaceDE w:val="0"/>
        <w:autoSpaceDN w:val="0"/>
        <w:adjustRightInd w:val="0"/>
        <w:snapToGrid w:val="0"/>
        <w:spacing w:line="580" w:lineRule="exact"/>
        <w:ind w:firstLine="640" w:firstLineChars="200"/>
        <w:rPr>
          <w:rFonts w:ascii="仿宋_GB2312" w:hAnsi="微软雅黑" w:cs="宋体"/>
          <w:bCs/>
        </w:rPr>
      </w:pPr>
      <w:r>
        <w:rPr>
          <w:rFonts w:hint="eastAsia" w:ascii="黑体" w:hAnsi="黑体" w:eastAsia="黑体"/>
          <w:bCs/>
        </w:rPr>
        <w:t>第十条</w:t>
      </w:r>
      <w:r>
        <w:rPr>
          <w:rFonts w:hint="eastAsia" w:ascii="楷体_GB2312" w:hAnsi="楷体" w:eastAsia="楷体_GB2312"/>
          <w:bCs/>
        </w:rPr>
        <w:t xml:space="preserve">  </w:t>
      </w:r>
      <w:r>
        <w:rPr>
          <w:rFonts w:hint="eastAsia" w:ascii="仿宋_GB2312"/>
          <w:bCs/>
        </w:rPr>
        <w:t>县级以上人民政府及其有关部门应当推进“证照分离”改革，持续精简涉企经营许可</w:t>
      </w:r>
      <w:r>
        <w:rPr>
          <w:rFonts w:hint="eastAsia" w:ascii="仿宋_GB2312" w:hAnsi="微软雅黑" w:cs="宋体"/>
          <w:bCs/>
        </w:rPr>
        <w:t>事项，依法采取直接取消审批、审批改为备案、实行告知承诺、优化审批服务等方式，对所有涉企经营许可事项进行分类</w:t>
      </w:r>
      <w:r>
        <w:rPr>
          <w:rFonts w:hint="eastAsia" w:ascii="仿宋_GB2312"/>
          <w:bCs/>
        </w:rPr>
        <w:t>管理，推行证照联办，</w:t>
      </w:r>
      <w:r>
        <w:rPr>
          <w:rFonts w:hint="eastAsia" w:ascii="仿宋_GB2312" w:hAnsi="微软雅黑" w:cs="宋体"/>
          <w:bCs/>
        </w:rPr>
        <w:t>为企业取得营业执照后开展相关经营活动提供便利。</w:t>
      </w:r>
    </w:p>
    <w:p>
      <w:pPr>
        <w:overflowPunct w:val="0"/>
        <w:topLinePunct/>
        <w:autoSpaceDE w:val="0"/>
        <w:autoSpaceDN w:val="0"/>
        <w:adjustRightInd w:val="0"/>
        <w:snapToGrid w:val="0"/>
        <w:spacing w:line="580" w:lineRule="exact"/>
        <w:ind w:firstLine="640" w:firstLineChars="200"/>
        <w:rPr>
          <w:rFonts w:ascii="仿宋_GB2312" w:hAnsi="微软雅黑" w:cs="宋体"/>
          <w:bCs/>
        </w:rPr>
      </w:pPr>
      <w:r>
        <w:rPr>
          <w:rFonts w:hint="eastAsia" w:ascii="仿宋_GB2312"/>
          <w:bCs/>
        </w:rPr>
        <w:t>县级以上人民政府及其有关部门应当按照国家有关规定简</w:t>
      </w:r>
      <w:r>
        <w:rPr>
          <w:rFonts w:hint="eastAsia" w:ascii="仿宋_GB2312" w:hAnsi="微软雅黑" w:cs="宋体"/>
          <w:bCs/>
        </w:rPr>
        <w:t>化企业从设立到具备一般性经营条件所需办理的手续，推行企业登记全程网上办理，实行一次认证、全网通办。</w:t>
      </w:r>
    </w:p>
    <w:p>
      <w:pPr>
        <w:overflowPunct w:val="0"/>
        <w:topLinePunct/>
        <w:autoSpaceDE w:val="0"/>
        <w:autoSpaceDN w:val="0"/>
        <w:adjustRightInd w:val="0"/>
        <w:snapToGrid w:val="0"/>
        <w:spacing w:line="580" w:lineRule="exact"/>
        <w:ind w:firstLine="640" w:firstLineChars="200"/>
        <w:rPr>
          <w:rFonts w:ascii="仿宋_GB2312" w:hAnsi="微软雅黑" w:cs="宋体"/>
          <w:bCs/>
        </w:rPr>
      </w:pPr>
      <w:r>
        <w:rPr>
          <w:rFonts w:hint="eastAsia" w:ascii="仿宋_GB2312" w:hAnsi="微软雅黑" w:cs="宋体"/>
          <w:bCs/>
        </w:rPr>
        <w:t>本省推行“一业一证”改革，将一个行业涉及多个许可证整合为统一的行业综合许可证，精简申请材料，缩短办理时限，加快行业准营进程。具体适用范围和实施办法由省人民政府制定。</w:t>
      </w:r>
    </w:p>
    <w:p>
      <w:pPr>
        <w:overflowPunct w:val="0"/>
        <w:topLinePunct/>
        <w:autoSpaceDE w:val="0"/>
        <w:autoSpaceDN w:val="0"/>
        <w:adjustRightInd w:val="0"/>
        <w:snapToGrid w:val="0"/>
        <w:spacing w:line="580" w:lineRule="exact"/>
        <w:ind w:firstLine="640" w:firstLineChars="200"/>
        <w:rPr>
          <w:rFonts w:ascii="仿宋_GB2312"/>
          <w:bCs/>
        </w:rPr>
      </w:pPr>
      <w:r>
        <w:rPr>
          <w:rFonts w:hint="eastAsia" w:ascii="黑体" w:hAnsi="黑体" w:eastAsia="黑体" w:cs="仿宋"/>
          <w:bCs/>
        </w:rPr>
        <w:t>第十一条</w:t>
      </w:r>
      <w:r>
        <w:rPr>
          <w:rFonts w:hint="eastAsia" w:ascii="楷体_GB2312" w:eastAsia="楷体_GB2312"/>
          <w:bCs/>
        </w:rPr>
        <w:t xml:space="preserve">  </w:t>
      </w:r>
      <w:r>
        <w:rPr>
          <w:rFonts w:hint="eastAsia" w:ascii="仿宋_GB2312"/>
          <w:bCs/>
        </w:rPr>
        <w:t>依法保护各类所有制市场主体财产权和其他合法权益。</w:t>
      </w:r>
    </w:p>
    <w:p>
      <w:pPr>
        <w:overflowPunct w:val="0"/>
        <w:topLinePunct/>
        <w:autoSpaceDE w:val="0"/>
        <w:autoSpaceDN w:val="0"/>
        <w:adjustRightInd w:val="0"/>
        <w:snapToGrid w:val="0"/>
        <w:spacing w:line="580" w:lineRule="exact"/>
        <w:ind w:firstLine="640" w:firstLineChars="200"/>
        <w:rPr>
          <w:rFonts w:ascii="仿宋_GB2312"/>
          <w:bCs/>
        </w:rPr>
      </w:pPr>
      <w:r>
        <w:rPr>
          <w:rFonts w:hint="eastAsia" w:ascii="仿宋_GB2312"/>
          <w:bCs/>
        </w:rPr>
        <w:t>严禁违反法定权限、条件、程序对市场主体的财产和企业经营者个人财产实施查封、扣押、冻结等行政强制措施；依法确需实施前述行政强制措施的，应当限定在所必需的范围内，最大限度减少对市场主体正常生产经营活动的不利影响。</w:t>
      </w:r>
    </w:p>
    <w:p>
      <w:pPr>
        <w:overflowPunct w:val="0"/>
        <w:topLinePunct/>
        <w:autoSpaceDE w:val="0"/>
        <w:autoSpaceDN w:val="0"/>
        <w:adjustRightInd w:val="0"/>
        <w:snapToGrid w:val="0"/>
        <w:spacing w:line="580" w:lineRule="exact"/>
        <w:ind w:firstLine="640" w:firstLineChars="200"/>
        <w:rPr>
          <w:rFonts w:ascii="仿宋_GB2312" w:hAnsi="仿宋_GB2312" w:cs="仿宋_GB2312"/>
          <w:bCs/>
          <w:shd w:val="clear" w:color="auto" w:fill="FFFFFF"/>
        </w:rPr>
      </w:pPr>
      <w:r>
        <w:rPr>
          <w:rFonts w:hint="eastAsia" w:ascii="黑体" w:hAnsi="黑体" w:eastAsia="黑体"/>
          <w:bCs/>
        </w:rPr>
        <w:t>第十二条</w:t>
      </w:r>
      <w:r>
        <w:rPr>
          <w:rFonts w:hint="eastAsia" w:ascii="楷体_GB2312" w:hAnsi="楷体" w:eastAsia="楷体_GB2312"/>
          <w:bCs/>
        </w:rPr>
        <w:t xml:space="preserve">  </w:t>
      </w:r>
      <w:r>
        <w:rPr>
          <w:rFonts w:hint="eastAsia" w:ascii="仿宋_GB2312"/>
          <w:bCs/>
        </w:rPr>
        <w:t>县级以上人民</w:t>
      </w:r>
      <w:r>
        <w:rPr>
          <w:rFonts w:hint="eastAsia" w:ascii="仿宋_GB2312" w:hAnsi="仿宋_GB2312" w:cs="仿宋_GB2312"/>
          <w:bCs/>
          <w:shd w:val="clear" w:color="auto" w:fill="FFFFFF"/>
        </w:rPr>
        <w:t>政府有关部</w:t>
      </w:r>
      <w:r>
        <w:rPr>
          <w:rFonts w:hint="eastAsia" w:ascii="仿宋_GB2312"/>
          <w:bCs/>
        </w:rPr>
        <w:t>门应当按照法定职责，加大反垄断和反不正当竞争执法力度，有效预防和制止市场经济活动中的垄断行为、不正当竞争行为以及滥用行政权力排除、限制竞争的行为，对违法行为依法开展调查和处理，营</w:t>
      </w:r>
      <w:r>
        <w:rPr>
          <w:rFonts w:hint="eastAsia" w:ascii="仿宋_GB2312" w:hAnsi="仿宋_GB2312" w:cs="仿宋_GB2312"/>
          <w:bCs/>
          <w:shd w:val="clear" w:color="auto" w:fill="FFFFFF"/>
        </w:rPr>
        <w:t>造公平竞争的市场环境。</w:t>
      </w:r>
    </w:p>
    <w:p>
      <w:pPr>
        <w:overflowPunct w:val="0"/>
        <w:topLinePunct/>
        <w:autoSpaceDE w:val="0"/>
        <w:autoSpaceDN w:val="0"/>
        <w:adjustRightInd w:val="0"/>
        <w:snapToGrid w:val="0"/>
        <w:spacing w:line="580" w:lineRule="exact"/>
        <w:ind w:firstLine="640" w:firstLineChars="200"/>
        <w:rPr>
          <w:rFonts w:ascii="仿宋_GB2312"/>
          <w:bCs/>
        </w:rPr>
      </w:pPr>
      <w:r>
        <w:rPr>
          <w:rFonts w:hint="eastAsia" w:ascii="黑体" w:hAnsi="黑体" w:eastAsia="黑体"/>
          <w:bCs/>
        </w:rPr>
        <w:t>第十三条</w:t>
      </w:r>
      <w:r>
        <w:rPr>
          <w:rFonts w:hint="eastAsia" w:ascii="楷体_GB2312" w:hAnsi="楷体" w:eastAsia="楷体_GB2312"/>
          <w:bCs/>
        </w:rPr>
        <w:t xml:space="preserve">  </w:t>
      </w:r>
      <w:r>
        <w:rPr>
          <w:rFonts w:hint="eastAsia" w:ascii="仿宋_GB2312"/>
          <w:bCs/>
        </w:rPr>
        <w:t>县级以上人民政府应当营造企业家健康成长环境，弘扬优秀企业家精神，尊重企业家价值，依法保护企业家人身和财产安全，鼓励</w:t>
      </w:r>
      <w:r>
        <w:rPr>
          <w:rFonts w:ascii="仿宋_GB2312"/>
          <w:bCs/>
        </w:rPr>
        <w:t>企业家创业</w:t>
      </w:r>
      <w:r>
        <w:rPr>
          <w:rFonts w:hint="eastAsia" w:ascii="仿宋_GB2312"/>
          <w:bCs/>
        </w:rPr>
        <w:t>创新</w:t>
      </w:r>
      <w:r>
        <w:rPr>
          <w:rFonts w:ascii="仿宋_GB2312"/>
          <w:bCs/>
        </w:rPr>
        <w:t>、</w:t>
      </w:r>
      <w:r>
        <w:rPr>
          <w:rFonts w:hint="eastAsia" w:ascii="仿宋_GB2312"/>
          <w:bCs/>
        </w:rPr>
        <w:t>服务社会。</w:t>
      </w:r>
    </w:p>
    <w:p>
      <w:pPr>
        <w:overflowPunct w:val="0"/>
        <w:topLinePunct/>
        <w:autoSpaceDE w:val="0"/>
        <w:autoSpaceDN w:val="0"/>
        <w:adjustRightInd w:val="0"/>
        <w:snapToGrid w:val="0"/>
        <w:spacing w:line="580" w:lineRule="exact"/>
        <w:ind w:firstLine="640" w:firstLineChars="200"/>
        <w:rPr>
          <w:rFonts w:ascii="仿宋_GB2312" w:hAnsi="微软雅黑"/>
          <w:bCs/>
        </w:rPr>
      </w:pPr>
      <w:r>
        <w:rPr>
          <w:rFonts w:hint="eastAsia" w:ascii="黑体" w:hAnsi="黑体" w:eastAsia="黑体"/>
          <w:bCs/>
        </w:rPr>
        <w:t xml:space="preserve">第十四条  </w:t>
      </w:r>
      <w:r>
        <w:rPr>
          <w:rFonts w:hint="eastAsia" w:ascii="仿宋_GB2312" w:hAnsi="微软雅黑"/>
          <w:bCs/>
        </w:rPr>
        <w:t>县级以上人民政府及其有关部门应当完善有利于创业创新的扶持政策和激励措施，优化创业投资政策环境，统筹安排各类支持创业创新的资金，健全创业辅导制度，完善孵化载体建设，强化服务支撑。</w:t>
      </w:r>
    </w:p>
    <w:p>
      <w:pPr>
        <w:overflowPunct w:val="0"/>
        <w:topLinePunct/>
        <w:autoSpaceDE w:val="0"/>
        <w:autoSpaceDN w:val="0"/>
        <w:adjustRightInd w:val="0"/>
        <w:snapToGrid w:val="0"/>
        <w:spacing w:line="580" w:lineRule="exact"/>
        <w:ind w:firstLine="640" w:firstLineChars="200"/>
        <w:rPr>
          <w:rFonts w:ascii="仿宋_GB2312" w:hAnsi="仿宋" w:cs="仿宋"/>
          <w:bCs/>
        </w:rPr>
      </w:pPr>
      <w:r>
        <w:rPr>
          <w:rFonts w:hint="eastAsia" w:ascii="黑体" w:hAnsi="黑体" w:eastAsia="黑体" w:cs="仿宋"/>
          <w:bCs/>
        </w:rPr>
        <w:t>第十五条</w:t>
      </w:r>
      <w:r>
        <w:rPr>
          <w:rFonts w:hint="eastAsia" w:ascii="黑体" w:hAnsi="黑体" w:eastAsia="黑体"/>
          <w:bCs/>
        </w:rPr>
        <w:t xml:space="preserve">  </w:t>
      </w:r>
      <w:r>
        <w:rPr>
          <w:rFonts w:hint="eastAsia" w:ascii="仿宋_GB2312" w:hAnsi="仿宋" w:cs="仿宋"/>
          <w:bCs/>
        </w:rPr>
        <w:t>县级以上人民政府及其有关部门应当按照规定公示本地区执行的政府性基金、涉企行政事业性收费、涉企保证金和实行政府定价的经营服务性收费目录清单；目录清单以外，任何单位实施行政管理或者提供公共服务不</w:t>
      </w:r>
      <w:r>
        <w:rPr>
          <w:rFonts w:hint="eastAsia" w:ascii="仿宋_GB2312" w:hAnsi="微软雅黑"/>
          <w:bCs/>
        </w:rPr>
        <w:t>得向企业和其他市场主体收取任何费用。推广以银行保函、保证</w:t>
      </w:r>
      <w:r>
        <w:rPr>
          <w:rFonts w:hint="eastAsia" w:ascii="仿宋_GB2312" w:hAnsi="仿宋" w:cs="仿宋"/>
          <w:bCs/>
        </w:rPr>
        <w:t>保险替代现金缴纳涉企保证金。</w:t>
      </w:r>
    </w:p>
    <w:p>
      <w:pPr>
        <w:overflowPunct w:val="0"/>
        <w:topLinePunct/>
        <w:autoSpaceDE w:val="0"/>
        <w:autoSpaceDN w:val="0"/>
        <w:adjustRightInd w:val="0"/>
        <w:snapToGrid w:val="0"/>
        <w:spacing w:line="580" w:lineRule="exact"/>
        <w:ind w:firstLine="640" w:firstLineChars="200"/>
        <w:rPr>
          <w:rFonts w:ascii="仿宋_GB2312" w:hAnsi="仿宋" w:cs="仿宋"/>
          <w:bCs/>
        </w:rPr>
      </w:pPr>
      <w:r>
        <w:rPr>
          <w:rFonts w:hint="eastAsia" w:ascii="仿宋_GB2312" w:hAnsi="仿宋" w:cs="仿宋"/>
          <w:bCs/>
        </w:rPr>
        <w:t>除法律、法规另有规定外，任何单位和个人不得强制或者变相强制市场主体参加评比、达标、表彰、培训、考核、考试以及类似活动，不得借前述活动向市场主体收费或者变相收费。市场主体有权拒绝任何形式的摊派和强制捐赠。</w:t>
      </w:r>
    </w:p>
    <w:p>
      <w:pPr>
        <w:overflowPunct w:val="0"/>
        <w:topLinePunct/>
        <w:autoSpaceDE w:val="0"/>
        <w:autoSpaceDN w:val="0"/>
        <w:adjustRightInd w:val="0"/>
        <w:snapToGrid w:val="0"/>
        <w:spacing w:line="580" w:lineRule="exact"/>
        <w:ind w:firstLine="640" w:firstLineChars="200"/>
        <w:rPr>
          <w:rFonts w:ascii="仿宋_GB2312" w:hAnsi="微软雅黑"/>
          <w:bCs/>
        </w:rPr>
      </w:pPr>
      <w:r>
        <w:rPr>
          <w:rFonts w:hint="eastAsia" w:ascii="黑体" w:hAnsi="黑体" w:eastAsia="黑体"/>
          <w:bCs/>
        </w:rPr>
        <w:t>第十六条</w:t>
      </w:r>
      <w:r>
        <w:rPr>
          <w:rFonts w:hint="eastAsia" w:ascii="楷体_GB2312" w:hAnsi="黑体" w:eastAsia="楷体_GB2312"/>
          <w:bCs/>
        </w:rPr>
        <w:t xml:space="preserve">  </w:t>
      </w:r>
      <w:r>
        <w:rPr>
          <w:rFonts w:hint="eastAsia" w:ascii="仿宋_GB2312" w:hAnsi="微软雅黑"/>
          <w:bCs/>
        </w:rPr>
        <w:t>鼓励金融机构和</w:t>
      </w:r>
      <w:r>
        <w:rPr>
          <w:rFonts w:ascii="仿宋_GB2312" w:hAnsi="微软雅黑"/>
          <w:bCs/>
        </w:rPr>
        <w:t>地方金融组织</w:t>
      </w:r>
      <w:r>
        <w:rPr>
          <w:rFonts w:hint="eastAsia" w:ascii="仿宋_GB2312" w:hAnsi="微软雅黑"/>
          <w:bCs/>
        </w:rPr>
        <w:t>加大对民营</w:t>
      </w:r>
      <w:r>
        <w:rPr>
          <w:rFonts w:ascii="仿宋_GB2312" w:hAnsi="微软雅黑"/>
          <w:bCs/>
        </w:rPr>
        <w:t>企业、中小企业</w:t>
      </w:r>
      <w:r>
        <w:rPr>
          <w:rFonts w:hint="eastAsia" w:ascii="仿宋_GB2312" w:hAnsi="微软雅黑"/>
          <w:bCs/>
        </w:rPr>
        <w:t>的支持力度，在依法合规、风险可控的基础上创新金融产品，优化金融服务流程，降低市场主体的</w:t>
      </w:r>
      <w:r>
        <w:rPr>
          <w:rFonts w:ascii="仿宋_GB2312" w:hAnsi="微软雅黑"/>
          <w:bCs/>
        </w:rPr>
        <w:t>综合融资</w:t>
      </w:r>
      <w:r>
        <w:rPr>
          <w:rFonts w:hint="eastAsia" w:ascii="仿宋_GB2312" w:hAnsi="微软雅黑"/>
          <w:bCs/>
        </w:rPr>
        <w:t>成本，为市场主体提供优质高效便捷的金融支持。</w:t>
      </w:r>
    </w:p>
    <w:p>
      <w:pPr>
        <w:overflowPunct w:val="0"/>
        <w:topLinePunct/>
        <w:autoSpaceDE w:val="0"/>
        <w:autoSpaceDN w:val="0"/>
        <w:adjustRightInd w:val="0"/>
        <w:snapToGrid w:val="0"/>
        <w:spacing w:line="580" w:lineRule="exact"/>
        <w:ind w:firstLine="640" w:firstLineChars="200"/>
        <w:rPr>
          <w:rFonts w:ascii="仿宋_GB2312" w:hAnsi="微软雅黑"/>
          <w:bCs/>
        </w:rPr>
      </w:pPr>
      <w:r>
        <w:rPr>
          <w:rFonts w:hint="eastAsia" w:ascii="仿宋_GB2312" w:hAnsi="微软雅黑"/>
          <w:bCs/>
        </w:rPr>
        <w:t>省人民政府大数据工作主管部门应当会同有关部门和机构，建立健全企业</w:t>
      </w:r>
      <w:r>
        <w:rPr>
          <w:rFonts w:ascii="仿宋_GB2312" w:hAnsi="微软雅黑"/>
          <w:bCs/>
        </w:rPr>
        <w:t>融资服务平台，整合融资需求、</w:t>
      </w:r>
      <w:r>
        <w:rPr>
          <w:rFonts w:hint="eastAsia" w:ascii="仿宋_GB2312" w:hAnsi="微软雅黑"/>
          <w:bCs/>
        </w:rPr>
        <w:t>金融供给、征信服务、进出口、税收和社会保险等信息</w:t>
      </w:r>
      <w:r>
        <w:rPr>
          <w:rFonts w:ascii="仿宋_GB2312" w:hAnsi="微软雅黑"/>
          <w:bCs/>
        </w:rPr>
        <w:t>，</w:t>
      </w:r>
      <w:r>
        <w:rPr>
          <w:rFonts w:hint="eastAsia" w:ascii="仿宋_GB2312" w:hAnsi="微软雅黑"/>
          <w:bCs/>
        </w:rPr>
        <w:t>提升金融机构向企业提供信贷便利化程度。</w:t>
      </w:r>
    </w:p>
    <w:p>
      <w:pPr>
        <w:overflowPunct w:val="0"/>
        <w:topLinePunct/>
        <w:autoSpaceDE w:val="0"/>
        <w:autoSpaceDN w:val="0"/>
        <w:adjustRightInd w:val="0"/>
        <w:snapToGrid w:val="0"/>
        <w:spacing w:line="580" w:lineRule="exact"/>
        <w:ind w:firstLine="640" w:firstLineChars="200"/>
        <w:rPr>
          <w:rFonts w:ascii="仿宋_GB2312" w:hAnsi="微软雅黑"/>
          <w:bCs/>
        </w:rPr>
      </w:pPr>
      <w:r>
        <w:rPr>
          <w:rFonts w:hint="eastAsia" w:ascii="黑体" w:hAnsi="黑体" w:eastAsia="黑体"/>
          <w:bCs/>
        </w:rPr>
        <w:t xml:space="preserve">第十七条  </w:t>
      </w:r>
      <w:r>
        <w:rPr>
          <w:rFonts w:hint="eastAsia" w:ascii="仿宋_GB2312" w:hAnsi="微软雅黑"/>
          <w:bCs/>
        </w:rPr>
        <w:t>县级以上人民政府及其有关部门应当鼓励金融机构为民营</w:t>
      </w:r>
      <w:r>
        <w:rPr>
          <w:rFonts w:ascii="仿宋_GB2312" w:hAnsi="微软雅黑"/>
          <w:bCs/>
        </w:rPr>
        <w:t>企业、</w:t>
      </w:r>
      <w:r>
        <w:rPr>
          <w:rFonts w:hint="eastAsia" w:ascii="仿宋_GB2312" w:hAnsi="微软雅黑"/>
          <w:bCs/>
        </w:rPr>
        <w:t>中小企业提供融资、结算等金融服务，提高对民营</w:t>
      </w:r>
      <w:r>
        <w:rPr>
          <w:rFonts w:ascii="仿宋_GB2312" w:hAnsi="微软雅黑"/>
          <w:bCs/>
        </w:rPr>
        <w:t>企业、</w:t>
      </w:r>
      <w:r>
        <w:rPr>
          <w:rFonts w:hint="eastAsia" w:ascii="仿宋_GB2312" w:hAnsi="微软雅黑"/>
          <w:bCs/>
        </w:rPr>
        <w:t>中小企业信贷规模和比重。</w:t>
      </w:r>
    </w:p>
    <w:p>
      <w:pPr>
        <w:overflowPunct w:val="0"/>
        <w:topLinePunct/>
        <w:autoSpaceDE w:val="0"/>
        <w:autoSpaceDN w:val="0"/>
        <w:adjustRightInd w:val="0"/>
        <w:snapToGrid w:val="0"/>
        <w:spacing w:line="580" w:lineRule="exact"/>
        <w:ind w:firstLine="640" w:firstLineChars="200"/>
        <w:rPr>
          <w:rFonts w:ascii="仿宋_GB2312" w:hAnsi="微软雅黑"/>
          <w:bCs/>
        </w:rPr>
      </w:pPr>
      <w:r>
        <w:rPr>
          <w:rFonts w:hint="eastAsia" w:ascii="仿宋_GB2312" w:hAnsi="微软雅黑"/>
          <w:bCs/>
        </w:rPr>
        <w:t>本省建立政府性融资担保体系，完善融资担保风险补偿机制，引导融资担保机构加大对中小企业发展的金融支持力度。</w:t>
      </w:r>
    </w:p>
    <w:p>
      <w:pPr>
        <w:overflowPunct w:val="0"/>
        <w:topLinePunct/>
        <w:autoSpaceDE w:val="0"/>
        <w:autoSpaceDN w:val="0"/>
        <w:adjustRightInd w:val="0"/>
        <w:snapToGrid w:val="0"/>
        <w:spacing w:line="580" w:lineRule="exact"/>
        <w:ind w:firstLine="640" w:firstLineChars="200"/>
        <w:rPr>
          <w:rFonts w:ascii="仿宋_GB2312"/>
          <w:bCs/>
        </w:rPr>
      </w:pPr>
      <w:r>
        <w:rPr>
          <w:rFonts w:hint="eastAsia" w:ascii="黑体" w:hAnsi="黑体" w:eastAsia="黑体"/>
          <w:bCs/>
        </w:rPr>
        <w:t xml:space="preserve">第十八条  </w:t>
      </w:r>
      <w:r>
        <w:rPr>
          <w:rFonts w:hint="eastAsia" w:ascii="仿宋_GB2312"/>
          <w:bCs/>
        </w:rPr>
        <w:t>供水、供电、供气、供热、排水与污水处理等公用企业，应当向社会公开服务标准、服务流程、办理时限、资费标准等信息，简化报装手续、优化办理流程、降低报装成本，为市场主体提供安全、方便、快捷、稳定和价格合理的服务，不得强迫市场主体接受不合理的服务条件，不得以任何名义收取不合理费用。</w:t>
      </w:r>
    </w:p>
    <w:p>
      <w:pPr>
        <w:overflowPunct w:val="0"/>
        <w:topLinePunct/>
        <w:autoSpaceDE w:val="0"/>
        <w:autoSpaceDN w:val="0"/>
        <w:adjustRightInd w:val="0"/>
        <w:snapToGrid w:val="0"/>
        <w:spacing w:line="580" w:lineRule="exact"/>
        <w:ind w:firstLine="640" w:firstLineChars="200"/>
        <w:rPr>
          <w:rFonts w:ascii="仿宋_GB2312"/>
          <w:bCs/>
        </w:rPr>
      </w:pPr>
      <w:r>
        <w:rPr>
          <w:rFonts w:hint="eastAsia" w:ascii="黑体" w:hAnsi="黑体" w:eastAsia="黑体"/>
          <w:bCs/>
        </w:rPr>
        <w:t xml:space="preserve">第十九条  </w:t>
      </w:r>
      <w:r>
        <w:rPr>
          <w:rFonts w:hint="eastAsia" w:ascii="仿宋_GB2312"/>
          <w:bCs/>
        </w:rPr>
        <w:t>县级以上人民政府有关部门应当及时清理规范行政审批过程中的中介服务行为，编制行政审批中介服务事项目录。中介服务机构应当明确办理法定行政审批中介服务的条件、流程、时限、收费标准，并向社会公开。</w:t>
      </w:r>
    </w:p>
    <w:p>
      <w:pPr>
        <w:overflowPunct w:val="0"/>
        <w:topLinePunct/>
        <w:autoSpaceDE w:val="0"/>
        <w:autoSpaceDN w:val="0"/>
        <w:adjustRightInd w:val="0"/>
        <w:snapToGrid w:val="0"/>
        <w:spacing w:line="580" w:lineRule="exact"/>
        <w:ind w:firstLine="640" w:firstLineChars="200"/>
        <w:rPr>
          <w:rFonts w:ascii="仿宋_GB2312"/>
          <w:bCs/>
        </w:rPr>
      </w:pPr>
      <w:r>
        <w:rPr>
          <w:rFonts w:hint="eastAsia" w:ascii="仿宋_GB2312"/>
          <w:bCs/>
        </w:rPr>
        <w:t>行政机关不得为市场主体指定或者变相指定中介服务机构；除法定行政审批中介服务外，不得强制或者变相强制市场主体接受中介服务。行政机关所属事业单位、主管的社会组织及其举办的企业不得开展与本机关所负责行政审批相关的中介服务，法律、行政法规另有规定的除外。</w:t>
      </w:r>
    </w:p>
    <w:p>
      <w:pPr>
        <w:overflowPunct w:val="0"/>
        <w:topLinePunct/>
        <w:autoSpaceDE w:val="0"/>
        <w:autoSpaceDN w:val="0"/>
        <w:adjustRightInd w:val="0"/>
        <w:snapToGrid w:val="0"/>
        <w:spacing w:line="580" w:lineRule="exact"/>
        <w:ind w:firstLine="640" w:firstLineChars="200"/>
        <w:rPr>
          <w:rFonts w:ascii="仿宋_GB2312"/>
          <w:bCs/>
        </w:rPr>
      </w:pPr>
      <w:r>
        <w:rPr>
          <w:rFonts w:hint="eastAsia" w:ascii="仿宋_GB2312"/>
          <w:bCs/>
        </w:rPr>
        <w:t>行政机关在行政审批过程中需要委托中介服务机构开展技术性服务的，应当通过竞争性方式选择中介服务机构，并自行承担服务费用，不得转嫁给市场主体承担。</w:t>
      </w:r>
    </w:p>
    <w:p>
      <w:pPr>
        <w:overflowPunct w:val="0"/>
        <w:topLinePunct/>
        <w:autoSpaceDE w:val="0"/>
        <w:autoSpaceDN w:val="0"/>
        <w:adjustRightInd w:val="0"/>
        <w:snapToGrid w:val="0"/>
        <w:spacing w:line="580" w:lineRule="exact"/>
        <w:ind w:firstLine="640" w:firstLineChars="200"/>
        <w:rPr>
          <w:rFonts w:ascii="仿宋_GB2312" w:hAnsi="微软雅黑"/>
          <w:bCs/>
        </w:rPr>
      </w:pPr>
      <w:r>
        <w:rPr>
          <w:rFonts w:hint="eastAsia" w:ascii="黑体" w:hAnsi="黑体" w:eastAsia="黑体"/>
          <w:bCs/>
        </w:rPr>
        <w:t xml:space="preserve">第二十条  </w:t>
      </w:r>
      <w:r>
        <w:rPr>
          <w:rFonts w:hint="eastAsia" w:ascii="仿宋_GB2312" w:hAnsi="微软雅黑"/>
          <w:bCs/>
        </w:rPr>
        <w:t>行业协会商会应当加强行业指导和自律管理，反映企业和行业诉求，为市场主体提供信息咨询、宣传培训、市场拓展、权益保护、纠纷处理等服务，加强对行业运行态势的研究分析和预测预警，向县级人民政府及其有关部门反映涉及企业和行业利益的意见和建议。</w:t>
      </w:r>
    </w:p>
    <w:p>
      <w:pPr>
        <w:overflowPunct w:val="0"/>
        <w:topLinePunct/>
        <w:autoSpaceDE w:val="0"/>
        <w:autoSpaceDN w:val="0"/>
        <w:adjustRightInd w:val="0"/>
        <w:snapToGrid w:val="0"/>
        <w:spacing w:line="580" w:lineRule="exact"/>
        <w:ind w:firstLine="640" w:firstLineChars="200"/>
        <w:rPr>
          <w:rFonts w:ascii="仿宋_GB2312" w:hAnsi="微软雅黑" w:cs="宋体"/>
          <w:bCs/>
        </w:rPr>
      </w:pPr>
      <w:r>
        <w:rPr>
          <w:rFonts w:hint="eastAsia" w:ascii="仿宋_GB2312" w:hAnsi="微软雅黑" w:cs="宋体"/>
          <w:bCs/>
        </w:rPr>
        <w:t>行业协会</w:t>
      </w:r>
      <w:r>
        <w:rPr>
          <w:rFonts w:ascii="仿宋_GB2312" w:hAnsi="微软雅黑" w:cs="宋体"/>
          <w:bCs/>
        </w:rPr>
        <w:t>商会</w:t>
      </w:r>
      <w:r>
        <w:rPr>
          <w:rFonts w:hint="eastAsia" w:ascii="仿宋_GB2312" w:hAnsi="微软雅黑" w:cs="宋体"/>
          <w:bCs/>
        </w:rPr>
        <w:t>应当严格执行国家有关收费、评比、认定等规定，不得组织市场主体达成垄断协议，排除、限制竞争。</w:t>
      </w:r>
    </w:p>
    <w:p>
      <w:pPr>
        <w:overflowPunct w:val="0"/>
        <w:topLinePunct/>
        <w:autoSpaceDE w:val="0"/>
        <w:autoSpaceDN w:val="0"/>
        <w:adjustRightInd w:val="0"/>
        <w:snapToGrid w:val="0"/>
        <w:spacing w:line="580" w:lineRule="exact"/>
        <w:ind w:firstLine="640" w:firstLineChars="200"/>
        <w:rPr>
          <w:rFonts w:ascii="仿宋_GB2312" w:hAnsi="微软雅黑" w:cs="宋体"/>
          <w:bCs/>
        </w:rPr>
      </w:pPr>
      <w:r>
        <w:rPr>
          <w:rFonts w:hint="eastAsia" w:ascii="仿宋_GB2312" w:hAnsi="微软雅黑" w:cs="宋体"/>
          <w:bCs/>
        </w:rPr>
        <w:t>县级以上人民政府制定行业发展政策措施和开展实施效果评价时，应当充分听取行业协会商会的意见。</w:t>
      </w:r>
    </w:p>
    <w:p>
      <w:pPr>
        <w:overflowPunct w:val="0"/>
        <w:topLinePunct/>
        <w:autoSpaceDE w:val="0"/>
        <w:autoSpaceDN w:val="0"/>
        <w:adjustRightInd w:val="0"/>
        <w:snapToGrid w:val="0"/>
        <w:spacing w:line="580" w:lineRule="exact"/>
        <w:ind w:firstLine="640" w:firstLineChars="200"/>
        <w:rPr>
          <w:rFonts w:ascii="仿宋_GB2312"/>
          <w:bCs/>
        </w:rPr>
      </w:pPr>
      <w:r>
        <w:rPr>
          <w:rFonts w:hint="eastAsia" w:ascii="黑体" w:hAnsi="黑体" w:eastAsia="黑体"/>
          <w:bCs/>
        </w:rPr>
        <w:t>第二十一条</w:t>
      </w:r>
      <w:r>
        <w:rPr>
          <w:rFonts w:hint="eastAsia" w:ascii="楷体_GB2312" w:hAnsi="楷体" w:eastAsia="楷体_GB2312"/>
          <w:bCs/>
        </w:rPr>
        <w:t xml:space="preserve">  </w:t>
      </w:r>
      <w:r>
        <w:rPr>
          <w:rFonts w:hint="eastAsia" w:ascii="仿宋_GB2312"/>
          <w:bCs/>
        </w:rPr>
        <w:t>县级以上人民政府应当按照国家规定，加大中小投资者权益保护力度，完善中小投资者权益保护相关制度，保障中小投资者的知情权、表决权、收益权和监督权。</w:t>
      </w:r>
    </w:p>
    <w:p>
      <w:pPr>
        <w:overflowPunct w:val="0"/>
        <w:topLinePunct/>
        <w:autoSpaceDE w:val="0"/>
        <w:autoSpaceDN w:val="0"/>
        <w:adjustRightInd w:val="0"/>
        <w:snapToGrid w:val="0"/>
        <w:spacing w:line="580" w:lineRule="exact"/>
        <w:ind w:firstLine="640" w:firstLineChars="200"/>
        <w:rPr>
          <w:rFonts w:ascii="仿宋_GB2312"/>
          <w:bCs/>
        </w:rPr>
      </w:pPr>
      <w:r>
        <w:rPr>
          <w:rFonts w:hint="eastAsia" w:ascii="仿宋_GB2312"/>
          <w:bCs/>
        </w:rPr>
        <w:t>国家机关、事业单位不得违约拖欠市场主体的货物、工程、服务等款项，大型企业不得利用市场优势地位拖欠中小企业账款。市场主体有权依法要求拖欠方支付拖欠款并对拖欠造成的损失进行赔偿。</w:t>
      </w:r>
    </w:p>
    <w:p>
      <w:pPr>
        <w:overflowPunct w:val="0"/>
        <w:topLinePunct/>
        <w:autoSpaceDE w:val="0"/>
        <w:autoSpaceDN w:val="0"/>
        <w:adjustRightInd w:val="0"/>
        <w:snapToGrid w:val="0"/>
        <w:spacing w:line="580" w:lineRule="exact"/>
        <w:ind w:firstLine="640" w:firstLineChars="200"/>
        <w:rPr>
          <w:rFonts w:ascii="仿宋_GB2312"/>
          <w:bCs/>
        </w:rPr>
      </w:pPr>
      <w:r>
        <w:rPr>
          <w:rFonts w:hint="eastAsia" w:ascii="黑体" w:hAnsi="黑体" w:eastAsia="黑体"/>
          <w:bCs/>
        </w:rPr>
        <w:t xml:space="preserve">第二十二条  </w:t>
      </w:r>
      <w:r>
        <w:rPr>
          <w:rFonts w:hint="eastAsia" w:ascii="仿宋_GB2312"/>
          <w:bCs/>
        </w:rPr>
        <w:t>海关、商务、交通运输等部门应当建立健全合作机制，推行国际贸易“单一窗口”服务和全程通关流程电子化，精简进出口环节监管证件，优化通关流程，促进跨境贸易便利化。</w:t>
      </w:r>
    </w:p>
    <w:p>
      <w:pPr>
        <w:overflowPunct w:val="0"/>
        <w:topLinePunct/>
        <w:autoSpaceDE w:val="0"/>
        <w:autoSpaceDN w:val="0"/>
        <w:adjustRightInd w:val="0"/>
        <w:snapToGrid w:val="0"/>
        <w:spacing w:line="580" w:lineRule="exact"/>
        <w:ind w:firstLine="640" w:firstLineChars="200"/>
        <w:rPr>
          <w:rFonts w:ascii="仿宋_GB2312"/>
          <w:bCs/>
        </w:rPr>
      </w:pPr>
      <w:r>
        <w:rPr>
          <w:rFonts w:hint="eastAsia" w:ascii="仿宋_GB2312"/>
          <w:bCs/>
        </w:rPr>
        <w:t>口岸收费实行目录清单公示制度，清单以外不得收取任何费用。</w:t>
      </w:r>
    </w:p>
    <w:p>
      <w:pPr>
        <w:overflowPunct w:val="0"/>
        <w:topLinePunct/>
        <w:autoSpaceDE w:val="0"/>
        <w:autoSpaceDN w:val="0"/>
        <w:adjustRightInd w:val="0"/>
        <w:snapToGrid w:val="0"/>
        <w:spacing w:line="580" w:lineRule="exact"/>
        <w:ind w:firstLine="640" w:firstLineChars="200"/>
        <w:rPr>
          <w:rFonts w:ascii="仿宋_GB2312" w:hAnsi="黑体"/>
          <w:bCs/>
        </w:rPr>
      </w:pPr>
      <w:r>
        <w:rPr>
          <w:rFonts w:hint="eastAsia" w:ascii="黑体" w:hAnsi="黑体" w:eastAsia="黑体"/>
          <w:bCs/>
        </w:rPr>
        <w:t>第二十三条</w:t>
      </w:r>
      <w:r>
        <w:rPr>
          <w:rFonts w:hint="eastAsia" w:ascii="楷体_GB2312" w:hAnsi="黑体" w:eastAsia="楷体_GB2312"/>
          <w:bCs/>
        </w:rPr>
        <w:t xml:space="preserve">  </w:t>
      </w:r>
      <w:r>
        <w:rPr>
          <w:rFonts w:hint="eastAsia" w:ascii="仿宋_GB2312"/>
          <w:bCs/>
        </w:rPr>
        <w:t>县级以上人民政府行政审批服务、</w:t>
      </w:r>
      <w:r>
        <w:rPr>
          <w:rFonts w:hint="eastAsia" w:ascii="仿宋_GB2312" w:hAnsi="微软雅黑"/>
          <w:bCs/>
        </w:rPr>
        <w:t>市场监督管理等部门</w:t>
      </w:r>
      <w:r>
        <w:rPr>
          <w:rStyle w:val="9"/>
          <w:rFonts w:hint="eastAsia" w:ascii="仿宋_GB2312" w:hAnsi="黑体"/>
          <w:bCs/>
        </w:rPr>
        <w:t>应</w:t>
      </w:r>
      <w:r>
        <w:rPr>
          <w:rFonts w:hint="eastAsia" w:ascii="仿宋_GB2312"/>
        </w:rPr>
        <w:t>当</w:t>
      </w:r>
      <w:r>
        <w:rPr>
          <w:rFonts w:hint="eastAsia" w:ascii="仿宋_GB2312"/>
          <w:bCs/>
        </w:rPr>
        <w:t>优化市场主体注销办理流程，依托一体化政务服务平台，设立企业注销网上服务专区，推</w:t>
      </w:r>
      <w:r>
        <w:rPr>
          <w:rFonts w:hint="eastAsia" w:ascii="仿宋_GB2312" w:hAnsi="微软雅黑"/>
          <w:bCs/>
        </w:rPr>
        <w:t>行注销“一网</w:t>
      </w:r>
      <w:r>
        <w:rPr>
          <w:rFonts w:hint="eastAsia" w:ascii="仿宋_GB2312"/>
          <w:bCs/>
        </w:rPr>
        <w:t>通办”</w:t>
      </w:r>
      <w:r>
        <w:rPr>
          <w:rFonts w:hint="eastAsia"/>
        </w:rPr>
        <w:t>。</w:t>
      </w:r>
      <w:r>
        <w:rPr>
          <w:rStyle w:val="9"/>
          <w:rFonts w:hint="eastAsia" w:ascii="仿宋_GB2312" w:hAnsi="黑体"/>
          <w:bCs/>
        </w:rPr>
        <w:t>对设立后未开展生产经营活动或者无债权债务的市场主体，可以按照简易程序办理注销；对有债权债务的市场主体，在债权债务依法解决后及时办理注销。</w:t>
      </w:r>
      <w:bookmarkStart w:id="0" w:name="No97_Z3T33K2"/>
      <w:bookmarkEnd w:id="0"/>
    </w:p>
    <w:p>
      <w:pPr>
        <w:overflowPunct w:val="0"/>
        <w:topLinePunct/>
        <w:autoSpaceDE w:val="0"/>
        <w:autoSpaceDN w:val="0"/>
        <w:adjustRightInd w:val="0"/>
        <w:snapToGrid w:val="0"/>
        <w:spacing w:line="580" w:lineRule="exact"/>
        <w:ind w:firstLine="640" w:firstLineChars="200"/>
        <w:rPr>
          <w:rFonts w:ascii="仿宋_GB2312"/>
          <w:bCs/>
        </w:rPr>
      </w:pPr>
      <w:r>
        <w:rPr>
          <w:rFonts w:hint="eastAsia" w:ascii="黑体" w:hAnsi="黑体" w:eastAsia="黑体"/>
          <w:bCs/>
        </w:rPr>
        <w:t xml:space="preserve">第二十四条  </w:t>
      </w:r>
      <w:r>
        <w:rPr>
          <w:rStyle w:val="9"/>
          <w:rFonts w:hint="eastAsia" w:ascii="仿宋_GB2312" w:hAnsi="黑体"/>
        </w:rPr>
        <w:t>县级以上人民政府、人民法院应当建立和完善企业破产工作协调机制，协调解决企业破产启动、职工安置、资产处置、信用修复、涉税事项处理、破产企业重组等问题。</w:t>
      </w:r>
    </w:p>
    <w:p>
      <w:pPr>
        <w:overflowPunct w:val="0"/>
        <w:topLinePunct/>
        <w:autoSpaceDE w:val="0"/>
        <w:autoSpaceDN w:val="0"/>
        <w:adjustRightInd w:val="0"/>
        <w:snapToGrid w:val="0"/>
        <w:spacing w:line="580" w:lineRule="exact"/>
        <w:ind w:firstLine="640" w:firstLineChars="200"/>
        <w:rPr>
          <w:rStyle w:val="9"/>
          <w:rFonts w:ascii="仿宋_GB2312"/>
        </w:rPr>
      </w:pPr>
      <w:r>
        <w:rPr>
          <w:rFonts w:hint="eastAsia" w:ascii="黑体" w:hAnsi="黑体" w:eastAsia="黑体"/>
          <w:bCs/>
        </w:rPr>
        <w:t xml:space="preserve">第二十五条  </w:t>
      </w:r>
      <w:r>
        <w:rPr>
          <w:rStyle w:val="9"/>
          <w:rFonts w:hint="eastAsia" w:ascii="仿宋_GB2312"/>
        </w:rPr>
        <w:t>人民法院应当健全重整企业识别审查机制，对具有挽救价值和可能的困境企业进行破产重整，对没有挽救价值和可能的企业通过破产清算实现市场出清；建立执行与破产衔接机制，推进破产案件繁简分流，降低破产成本，提高审判效率。</w:t>
      </w:r>
    </w:p>
    <w:p>
      <w:pPr>
        <w:overflowPunct w:val="0"/>
        <w:topLinePunct/>
        <w:autoSpaceDE w:val="0"/>
        <w:autoSpaceDN w:val="0"/>
        <w:adjustRightInd w:val="0"/>
        <w:snapToGrid w:val="0"/>
        <w:spacing w:line="580" w:lineRule="exact"/>
        <w:ind w:firstLine="640" w:firstLineChars="200"/>
        <w:rPr>
          <w:rStyle w:val="9"/>
          <w:rFonts w:ascii="仿宋_GB2312"/>
        </w:rPr>
      </w:pPr>
      <w:r>
        <w:rPr>
          <w:rStyle w:val="9"/>
          <w:rFonts w:hint="eastAsia" w:ascii="仿宋_GB2312"/>
        </w:rPr>
        <w:t>人民法院应当健全破产案件债权人权益保障机制，保障债权人会议对破产企业财产分配、处置的决策权，保障债权人的知情权、参与权和监督权。</w:t>
      </w:r>
    </w:p>
    <w:p>
      <w:pPr>
        <w:overflowPunct w:val="0"/>
        <w:topLinePunct/>
        <w:autoSpaceDE w:val="0"/>
        <w:autoSpaceDN w:val="0"/>
        <w:adjustRightInd w:val="0"/>
        <w:snapToGrid w:val="0"/>
        <w:spacing w:line="580" w:lineRule="exact"/>
        <w:ind w:firstLine="640" w:firstLineChars="200"/>
        <w:rPr>
          <w:rStyle w:val="9"/>
          <w:rFonts w:ascii="仿宋_GB2312"/>
        </w:rPr>
      </w:pPr>
      <w:r>
        <w:rPr>
          <w:rStyle w:val="9"/>
          <w:rFonts w:hint="eastAsia" w:ascii="仿宋_GB2312"/>
        </w:rPr>
        <w:t>人民法院应当加强对破产案件管理人工作的监督和指导，健全完善破产案件管理人工作规则，提高破产案件管理人工作质量和效率；破产管理人协会应当加强行业自律，提高破产管理人的履职能力和水平。</w:t>
      </w:r>
    </w:p>
    <w:p>
      <w:pPr>
        <w:overflowPunct w:val="0"/>
        <w:topLinePunct/>
        <w:autoSpaceDE w:val="0"/>
        <w:autoSpaceDN w:val="0"/>
        <w:adjustRightInd w:val="0"/>
        <w:snapToGrid w:val="0"/>
        <w:spacing w:line="580" w:lineRule="exact"/>
        <w:ind w:firstLine="640" w:firstLineChars="200"/>
        <w:rPr>
          <w:rStyle w:val="9"/>
          <w:rFonts w:ascii="仿宋_GB2312"/>
        </w:rPr>
      </w:pPr>
      <w:r>
        <w:rPr>
          <w:rFonts w:hint="eastAsia" w:ascii="黑体" w:hAnsi="黑体" w:eastAsia="黑体"/>
          <w:bCs/>
        </w:rPr>
        <w:t xml:space="preserve">第二十六条  </w:t>
      </w:r>
      <w:r>
        <w:rPr>
          <w:rStyle w:val="9"/>
          <w:rFonts w:hint="eastAsia" w:ascii="仿宋_GB2312"/>
        </w:rPr>
        <w:t>省高级人民法院应当会同省人民政府有关部门建立破产案件财产处置联动机制，提高破产财产处置效率。</w:t>
      </w:r>
    </w:p>
    <w:p>
      <w:pPr>
        <w:overflowPunct w:val="0"/>
        <w:topLinePunct/>
        <w:autoSpaceDE w:val="0"/>
        <w:autoSpaceDN w:val="0"/>
        <w:adjustRightInd w:val="0"/>
        <w:snapToGrid w:val="0"/>
        <w:spacing w:line="580" w:lineRule="exact"/>
        <w:ind w:firstLine="640" w:firstLineChars="200"/>
        <w:rPr>
          <w:rStyle w:val="9"/>
          <w:rFonts w:ascii="仿宋_GB2312"/>
        </w:rPr>
      </w:pPr>
      <w:r>
        <w:rPr>
          <w:rStyle w:val="9"/>
          <w:rFonts w:hint="eastAsia" w:ascii="仿宋_GB2312"/>
        </w:rPr>
        <w:t>县级以上人民政府人力资源社会保障部门应当加大破产企业职工权益保障力度，完善职工社会保险关系转移、退休人员社会化管理、档案接转等制度，保障职工合法权益。</w:t>
      </w:r>
    </w:p>
    <w:p>
      <w:pPr>
        <w:overflowPunct w:val="0"/>
        <w:topLinePunct/>
        <w:autoSpaceDE w:val="0"/>
        <w:autoSpaceDN w:val="0"/>
        <w:adjustRightInd w:val="0"/>
        <w:snapToGrid w:val="0"/>
        <w:spacing w:line="580" w:lineRule="exact"/>
        <w:ind w:firstLine="640" w:firstLineChars="200"/>
        <w:rPr>
          <w:rFonts w:ascii="仿宋_GB2312" w:hAnsi="黑体"/>
          <w:bCs/>
        </w:rPr>
      </w:pPr>
    </w:p>
    <w:p>
      <w:pPr>
        <w:pStyle w:val="6"/>
        <w:widowControl w:val="0"/>
        <w:overflowPunct w:val="0"/>
        <w:topLinePunct/>
        <w:autoSpaceDE w:val="0"/>
        <w:autoSpaceDN w:val="0"/>
        <w:adjustRightInd w:val="0"/>
        <w:snapToGrid w:val="0"/>
        <w:spacing w:before="0" w:beforeAutospacing="0" w:after="0" w:afterAutospacing="0" w:line="580" w:lineRule="exact"/>
        <w:contextualSpacing/>
        <w:jc w:val="center"/>
        <w:rPr>
          <w:rFonts w:ascii="黑体" w:hAnsi="黑体" w:eastAsia="黑体"/>
          <w:bCs/>
          <w:sz w:val="32"/>
        </w:rPr>
      </w:pPr>
      <w:r>
        <w:rPr>
          <w:rFonts w:hint="eastAsia" w:ascii="黑体" w:hAnsi="黑体" w:eastAsia="黑体"/>
          <w:bCs/>
          <w:sz w:val="32"/>
        </w:rPr>
        <w:t>第三章  政务环境</w:t>
      </w:r>
    </w:p>
    <w:p>
      <w:pPr>
        <w:overflowPunct w:val="0"/>
        <w:topLinePunct/>
        <w:autoSpaceDE w:val="0"/>
        <w:autoSpaceDN w:val="0"/>
        <w:adjustRightInd w:val="0"/>
        <w:snapToGrid w:val="0"/>
        <w:spacing w:line="580" w:lineRule="exact"/>
        <w:ind w:firstLine="640" w:firstLineChars="200"/>
        <w:rPr>
          <w:rFonts w:ascii="仿宋_GB2312" w:hAnsi="黑体"/>
          <w:bCs/>
        </w:rPr>
      </w:pPr>
    </w:p>
    <w:p>
      <w:pPr>
        <w:overflowPunct w:val="0"/>
        <w:topLinePunct/>
        <w:autoSpaceDE w:val="0"/>
        <w:autoSpaceDN w:val="0"/>
        <w:adjustRightInd w:val="0"/>
        <w:snapToGrid w:val="0"/>
        <w:spacing w:line="580" w:lineRule="exact"/>
        <w:ind w:firstLine="640" w:firstLineChars="200"/>
        <w:rPr>
          <w:rFonts w:ascii="仿宋_GB2312" w:hAnsi="微软雅黑"/>
          <w:bCs/>
        </w:rPr>
      </w:pPr>
      <w:r>
        <w:rPr>
          <w:rFonts w:hint="eastAsia" w:ascii="黑体" w:hAnsi="黑体" w:eastAsia="黑体"/>
          <w:bCs/>
        </w:rPr>
        <w:t>第二十七条</w:t>
      </w:r>
      <w:r>
        <w:rPr>
          <w:rFonts w:hint="eastAsia" w:ascii="楷体_GB2312" w:hAnsi="黑体" w:eastAsia="楷体_GB2312"/>
          <w:bCs/>
        </w:rPr>
        <w:t xml:space="preserve">  </w:t>
      </w:r>
      <w:r>
        <w:rPr>
          <w:rFonts w:hint="eastAsia" w:ascii="仿宋_GB2312" w:hAnsi="微软雅黑"/>
          <w:bCs/>
        </w:rPr>
        <w:t>县级以上人民政府应当加强服务型政府建设，转变政府职能，提高政务</w:t>
      </w:r>
      <w:r>
        <w:rPr>
          <w:rFonts w:ascii="仿宋_GB2312" w:hAnsi="微软雅黑"/>
          <w:bCs/>
        </w:rPr>
        <w:t>服务</w:t>
      </w:r>
      <w:r>
        <w:rPr>
          <w:rFonts w:hint="eastAsia" w:ascii="仿宋_GB2312" w:hAnsi="微软雅黑"/>
          <w:bCs/>
        </w:rPr>
        <w:t>效能，推进政务服务标准化智能化便利化，实现“一窗受理·一次办好”，为市场主体提供高效、规范、便捷的政务服务。</w:t>
      </w:r>
    </w:p>
    <w:p>
      <w:pPr>
        <w:overflowPunct w:val="0"/>
        <w:topLinePunct/>
        <w:autoSpaceDE w:val="0"/>
        <w:autoSpaceDN w:val="0"/>
        <w:adjustRightInd w:val="0"/>
        <w:snapToGrid w:val="0"/>
        <w:spacing w:line="580" w:lineRule="exact"/>
        <w:ind w:firstLine="640" w:firstLineChars="200"/>
        <w:rPr>
          <w:rFonts w:ascii="仿宋_GB2312" w:hAnsi="微软雅黑"/>
          <w:bCs/>
        </w:rPr>
      </w:pPr>
      <w:r>
        <w:rPr>
          <w:rFonts w:hint="eastAsia" w:ascii="仿宋_GB2312" w:hAnsi="微软雅黑"/>
          <w:bCs/>
        </w:rPr>
        <w:t>县级以上人民政府有关部门应当建立权责清单制度，将行使的各项行政权力事项</w:t>
      </w:r>
      <w:r>
        <w:rPr>
          <w:rFonts w:ascii="仿宋_GB2312" w:hAnsi="微软雅黑"/>
          <w:bCs/>
        </w:rPr>
        <w:t>、公共服务事项及其</w:t>
      </w:r>
      <w:r>
        <w:rPr>
          <w:rFonts w:hint="eastAsia" w:ascii="仿宋_GB2312" w:hAnsi="微软雅黑"/>
          <w:bCs/>
        </w:rPr>
        <w:t>依据、行使主体、对应责任等，以清单形式向社会公布，接受社会监督。</w:t>
      </w:r>
    </w:p>
    <w:p>
      <w:pPr>
        <w:overflowPunct w:val="0"/>
        <w:topLinePunct/>
        <w:autoSpaceDE w:val="0"/>
        <w:autoSpaceDN w:val="0"/>
        <w:adjustRightInd w:val="0"/>
        <w:snapToGrid w:val="0"/>
        <w:spacing w:line="580" w:lineRule="exact"/>
        <w:ind w:firstLine="640" w:firstLineChars="200"/>
        <w:rPr>
          <w:rFonts w:ascii="仿宋_GB2312" w:hAnsi="微软雅黑"/>
          <w:bCs/>
        </w:rPr>
      </w:pPr>
      <w:r>
        <w:rPr>
          <w:rFonts w:hint="eastAsia" w:ascii="黑体" w:hAnsi="黑体" w:eastAsia="黑体"/>
          <w:bCs/>
        </w:rPr>
        <w:t>第二十八条</w:t>
      </w:r>
      <w:r>
        <w:rPr>
          <w:rFonts w:hint="eastAsia" w:ascii="楷体_GB2312" w:hAnsi="黑体" w:eastAsia="楷体_GB2312"/>
          <w:bCs/>
        </w:rPr>
        <w:t xml:space="preserve">  </w:t>
      </w:r>
      <w:r>
        <w:rPr>
          <w:rFonts w:hint="eastAsia" w:ascii="仿宋_GB2312" w:hAnsi="微软雅黑"/>
          <w:bCs/>
        </w:rPr>
        <w:t>省人民政府应当组织有关部门编制全省统一的政务服务事项目录，制定并公布政务服务事项标准化工作流程、规程和办事指南，明确政务服务事项的名称、设定依据、申请条件、申请材料、审查标准、办理程序、办结时限、容缺受理等信息，实行同一服务事项同一办理标准，线上线下办理同一服务标准、一个办理平台，实现政务服务和公共服务标准化。没有法律、法规、规章依据，不得增设政务服务事项的办理条件和环节。</w:t>
      </w:r>
    </w:p>
    <w:p>
      <w:pPr>
        <w:overflowPunct w:val="0"/>
        <w:topLinePunct/>
        <w:autoSpaceDE w:val="0"/>
        <w:autoSpaceDN w:val="0"/>
        <w:adjustRightInd w:val="0"/>
        <w:snapToGrid w:val="0"/>
        <w:spacing w:line="580" w:lineRule="exact"/>
        <w:ind w:firstLine="640" w:firstLineChars="200"/>
        <w:rPr>
          <w:rFonts w:ascii="仿宋_GB2312" w:hAnsi="微软雅黑"/>
          <w:bCs/>
        </w:rPr>
      </w:pPr>
      <w:r>
        <w:rPr>
          <w:rFonts w:hint="eastAsia" w:ascii="黑体" w:hAnsi="黑体" w:eastAsia="黑体" w:cs="宋体"/>
          <w:bCs/>
        </w:rPr>
        <w:t xml:space="preserve">第二十九条  </w:t>
      </w:r>
      <w:r>
        <w:rPr>
          <w:rFonts w:hint="eastAsia" w:ascii="仿宋_GB2312" w:hAnsi="微软雅黑"/>
          <w:bCs/>
        </w:rPr>
        <w:t>除直接涉及公共安全、金融安全、生态环境保护以及直接关系人身健康、生命财产安全的行政权力事项外，能够通过事中事后监管不会产生严重后果的行政权力事项，可以采取告知承诺方式办理。</w:t>
      </w:r>
    </w:p>
    <w:p>
      <w:pPr>
        <w:overflowPunct w:val="0"/>
        <w:topLinePunct/>
        <w:autoSpaceDE w:val="0"/>
        <w:autoSpaceDN w:val="0"/>
        <w:adjustRightInd w:val="0"/>
        <w:snapToGrid w:val="0"/>
        <w:spacing w:line="580" w:lineRule="exact"/>
        <w:ind w:firstLine="640" w:firstLineChars="200"/>
        <w:rPr>
          <w:rFonts w:ascii="仿宋_GB2312" w:hAnsi="微软雅黑"/>
          <w:bCs/>
        </w:rPr>
      </w:pPr>
      <w:r>
        <w:rPr>
          <w:rFonts w:hint="eastAsia" w:ascii="仿宋_GB2312" w:hAnsi="微软雅黑"/>
          <w:bCs/>
        </w:rPr>
        <w:t>市场主体作出的承诺符合办理条件的，县级以上人民政府有关部门应当直接办理并作出决定；未履行承诺的，应当责令其限期整改；整改后仍不符合条件的，应当撤销办理决定。</w:t>
      </w:r>
    </w:p>
    <w:p>
      <w:pPr>
        <w:overflowPunct w:val="0"/>
        <w:topLinePunct/>
        <w:autoSpaceDE w:val="0"/>
        <w:autoSpaceDN w:val="0"/>
        <w:adjustRightInd w:val="0"/>
        <w:snapToGrid w:val="0"/>
        <w:spacing w:line="580" w:lineRule="exact"/>
        <w:ind w:firstLine="640" w:firstLineChars="200"/>
        <w:rPr>
          <w:rFonts w:ascii="仿宋_GB2312" w:hAnsi="微软雅黑"/>
          <w:bCs/>
          <w:shd w:val="clear" w:color="FFFFFF" w:fill="D9D9D9"/>
        </w:rPr>
      </w:pPr>
      <w:r>
        <w:rPr>
          <w:rFonts w:hint="eastAsia" w:ascii="仿宋_GB2312" w:hAnsi="微软雅黑"/>
          <w:bCs/>
        </w:rPr>
        <w:t>县级以上人民政府有关部门应当公开告知承诺事项办理条件、标准、流程等。</w:t>
      </w:r>
    </w:p>
    <w:p>
      <w:pPr>
        <w:overflowPunct w:val="0"/>
        <w:topLinePunct/>
        <w:autoSpaceDE w:val="0"/>
        <w:autoSpaceDN w:val="0"/>
        <w:adjustRightInd w:val="0"/>
        <w:snapToGrid w:val="0"/>
        <w:spacing w:line="580" w:lineRule="exact"/>
        <w:ind w:firstLine="640" w:firstLineChars="200"/>
        <w:rPr>
          <w:rFonts w:ascii="仿宋_GB2312" w:hAnsi="微软雅黑"/>
          <w:bCs/>
        </w:rPr>
      </w:pPr>
      <w:r>
        <w:rPr>
          <w:rFonts w:hint="eastAsia" w:ascii="黑体" w:hAnsi="黑体" w:eastAsia="黑体"/>
          <w:bCs/>
        </w:rPr>
        <w:t>第三十条</w:t>
      </w:r>
      <w:r>
        <w:rPr>
          <w:rFonts w:hint="eastAsia" w:ascii="楷体_GB2312" w:hAnsi="黑体" w:eastAsia="楷体_GB2312"/>
          <w:bCs/>
        </w:rPr>
        <w:t xml:space="preserve">  </w:t>
      </w:r>
      <w:r>
        <w:rPr>
          <w:rFonts w:hint="eastAsia" w:ascii="仿宋_GB2312" w:hAnsi="微软雅黑"/>
          <w:bCs/>
        </w:rPr>
        <w:t>县级</w:t>
      </w:r>
      <w:r>
        <w:rPr>
          <w:rFonts w:ascii="仿宋_GB2312" w:hAnsi="微软雅黑"/>
          <w:bCs/>
        </w:rPr>
        <w:t>以上人民</w:t>
      </w:r>
      <w:r>
        <w:rPr>
          <w:rFonts w:hint="eastAsia" w:ascii="仿宋_GB2312" w:hAnsi="微软雅黑"/>
          <w:bCs/>
        </w:rPr>
        <w:t>政府及其有关部门应当优化政务服务事项办理</w:t>
      </w:r>
      <w:r>
        <w:rPr>
          <w:rFonts w:ascii="仿宋_GB2312" w:hAnsi="微软雅黑"/>
          <w:bCs/>
        </w:rPr>
        <w:t>流程</w:t>
      </w:r>
      <w:r>
        <w:rPr>
          <w:rFonts w:hint="eastAsia" w:ascii="仿宋_GB2312" w:hAnsi="微软雅黑"/>
          <w:bCs/>
        </w:rPr>
        <w:t>，按照</w:t>
      </w:r>
      <w:r>
        <w:rPr>
          <w:rFonts w:ascii="仿宋_GB2312" w:hAnsi="微软雅黑"/>
          <w:bCs/>
        </w:rPr>
        <w:t>减事项、减环节、减材料、减时限的</w:t>
      </w:r>
      <w:r>
        <w:rPr>
          <w:rFonts w:hint="eastAsia" w:ascii="仿宋_GB2312" w:hAnsi="微软雅黑"/>
          <w:bCs/>
        </w:rPr>
        <w:t>要求</w:t>
      </w:r>
      <w:r>
        <w:rPr>
          <w:rFonts w:ascii="仿宋_GB2312" w:hAnsi="微软雅黑"/>
          <w:bCs/>
        </w:rPr>
        <w:t>，</w:t>
      </w:r>
      <w:r>
        <w:rPr>
          <w:rFonts w:hint="eastAsia" w:ascii="仿宋_GB2312" w:hAnsi="微软雅黑"/>
          <w:bCs/>
        </w:rPr>
        <w:t>推行</w:t>
      </w:r>
      <w:r>
        <w:rPr>
          <w:rFonts w:ascii="仿宋_GB2312" w:hAnsi="微软雅黑"/>
          <w:bCs/>
        </w:rPr>
        <w:t>当场办结、一次办结、</w:t>
      </w:r>
      <w:r>
        <w:rPr>
          <w:rFonts w:hint="eastAsia" w:ascii="仿宋_GB2312" w:hAnsi="微软雅黑"/>
          <w:bCs/>
        </w:rPr>
        <w:t>限时</w:t>
      </w:r>
      <w:r>
        <w:rPr>
          <w:rFonts w:ascii="仿宋_GB2312" w:hAnsi="微软雅黑"/>
          <w:bCs/>
        </w:rPr>
        <w:t>办结等制度，</w:t>
      </w:r>
      <w:r>
        <w:rPr>
          <w:rFonts w:hint="eastAsia" w:ascii="仿宋_GB2312" w:hAnsi="微软雅黑"/>
          <w:bCs/>
        </w:rPr>
        <w:t>构建跨部门横向联通、</w:t>
      </w:r>
      <w:r>
        <w:rPr>
          <w:rFonts w:ascii="仿宋_GB2312" w:hAnsi="微软雅黑"/>
          <w:bCs/>
        </w:rPr>
        <w:t>跨层级</w:t>
      </w:r>
      <w:r>
        <w:rPr>
          <w:rFonts w:hint="eastAsia" w:ascii="仿宋_GB2312" w:hAnsi="微软雅黑"/>
          <w:bCs/>
        </w:rPr>
        <w:t>纵向</w:t>
      </w:r>
      <w:r>
        <w:rPr>
          <w:rFonts w:ascii="仿宋_GB2312" w:hAnsi="微软雅黑"/>
          <w:bCs/>
        </w:rPr>
        <w:t>联动的服务模式，</w:t>
      </w:r>
      <w:r>
        <w:rPr>
          <w:rFonts w:hint="eastAsia" w:ascii="仿宋_GB2312" w:hAnsi="微软雅黑"/>
          <w:bCs/>
        </w:rPr>
        <w:t>实现集中办理、就近办理、网上办理、异地可办；需要市场主体补正有关材料、手续的，应当一次性告知需要补正的内容。</w:t>
      </w:r>
    </w:p>
    <w:p>
      <w:pPr>
        <w:overflowPunct w:val="0"/>
        <w:topLinePunct/>
        <w:autoSpaceDE w:val="0"/>
        <w:autoSpaceDN w:val="0"/>
        <w:adjustRightInd w:val="0"/>
        <w:snapToGrid w:val="0"/>
        <w:spacing w:line="580" w:lineRule="exact"/>
        <w:ind w:firstLine="640" w:firstLineChars="200"/>
        <w:rPr>
          <w:rFonts w:ascii="仿宋_GB2312" w:hAnsi="微软雅黑"/>
          <w:bCs/>
          <w:shd w:val="clear" w:color="FFFFFF" w:fill="D9D9D9"/>
        </w:rPr>
      </w:pPr>
      <w:r>
        <w:rPr>
          <w:rFonts w:hint="eastAsia" w:ascii="仿宋_GB2312" w:hAnsi="微软雅黑"/>
          <w:bCs/>
        </w:rPr>
        <w:t>县级以上人民政府及其有关</w:t>
      </w:r>
      <w:r>
        <w:rPr>
          <w:rFonts w:ascii="仿宋_GB2312" w:hAnsi="微软雅黑"/>
          <w:bCs/>
        </w:rPr>
        <w:t>部门</w:t>
      </w:r>
      <w:r>
        <w:rPr>
          <w:rFonts w:hint="eastAsia" w:ascii="仿宋_GB2312" w:hAnsi="微软雅黑"/>
          <w:bCs/>
        </w:rPr>
        <w:t>应当在法律、法规、规章以及国家和</w:t>
      </w:r>
      <w:r>
        <w:rPr>
          <w:rFonts w:ascii="仿宋_GB2312" w:hAnsi="微软雅黑"/>
          <w:bCs/>
        </w:rPr>
        <w:t>省</w:t>
      </w:r>
      <w:r>
        <w:rPr>
          <w:rFonts w:hint="eastAsia" w:ascii="仿宋_GB2312" w:hAnsi="微软雅黑"/>
          <w:bCs/>
        </w:rPr>
        <w:t>规定的办理时限内尽快办结政务服务事项。设区的市、</w:t>
      </w:r>
      <w:r>
        <w:rPr>
          <w:rFonts w:ascii="仿宋_GB2312" w:hAnsi="微软雅黑"/>
          <w:bCs/>
        </w:rPr>
        <w:t>县（</w:t>
      </w:r>
      <w:r>
        <w:rPr>
          <w:rFonts w:hint="eastAsia" w:ascii="仿宋_GB2312" w:hAnsi="微软雅黑"/>
          <w:bCs/>
        </w:rPr>
        <w:t>市</w:t>
      </w:r>
      <w:r>
        <w:rPr>
          <w:rFonts w:ascii="仿宋_GB2312" w:hAnsi="微软雅黑"/>
          <w:bCs/>
        </w:rPr>
        <w:t>、区）</w:t>
      </w:r>
      <w:r>
        <w:rPr>
          <w:rFonts w:hint="eastAsia" w:ascii="仿宋_GB2312" w:hAnsi="微软雅黑"/>
          <w:bCs/>
        </w:rPr>
        <w:t>人民</w:t>
      </w:r>
      <w:r>
        <w:rPr>
          <w:rFonts w:ascii="仿宋_GB2312" w:hAnsi="微软雅黑"/>
          <w:bCs/>
        </w:rPr>
        <w:t>政府</w:t>
      </w:r>
      <w:r>
        <w:rPr>
          <w:rFonts w:hint="eastAsia" w:ascii="仿宋_GB2312" w:hAnsi="微软雅黑"/>
          <w:bCs/>
        </w:rPr>
        <w:t>可以在前述规定的政务服务事项办理时限内进一步压减时间，并向社会公开。</w:t>
      </w:r>
    </w:p>
    <w:p>
      <w:pPr>
        <w:overflowPunct w:val="0"/>
        <w:topLinePunct/>
        <w:autoSpaceDE w:val="0"/>
        <w:autoSpaceDN w:val="0"/>
        <w:adjustRightInd w:val="0"/>
        <w:snapToGrid w:val="0"/>
        <w:spacing w:line="580" w:lineRule="exact"/>
        <w:ind w:firstLine="640" w:firstLineChars="200"/>
        <w:rPr>
          <w:rFonts w:ascii="仿宋_GB2312" w:hAnsi="微软雅黑"/>
          <w:bCs/>
        </w:rPr>
      </w:pPr>
      <w:r>
        <w:rPr>
          <w:rFonts w:hint="eastAsia" w:ascii="黑体" w:hAnsi="黑体" w:eastAsia="黑体"/>
          <w:bCs/>
        </w:rPr>
        <w:t>第三十一条</w:t>
      </w:r>
      <w:r>
        <w:rPr>
          <w:rFonts w:hint="eastAsia" w:ascii="楷体_GB2312" w:hAnsi="黑体" w:eastAsia="楷体_GB2312"/>
          <w:bCs/>
        </w:rPr>
        <w:t xml:space="preserve">  </w:t>
      </w:r>
      <w:r>
        <w:rPr>
          <w:rFonts w:hint="eastAsia" w:ascii="仿宋_GB2312" w:hAnsi="微软雅黑"/>
          <w:bCs/>
        </w:rPr>
        <w:t>县级以上人民政府应当</w:t>
      </w:r>
      <w:r>
        <w:rPr>
          <w:rFonts w:ascii="仿宋_GB2312" w:hAnsi="微软雅黑"/>
          <w:bCs/>
        </w:rPr>
        <w:t>明确</w:t>
      </w:r>
      <w:r>
        <w:rPr>
          <w:rFonts w:hint="eastAsia" w:ascii="仿宋_GB2312" w:hAnsi="微软雅黑"/>
          <w:bCs/>
        </w:rPr>
        <w:t>统一的政务服务中心，乡镇人民政府和街道办事处应当设立便民服务中心，实行政务服务事项综合受理、集中办理、现场服务、限时服务，为市场主体就近办理政务服务事项提供便利。</w:t>
      </w:r>
    </w:p>
    <w:p>
      <w:pPr>
        <w:overflowPunct w:val="0"/>
        <w:topLinePunct/>
        <w:autoSpaceDE w:val="0"/>
        <w:autoSpaceDN w:val="0"/>
        <w:adjustRightInd w:val="0"/>
        <w:snapToGrid w:val="0"/>
        <w:spacing w:line="580" w:lineRule="exact"/>
        <w:ind w:firstLine="640" w:firstLineChars="200"/>
        <w:rPr>
          <w:rFonts w:ascii="仿宋_GB2312" w:hAnsi="微软雅黑"/>
          <w:bCs/>
        </w:rPr>
      </w:pPr>
      <w:r>
        <w:rPr>
          <w:rFonts w:hint="eastAsia" w:ascii="仿宋_GB2312" w:hAnsi="微软雅黑"/>
          <w:bCs/>
        </w:rPr>
        <w:t>乡镇人民政府、街道办事处可以在村、社区设立便民服务站点，提供政务服务事项办理延伸服务。</w:t>
      </w:r>
    </w:p>
    <w:p>
      <w:pPr>
        <w:overflowPunct w:val="0"/>
        <w:topLinePunct/>
        <w:autoSpaceDE w:val="0"/>
        <w:autoSpaceDN w:val="0"/>
        <w:adjustRightInd w:val="0"/>
        <w:snapToGrid w:val="0"/>
        <w:spacing w:line="580" w:lineRule="exact"/>
        <w:ind w:firstLine="640" w:firstLineChars="200"/>
        <w:rPr>
          <w:rStyle w:val="9"/>
          <w:rFonts w:ascii="仿宋_GB2312" w:hAnsi="微软雅黑"/>
          <w:bCs/>
        </w:rPr>
      </w:pPr>
      <w:r>
        <w:rPr>
          <w:rFonts w:hint="eastAsia" w:ascii="黑体" w:hAnsi="黑体" w:eastAsia="黑体"/>
          <w:bCs/>
        </w:rPr>
        <w:t>第三十二条</w:t>
      </w:r>
      <w:r>
        <w:rPr>
          <w:rFonts w:hint="eastAsia" w:ascii="楷体_GB2312" w:hAnsi="黑体" w:eastAsia="楷体_GB2312"/>
          <w:bCs/>
        </w:rPr>
        <w:t xml:space="preserve">  </w:t>
      </w:r>
      <w:r>
        <w:rPr>
          <w:rFonts w:hint="eastAsia" w:ascii="仿宋_GB2312" w:hAnsi="微软雅黑"/>
          <w:bCs/>
        </w:rPr>
        <w:t>省人民政府根据国家统一要求，建立全省一体化在线政务服务平台，完善全省人口、法人单位、公共信用、空间地理、电子证照等政务基础信息数据库，实行跨地区、跨部门、跨层级政务数据共享和业务协同，利用互联网端、移动终端、自助终端等智能化办事渠道，推动实现政务服务事项一网通办。</w:t>
      </w:r>
      <w:r>
        <w:rPr>
          <w:rStyle w:val="9"/>
          <w:rFonts w:hint="eastAsia" w:ascii="仿宋_GB2312" w:hAnsi="微软雅黑"/>
          <w:bCs/>
        </w:rPr>
        <w:t>除法律、法规另有规定或者涉及国家秘密等情形外，政务服务事项应当纳入一体化在线平台办理。</w:t>
      </w:r>
    </w:p>
    <w:p>
      <w:pPr>
        <w:overflowPunct w:val="0"/>
        <w:topLinePunct/>
        <w:autoSpaceDE w:val="0"/>
        <w:autoSpaceDN w:val="0"/>
        <w:adjustRightInd w:val="0"/>
        <w:snapToGrid w:val="0"/>
        <w:spacing w:line="580" w:lineRule="exact"/>
        <w:ind w:firstLine="640" w:firstLineChars="200"/>
        <w:rPr>
          <w:rFonts w:ascii="仿宋_GB2312" w:hAnsi="微软雅黑"/>
          <w:bCs/>
        </w:rPr>
      </w:pPr>
      <w:r>
        <w:rPr>
          <w:rStyle w:val="9"/>
          <w:rFonts w:hint="eastAsia" w:ascii="仿宋_GB2312" w:hAnsi="微软雅黑"/>
        </w:rPr>
        <w:t>县级以上人民政府及其有关部门应当加强电子印章、电子证照和电子档案在政务服务中的互认共享和推广应用，</w:t>
      </w:r>
      <w:r>
        <w:rPr>
          <w:rStyle w:val="9"/>
          <w:rFonts w:hint="eastAsia" w:ascii="仿宋_GB2312"/>
        </w:rPr>
        <w:t>能</w:t>
      </w:r>
      <w:r>
        <w:rPr>
          <w:rFonts w:hint="eastAsia" w:ascii="仿宋_GB2312" w:hAnsi="微软雅黑"/>
          <w:bCs/>
        </w:rPr>
        <w:t>够通过在线政务服务平台提取、生成或者信息共享的材料，不得要求重复提供。</w:t>
      </w:r>
    </w:p>
    <w:p>
      <w:pPr>
        <w:overflowPunct w:val="0"/>
        <w:topLinePunct/>
        <w:autoSpaceDE w:val="0"/>
        <w:autoSpaceDN w:val="0"/>
        <w:adjustRightInd w:val="0"/>
        <w:snapToGrid w:val="0"/>
        <w:spacing w:line="580" w:lineRule="exact"/>
        <w:ind w:firstLine="640" w:firstLineChars="200"/>
        <w:rPr>
          <w:rFonts w:ascii="仿宋_GB2312" w:hAnsi="微软雅黑" w:cs="宋体"/>
          <w:bCs/>
        </w:rPr>
      </w:pPr>
      <w:r>
        <w:rPr>
          <w:rFonts w:hint="eastAsia" w:ascii="黑体" w:hAnsi="黑体" w:eastAsia="黑体" w:cs="宋体"/>
          <w:bCs/>
        </w:rPr>
        <w:t xml:space="preserve">第三十三条 </w:t>
      </w:r>
      <w:r>
        <w:rPr>
          <w:rFonts w:hint="eastAsia" w:ascii="楷体_GB2312" w:hAnsi="黑体" w:eastAsia="楷体_GB2312"/>
          <w:bCs/>
        </w:rPr>
        <w:t xml:space="preserve"> </w:t>
      </w:r>
      <w:r>
        <w:rPr>
          <w:rFonts w:hint="eastAsia" w:ascii="仿宋_GB2312" w:hAnsi="微软雅黑"/>
          <w:bCs/>
        </w:rPr>
        <w:t>市场主体依法享有获取政府信息的</w:t>
      </w:r>
      <w:r>
        <w:rPr>
          <w:rFonts w:hint="eastAsia" w:ascii="仿宋_GB2312" w:hAnsi="微软雅黑" w:cs="宋体"/>
          <w:bCs/>
        </w:rPr>
        <w:t>权利，并有权咨询有关情况以及查阅、复制有关资料，政府有关部门应当依法提供免费查询服务。</w:t>
      </w:r>
    </w:p>
    <w:p>
      <w:pPr>
        <w:overflowPunct w:val="0"/>
        <w:topLinePunct/>
        <w:autoSpaceDE w:val="0"/>
        <w:autoSpaceDN w:val="0"/>
        <w:adjustRightInd w:val="0"/>
        <w:snapToGrid w:val="0"/>
        <w:spacing w:line="580" w:lineRule="exact"/>
        <w:ind w:firstLine="640" w:firstLineChars="200"/>
        <w:rPr>
          <w:rFonts w:ascii="仿宋_GB2312" w:hAnsi="微软雅黑" w:cs="宋体"/>
          <w:bCs/>
        </w:rPr>
      </w:pPr>
      <w:r>
        <w:rPr>
          <w:rFonts w:hint="eastAsia" w:ascii="仿宋_GB2312" w:hAnsi="微软雅黑" w:cs="宋体"/>
          <w:bCs/>
        </w:rPr>
        <w:t>除涉及国家秘密和依法受到保护的商业秘密、个人隐私事项外，政府有关部门应当将其职责内容、工作程序、服务承诺、行政执法等履行职责的政务活动事项，通过政府网站、部门门户网站、办事窗口以及有关新闻媒体向社会公开。</w:t>
      </w:r>
    </w:p>
    <w:p>
      <w:pPr>
        <w:overflowPunct w:val="0"/>
        <w:topLinePunct/>
        <w:autoSpaceDE w:val="0"/>
        <w:autoSpaceDN w:val="0"/>
        <w:adjustRightInd w:val="0"/>
        <w:snapToGrid w:val="0"/>
        <w:spacing w:line="580" w:lineRule="exact"/>
        <w:ind w:firstLine="640" w:firstLineChars="200"/>
        <w:rPr>
          <w:rFonts w:ascii="仿宋_GB2312" w:hAnsi="微软雅黑"/>
          <w:bCs/>
        </w:rPr>
      </w:pPr>
      <w:r>
        <w:rPr>
          <w:rFonts w:hint="eastAsia" w:ascii="黑体" w:hAnsi="黑体" w:eastAsia="黑体"/>
          <w:bCs/>
        </w:rPr>
        <w:t>第三十四条</w:t>
      </w:r>
      <w:r>
        <w:rPr>
          <w:rFonts w:hint="eastAsia" w:ascii="楷体_GB2312" w:hAnsi="黑体" w:eastAsia="楷体_GB2312"/>
          <w:bCs/>
        </w:rPr>
        <w:t xml:space="preserve">  </w:t>
      </w:r>
      <w:r>
        <w:rPr>
          <w:rFonts w:hint="eastAsia" w:ascii="仿宋_GB2312" w:hAnsi="微软雅黑"/>
          <w:bCs/>
        </w:rPr>
        <w:t>县级以上人民政府及其有关部门应当依托在线政务服务平台，</w:t>
      </w:r>
      <w:r>
        <w:rPr>
          <w:rFonts w:hint="eastAsia" w:ascii="仿宋_GB2312" w:hAnsi="微软雅黑" w:cs="宋体"/>
          <w:bCs/>
        </w:rPr>
        <w:t>依法公开涉及市场主</w:t>
      </w:r>
      <w:r>
        <w:rPr>
          <w:rFonts w:hint="eastAsia" w:ascii="仿宋_GB2312" w:hAnsi="微软雅黑"/>
          <w:bCs/>
        </w:rPr>
        <w:t>体的规划、产业、税费、融资、奖励、补贴、创业、创新、人才、市场等政策。</w:t>
      </w:r>
    </w:p>
    <w:p>
      <w:pPr>
        <w:overflowPunct w:val="0"/>
        <w:topLinePunct/>
        <w:autoSpaceDE w:val="0"/>
        <w:autoSpaceDN w:val="0"/>
        <w:adjustRightInd w:val="0"/>
        <w:snapToGrid w:val="0"/>
        <w:spacing w:line="580" w:lineRule="exact"/>
        <w:ind w:firstLine="640" w:firstLineChars="200"/>
        <w:rPr>
          <w:rFonts w:ascii="仿宋_GB2312" w:hAnsi="微软雅黑"/>
          <w:bCs/>
        </w:rPr>
      </w:pPr>
      <w:r>
        <w:rPr>
          <w:rFonts w:hint="eastAsia" w:ascii="仿宋_GB2312" w:hAnsi="微软雅黑"/>
          <w:bCs/>
        </w:rPr>
        <w:t>政府有关部门应当建立涉企政策辅导机制，通过宣传、解读和接受咨询等多种形式，及时为市场主体提供涉企政策服务。</w:t>
      </w:r>
    </w:p>
    <w:p>
      <w:pPr>
        <w:overflowPunct w:val="0"/>
        <w:topLinePunct/>
        <w:autoSpaceDE w:val="0"/>
        <w:autoSpaceDN w:val="0"/>
        <w:adjustRightInd w:val="0"/>
        <w:snapToGrid w:val="0"/>
        <w:spacing w:line="580" w:lineRule="exact"/>
        <w:ind w:firstLine="640" w:firstLineChars="200"/>
        <w:rPr>
          <w:rFonts w:ascii="仿宋_GB2312" w:hAnsi="微软雅黑" w:cs="宋体"/>
          <w:bCs/>
        </w:rPr>
      </w:pPr>
      <w:r>
        <w:rPr>
          <w:rFonts w:hint="eastAsia" w:ascii="黑体" w:hAnsi="黑体" w:eastAsia="黑体" w:cs="宋体"/>
          <w:bCs/>
        </w:rPr>
        <w:t>第三十五条</w:t>
      </w:r>
      <w:r>
        <w:rPr>
          <w:rFonts w:hint="eastAsia" w:ascii="黑体" w:hAnsi="黑体" w:eastAsia="黑体"/>
          <w:bCs/>
        </w:rPr>
        <w:t xml:space="preserve">  </w:t>
      </w:r>
      <w:r>
        <w:rPr>
          <w:rFonts w:hint="eastAsia" w:ascii="仿宋_GB2312" w:hAnsi="微软雅黑" w:cs="宋体"/>
          <w:bCs/>
        </w:rPr>
        <w:t>县级以上人民政府应当完善公共资源交易制度，将工程建设项目招标投标、政府采购、土地使用权和矿业权出让、国有产权交易、药品和医疗器械采购、特许经营权以及其他涉及公共利益、公共安全的资源交易纳入统一的公共资源交易平台，公开交易目录、程序、结果等信息，保障各类市场主体及时获取有关信息并平等参与交易活动。</w:t>
      </w:r>
    </w:p>
    <w:p>
      <w:pPr>
        <w:overflowPunct w:val="0"/>
        <w:topLinePunct/>
        <w:autoSpaceDE w:val="0"/>
        <w:autoSpaceDN w:val="0"/>
        <w:adjustRightInd w:val="0"/>
        <w:snapToGrid w:val="0"/>
        <w:spacing w:line="580" w:lineRule="exact"/>
        <w:ind w:firstLine="640" w:firstLineChars="200"/>
        <w:rPr>
          <w:rFonts w:ascii="仿宋_GB2312" w:hAnsi="微软雅黑"/>
          <w:bCs/>
        </w:rPr>
      </w:pPr>
      <w:r>
        <w:rPr>
          <w:rFonts w:hint="eastAsia" w:ascii="黑体" w:hAnsi="黑体" w:eastAsia="黑体"/>
          <w:bCs/>
        </w:rPr>
        <w:t>第三十六条</w:t>
      </w:r>
      <w:r>
        <w:rPr>
          <w:rFonts w:hint="eastAsia" w:ascii="楷体_GB2312" w:hAnsi="黑体" w:eastAsia="楷体_GB2312"/>
          <w:bCs/>
        </w:rPr>
        <w:t xml:space="preserve">  </w:t>
      </w:r>
      <w:r>
        <w:rPr>
          <w:rFonts w:hint="eastAsia" w:ascii="仿宋_GB2312" w:hAnsi="微软雅黑"/>
          <w:bCs/>
        </w:rPr>
        <w:t>县级以上人民政府有关部门应当加强不动产登记相关信息共享，优化不动产登记办事流程，实行不动产登记、交易和缴税一窗受理、并行办理，提供不动产登记信息网上查询和现场自助查询服务，提高服务效率。</w:t>
      </w:r>
    </w:p>
    <w:p>
      <w:pPr>
        <w:overflowPunct w:val="0"/>
        <w:topLinePunct/>
        <w:autoSpaceDE w:val="0"/>
        <w:autoSpaceDN w:val="0"/>
        <w:adjustRightInd w:val="0"/>
        <w:snapToGrid w:val="0"/>
        <w:spacing w:line="580" w:lineRule="exact"/>
        <w:ind w:firstLine="640" w:firstLineChars="200"/>
        <w:rPr>
          <w:rFonts w:ascii="仿宋_GB2312" w:hAnsi="微软雅黑" w:cs="宋体"/>
          <w:bCs/>
        </w:rPr>
      </w:pPr>
      <w:r>
        <w:rPr>
          <w:rFonts w:hint="eastAsia" w:ascii="黑体" w:hAnsi="黑体" w:eastAsia="黑体" w:cs="宋体"/>
          <w:bCs/>
        </w:rPr>
        <w:t>第三十七条</w:t>
      </w:r>
      <w:r>
        <w:rPr>
          <w:rFonts w:hint="eastAsia" w:ascii="楷体_GB2312" w:hAnsi="微软雅黑" w:eastAsia="楷体_GB2312" w:cs="宋体"/>
          <w:bCs/>
        </w:rPr>
        <w:t xml:space="preserve">  </w:t>
      </w:r>
      <w:r>
        <w:rPr>
          <w:rFonts w:hint="eastAsia" w:ascii="仿宋_GB2312" w:hAnsi="微软雅黑" w:cs="宋体"/>
          <w:bCs/>
        </w:rPr>
        <w:t>省人民政府应当统一组织编制并公布工程建设项目报建审批事项清单，明确审批事项名称、适用范围、前置条件、申请材料和审批时限，实现工程建设项目统一受理、多规合一、多评合一、并联审批，简化审批手续，提高审批效能。</w:t>
      </w:r>
    </w:p>
    <w:p>
      <w:pPr>
        <w:overflowPunct w:val="0"/>
        <w:topLinePunct/>
        <w:autoSpaceDE w:val="0"/>
        <w:autoSpaceDN w:val="0"/>
        <w:adjustRightInd w:val="0"/>
        <w:snapToGrid w:val="0"/>
        <w:spacing w:line="580" w:lineRule="exact"/>
        <w:ind w:firstLine="640" w:firstLineChars="200"/>
        <w:rPr>
          <w:rFonts w:ascii="仿宋_GB2312" w:hAnsi="微软雅黑"/>
          <w:bCs/>
        </w:rPr>
      </w:pPr>
      <w:r>
        <w:rPr>
          <w:rFonts w:hint="eastAsia" w:ascii="仿宋_GB2312" w:hAnsi="微软雅黑"/>
          <w:bCs/>
        </w:rPr>
        <w:t>依法设立的经济开发区、高新技术产业开发区、海关特殊监管区域、新区和其他有条件的区域，设区的市人民政府应当</w:t>
      </w:r>
      <w:r>
        <w:rPr>
          <w:rFonts w:ascii="仿宋_GB2312" w:hAnsi="微软雅黑"/>
          <w:bCs/>
        </w:rPr>
        <w:t>按照国家和省有关规定</w:t>
      </w:r>
      <w:r>
        <w:rPr>
          <w:rFonts w:hint="eastAsia" w:ascii="仿宋_GB2312" w:hAnsi="微软雅黑"/>
          <w:bCs/>
        </w:rPr>
        <w:t>推行区域化评估，对区域内压覆重要矿产资源、地质灾害危险性等事项进行统一评估，评估结果由市场主体共享使用，提高项目落地效率。区域评估的费用不得由市场主体承担。</w:t>
      </w:r>
    </w:p>
    <w:p>
      <w:pPr>
        <w:overflowPunct w:val="0"/>
        <w:topLinePunct/>
        <w:autoSpaceDE w:val="0"/>
        <w:autoSpaceDN w:val="0"/>
        <w:adjustRightInd w:val="0"/>
        <w:snapToGrid w:val="0"/>
        <w:spacing w:line="580" w:lineRule="exact"/>
        <w:ind w:firstLine="640" w:firstLineChars="200"/>
        <w:rPr>
          <w:rFonts w:ascii="仿宋_GB2312" w:hAnsi="微软雅黑"/>
          <w:bCs/>
        </w:rPr>
      </w:pPr>
      <w:r>
        <w:rPr>
          <w:rFonts w:hint="eastAsia" w:ascii="仿宋_GB2312" w:hAnsi="微软雅黑"/>
          <w:bCs/>
        </w:rPr>
        <w:t>已经实施区域评估的，有关部门在审批工程建设项目时，不得要求市场主体重复开展相关评估评价，法律、法规另有规定的除外。</w:t>
      </w:r>
    </w:p>
    <w:p>
      <w:pPr>
        <w:overflowPunct w:val="0"/>
        <w:topLinePunct/>
        <w:autoSpaceDE w:val="0"/>
        <w:autoSpaceDN w:val="0"/>
        <w:adjustRightInd w:val="0"/>
        <w:snapToGrid w:val="0"/>
        <w:spacing w:line="580" w:lineRule="exact"/>
        <w:ind w:firstLine="640" w:firstLineChars="200"/>
        <w:rPr>
          <w:rFonts w:ascii="仿宋_GB2312" w:hAnsi="微软雅黑"/>
          <w:bCs/>
        </w:rPr>
      </w:pPr>
      <w:r>
        <w:rPr>
          <w:rFonts w:hint="eastAsia" w:ascii="黑体" w:hAnsi="黑体" w:eastAsia="黑体"/>
          <w:bCs/>
        </w:rPr>
        <w:t>第三十八条</w:t>
      </w:r>
      <w:r>
        <w:rPr>
          <w:rFonts w:hint="eastAsia" w:ascii="楷体_GB2312" w:hAnsi="黑体" w:eastAsia="楷体_GB2312"/>
          <w:bCs/>
        </w:rPr>
        <w:t xml:space="preserve">  </w:t>
      </w:r>
      <w:r>
        <w:rPr>
          <w:rFonts w:hint="eastAsia" w:ascii="仿宋_GB2312" w:hAnsi="微软雅黑"/>
          <w:bCs/>
        </w:rPr>
        <w:t>税务机关应当严格执行税收法律、法规，落实国家规定的优惠政策，保障市场主体依法享受减税、免税、出口退税等有关税收优惠，降低企业税收负担。</w:t>
      </w:r>
    </w:p>
    <w:p>
      <w:pPr>
        <w:overflowPunct w:val="0"/>
        <w:topLinePunct/>
        <w:autoSpaceDE w:val="0"/>
        <w:autoSpaceDN w:val="0"/>
        <w:adjustRightInd w:val="0"/>
        <w:snapToGrid w:val="0"/>
        <w:spacing w:line="580" w:lineRule="exact"/>
        <w:ind w:firstLine="640" w:firstLineChars="200"/>
        <w:rPr>
          <w:rFonts w:ascii="仿宋_GB2312"/>
          <w:bCs/>
        </w:rPr>
      </w:pPr>
      <w:r>
        <w:rPr>
          <w:rFonts w:hint="eastAsia" w:ascii="仿宋_GB2312" w:hAnsi="微软雅黑"/>
          <w:bCs/>
        </w:rPr>
        <w:t>税务机关应当优化办税流程、精简办税资料，简并申报缴税次数，</w:t>
      </w:r>
      <w:r>
        <w:rPr>
          <w:rFonts w:hint="eastAsia" w:ascii="仿宋_GB2312"/>
          <w:bCs/>
        </w:rPr>
        <w:t>公开涉税事项办理时限，压减办税时间，加大推广使用电子发票的力度，逐步实现全程网上办税，持续优化纳税服务。</w:t>
      </w:r>
    </w:p>
    <w:p>
      <w:pPr>
        <w:overflowPunct w:val="0"/>
        <w:topLinePunct/>
        <w:autoSpaceDE w:val="0"/>
        <w:autoSpaceDN w:val="0"/>
        <w:adjustRightInd w:val="0"/>
        <w:snapToGrid w:val="0"/>
        <w:spacing w:line="580" w:lineRule="exact"/>
        <w:ind w:firstLine="640" w:firstLineChars="200"/>
        <w:rPr>
          <w:rFonts w:ascii="仿宋_GB2312" w:hAnsi="微软雅黑"/>
          <w:bCs/>
        </w:rPr>
      </w:pPr>
      <w:bookmarkStart w:id="1" w:name="No131_Z4T44K1"/>
      <w:bookmarkEnd w:id="1"/>
      <w:r>
        <w:rPr>
          <w:rStyle w:val="10"/>
          <w:rFonts w:hint="eastAsia" w:ascii="黑体" w:hAnsi="黑体" w:eastAsia="黑体"/>
          <w:bCs/>
        </w:rPr>
        <w:t>第三十九条</w:t>
      </w:r>
      <w:r>
        <w:rPr>
          <w:rStyle w:val="10"/>
          <w:rFonts w:hint="eastAsia" w:ascii="楷体_GB2312" w:hAnsi="微软雅黑" w:eastAsia="楷体_GB2312"/>
          <w:bCs/>
        </w:rPr>
        <w:t xml:space="preserve">  </w:t>
      </w:r>
      <w:r>
        <w:rPr>
          <w:rStyle w:val="9"/>
          <w:rFonts w:hint="eastAsia" w:ascii="仿宋_GB2312" w:hAnsi="微软雅黑"/>
          <w:bCs/>
        </w:rPr>
        <w:t>证明事项应当有法律、法规或者国务院决定依据。</w:t>
      </w:r>
      <w:bookmarkStart w:id="2" w:name="No132_Z4T44K2"/>
      <w:bookmarkEnd w:id="2"/>
      <w:r>
        <w:rPr>
          <w:rFonts w:hint="eastAsia" w:ascii="仿宋_GB2312" w:hAnsi="微软雅黑"/>
          <w:bCs/>
        </w:rPr>
        <w:t>对通过法定证照、法定文书、书面告知承诺、政府部门内部核查和部门间核查、网络核验、合同凭证等能够办理，或者能够被其他材料涵盖、替代，以及开具单位无法调查核实的，不得设定证明事项。</w:t>
      </w:r>
      <w:bookmarkStart w:id="3" w:name="No133_Z4T44K3"/>
      <w:bookmarkEnd w:id="3"/>
    </w:p>
    <w:p>
      <w:pPr>
        <w:overflowPunct w:val="0"/>
        <w:topLinePunct/>
        <w:autoSpaceDE w:val="0"/>
        <w:autoSpaceDN w:val="0"/>
        <w:adjustRightInd w:val="0"/>
        <w:snapToGrid w:val="0"/>
        <w:spacing w:line="580" w:lineRule="exact"/>
        <w:ind w:firstLine="640" w:firstLineChars="200"/>
        <w:rPr>
          <w:rFonts w:ascii="仿宋_GB2312" w:hAnsi="微软雅黑"/>
          <w:bCs/>
        </w:rPr>
      </w:pPr>
      <w:r>
        <w:rPr>
          <w:rFonts w:hint="eastAsia" w:ascii="仿宋_GB2312" w:hAnsi="微软雅黑"/>
          <w:bCs/>
        </w:rPr>
        <w:t>县级以上人民政府应当组织有关部门编制并公布证明事项清单，逐项列明设定依据、索要单位、开具单位、办理指南等。清单之外，政府部门、公用企业事业单位和服务机构不得索要证明。各地区、各部门之间应当加强证明的互认共享，避免重复索要证明。</w:t>
      </w:r>
    </w:p>
    <w:p>
      <w:pPr>
        <w:pStyle w:val="6"/>
        <w:widowControl w:val="0"/>
        <w:overflowPunct w:val="0"/>
        <w:topLinePunct/>
        <w:autoSpaceDE w:val="0"/>
        <w:autoSpaceDN w:val="0"/>
        <w:adjustRightInd w:val="0"/>
        <w:snapToGrid w:val="0"/>
        <w:spacing w:before="0" w:beforeAutospacing="0" w:after="0" w:afterAutospacing="0" w:line="580" w:lineRule="exact"/>
        <w:contextualSpacing/>
        <w:jc w:val="both"/>
        <w:rPr>
          <w:bCs/>
          <w:sz w:val="32"/>
        </w:rPr>
      </w:pPr>
    </w:p>
    <w:p>
      <w:pPr>
        <w:pStyle w:val="6"/>
        <w:widowControl w:val="0"/>
        <w:overflowPunct w:val="0"/>
        <w:topLinePunct/>
        <w:autoSpaceDE w:val="0"/>
        <w:autoSpaceDN w:val="0"/>
        <w:adjustRightInd w:val="0"/>
        <w:snapToGrid w:val="0"/>
        <w:spacing w:before="0" w:beforeAutospacing="0" w:after="0" w:afterAutospacing="0" w:line="580" w:lineRule="exact"/>
        <w:contextualSpacing/>
        <w:jc w:val="center"/>
        <w:rPr>
          <w:rFonts w:ascii="黑体" w:hAnsi="黑体" w:eastAsia="黑体"/>
          <w:bCs/>
          <w:sz w:val="32"/>
        </w:rPr>
      </w:pPr>
    </w:p>
    <w:p>
      <w:pPr>
        <w:pStyle w:val="6"/>
        <w:widowControl w:val="0"/>
        <w:overflowPunct w:val="0"/>
        <w:topLinePunct/>
        <w:autoSpaceDE w:val="0"/>
        <w:autoSpaceDN w:val="0"/>
        <w:adjustRightInd w:val="0"/>
        <w:snapToGrid w:val="0"/>
        <w:spacing w:before="0" w:beforeAutospacing="0" w:after="0" w:afterAutospacing="0" w:line="580" w:lineRule="exact"/>
        <w:contextualSpacing/>
        <w:jc w:val="center"/>
        <w:rPr>
          <w:rFonts w:ascii="黑体" w:hAnsi="黑体" w:eastAsia="黑体"/>
          <w:bCs/>
          <w:sz w:val="32"/>
        </w:rPr>
      </w:pPr>
      <w:r>
        <w:rPr>
          <w:rFonts w:hint="eastAsia" w:ascii="黑体" w:hAnsi="黑体" w:eastAsia="黑体"/>
          <w:bCs/>
          <w:sz w:val="32"/>
        </w:rPr>
        <w:t>第四章  法治环境</w:t>
      </w:r>
    </w:p>
    <w:p>
      <w:pPr>
        <w:pStyle w:val="6"/>
        <w:widowControl w:val="0"/>
        <w:overflowPunct w:val="0"/>
        <w:topLinePunct/>
        <w:autoSpaceDE w:val="0"/>
        <w:autoSpaceDN w:val="0"/>
        <w:adjustRightInd w:val="0"/>
        <w:snapToGrid w:val="0"/>
        <w:spacing w:before="0" w:beforeAutospacing="0" w:after="0" w:afterAutospacing="0" w:line="580" w:lineRule="exact"/>
        <w:contextualSpacing/>
        <w:jc w:val="both"/>
        <w:rPr>
          <w:bCs/>
          <w:sz w:val="32"/>
        </w:rPr>
      </w:pPr>
    </w:p>
    <w:p>
      <w:pPr>
        <w:overflowPunct w:val="0"/>
        <w:topLinePunct/>
        <w:autoSpaceDE w:val="0"/>
        <w:autoSpaceDN w:val="0"/>
        <w:adjustRightInd w:val="0"/>
        <w:snapToGrid w:val="0"/>
        <w:spacing w:line="580" w:lineRule="exact"/>
        <w:ind w:firstLine="640" w:firstLineChars="200"/>
        <w:rPr>
          <w:rFonts w:ascii="仿宋_GB2312" w:hAnsi="微软雅黑"/>
          <w:bCs/>
        </w:rPr>
      </w:pPr>
      <w:r>
        <w:rPr>
          <w:rFonts w:hint="eastAsia" w:ascii="黑体" w:eastAsia="黑体"/>
          <w:bCs/>
        </w:rPr>
        <w:t>第四十条</w:t>
      </w:r>
      <w:r>
        <w:rPr>
          <w:rFonts w:hint="eastAsia" w:ascii="楷体_GB2312" w:hAnsi="黑体" w:eastAsia="楷体_GB2312"/>
          <w:bCs/>
        </w:rPr>
        <w:t xml:space="preserve">  </w:t>
      </w:r>
      <w:r>
        <w:rPr>
          <w:rFonts w:hint="eastAsia" w:ascii="仿宋_GB2312" w:hAnsi="微软雅黑"/>
          <w:bCs/>
        </w:rPr>
        <w:t>县级以上人民政府及其有关部门应当及时修改或者废止与法律、法规或者经济社会发展需要不一致的地方政府规章以及行政规范性文件，并予以公布。</w:t>
      </w:r>
    </w:p>
    <w:p>
      <w:pPr>
        <w:overflowPunct w:val="0"/>
        <w:topLinePunct/>
        <w:autoSpaceDE w:val="0"/>
        <w:autoSpaceDN w:val="0"/>
        <w:adjustRightInd w:val="0"/>
        <w:snapToGrid w:val="0"/>
        <w:spacing w:line="580" w:lineRule="exact"/>
        <w:ind w:firstLine="640" w:firstLineChars="200"/>
        <w:rPr>
          <w:rFonts w:ascii="仿宋_GB2312" w:hAnsi="微软雅黑"/>
          <w:bCs/>
        </w:rPr>
      </w:pPr>
      <w:r>
        <w:rPr>
          <w:rFonts w:hint="eastAsia" w:ascii="仿宋_GB2312" w:hAnsi="微软雅黑"/>
          <w:bCs/>
        </w:rPr>
        <w:t>制定与市场主体生产经营活动密切相关的地方政府规章和行政规范性文件，应当按照国家规定进行公平竞争审查，并充分听取市场主体和行业协会商会意见。</w:t>
      </w:r>
    </w:p>
    <w:p>
      <w:pPr>
        <w:overflowPunct w:val="0"/>
        <w:topLinePunct/>
        <w:autoSpaceDE w:val="0"/>
        <w:autoSpaceDN w:val="0"/>
        <w:adjustRightInd w:val="0"/>
        <w:snapToGrid w:val="0"/>
        <w:spacing w:line="580" w:lineRule="exact"/>
        <w:ind w:firstLine="640" w:firstLineChars="200"/>
        <w:rPr>
          <w:rFonts w:ascii="仿宋_GB2312" w:hAnsi="微软雅黑"/>
          <w:bCs/>
        </w:rPr>
      </w:pPr>
      <w:r>
        <w:rPr>
          <w:rFonts w:hint="eastAsia" w:ascii="黑体" w:hAnsi="黑体" w:eastAsia="黑体"/>
          <w:bCs/>
        </w:rPr>
        <w:t>第四十一条</w:t>
      </w:r>
      <w:r>
        <w:rPr>
          <w:rFonts w:hint="eastAsia" w:ascii="楷体_GB2312" w:eastAsia="楷体_GB2312"/>
          <w:bCs/>
        </w:rPr>
        <w:t xml:space="preserve">  </w:t>
      </w:r>
      <w:r>
        <w:rPr>
          <w:rFonts w:hint="eastAsia" w:ascii="仿宋_GB2312" w:hAnsi="微软雅黑"/>
          <w:bCs/>
        </w:rPr>
        <w:t>各级人民政府和有关部门应当履行向市场主体依法作出的政策承诺以及依法订立的各类合同，不得以行政区划调整、政府换届、机构或者职能调整以及相关责任人更替等为由，不履行、不完全履行或者迟延履行约定义务。因国家利益、公共利益需要改变政策</w:t>
      </w:r>
      <w:r>
        <w:rPr>
          <w:rFonts w:ascii="仿宋_GB2312" w:hAnsi="微软雅黑"/>
          <w:bCs/>
        </w:rPr>
        <w:t>承诺、合同</w:t>
      </w:r>
      <w:r>
        <w:rPr>
          <w:rFonts w:hint="eastAsia" w:ascii="仿宋_GB2312" w:hAnsi="微软雅黑"/>
          <w:bCs/>
        </w:rPr>
        <w:t>约定的，应当依照法定权限和程序进行；给市场主体造成损失的，应当依法予以补偿。</w:t>
      </w:r>
    </w:p>
    <w:p>
      <w:pPr>
        <w:overflowPunct w:val="0"/>
        <w:topLinePunct/>
        <w:autoSpaceDE w:val="0"/>
        <w:autoSpaceDN w:val="0"/>
        <w:adjustRightInd w:val="0"/>
        <w:snapToGrid w:val="0"/>
        <w:spacing w:line="580" w:lineRule="exact"/>
        <w:ind w:firstLine="640" w:firstLineChars="200"/>
        <w:rPr>
          <w:rFonts w:ascii="仿宋_GB2312"/>
          <w:bCs/>
          <w:shd w:val="pct10" w:color="auto" w:fill="FFFFFF"/>
        </w:rPr>
      </w:pPr>
      <w:r>
        <w:rPr>
          <w:rFonts w:hint="eastAsia" w:ascii="黑体" w:hAnsi="黑体" w:eastAsia="黑体"/>
          <w:bCs/>
        </w:rPr>
        <w:t>第四十二条</w:t>
      </w:r>
      <w:r>
        <w:rPr>
          <w:rFonts w:hint="eastAsia" w:ascii="楷体_GB2312" w:hAnsi="黑体" w:eastAsia="楷体_GB2312"/>
          <w:bCs/>
        </w:rPr>
        <w:t xml:space="preserve">  </w:t>
      </w:r>
      <w:r>
        <w:rPr>
          <w:rFonts w:hint="eastAsia" w:ascii="仿宋_GB2312" w:hAnsi="微软雅黑"/>
          <w:bCs/>
        </w:rPr>
        <w:t>县级以上人民政府</w:t>
      </w:r>
      <w:r>
        <w:rPr>
          <w:rFonts w:hint="eastAsia" w:ascii="仿宋_GB2312"/>
          <w:bCs/>
        </w:rPr>
        <w:t>有关部门应当严格依照法律、法规、规章和职责分工，落实监管责任，依法对市场主体进行监管，实现监管全覆盖。</w:t>
      </w:r>
    </w:p>
    <w:p>
      <w:pPr>
        <w:overflowPunct w:val="0"/>
        <w:topLinePunct/>
        <w:autoSpaceDE w:val="0"/>
        <w:autoSpaceDN w:val="0"/>
        <w:adjustRightInd w:val="0"/>
        <w:snapToGrid w:val="0"/>
        <w:spacing w:line="580" w:lineRule="exact"/>
        <w:ind w:firstLine="640" w:firstLineChars="200"/>
        <w:rPr>
          <w:rFonts w:ascii="仿宋_GB2312" w:hAnsi="黑体"/>
          <w:bCs/>
        </w:rPr>
      </w:pPr>
      <w:r>
        <w:rPr>
          <w:rFonts w:ascii="仿宋_GB2312"/>
          <w:bCs/>
        </w:rPr>
        <w:t>最大限度减少不必要的行政执法事项。</w:t>
      </w:r>
      <w:r>
        <w:rPr>
          <w:rFonts w:hint="eastAsia" w:ascii="仿宋_GB2312"/>
          <w:bCs/>
        </w:rPr>
        <w:t>除法律、法规、规章</w:t>
      </w:r>
      <w:r>
        <w:rPr>
          <w:rFonts w:hint="eastAsia" w:ascii="仿宋_GB2312" w:hAnsi="黑体"/>
          <w:bCs/>
        </w:rPr>
        <w:t>另有规定外，同一部门对市场主体实施的多项执法检查，应当合并进行。多个部门对同一市场主体进行检查的，由同级司法行政部门协调，明确由一个部门组织实施联合检查。</w:t>
      </w:r>
    </w:p>
    <w:p>
      <w:pPr>
        <w:overflowPunct w:val="0"/>
        <w:topLinePunct/>
        <w:autoSpaceDE w:val="0"/>
        <w:autoSpaceDN w:val="0"/>
        <w:adjustRightInd w:val="0"/>
        <w:snapToGrid w:val="0"/>
        <w:spacing w:line="580" w:lineRule="exact"/>
        <w:ind w:firstLine="640" w:firstLineChars="200"/>
        <w:rPr>
          <w:rFonts w:ascii="仿宋_GB2312" w:hAnsi="黑体"/>
          <w:bCs/>
        </w:rPr>
      </w:pPr>
      <w:r>
        <w:rPr>
          <w:rFonts w:hint="eastAsia" w:ascii="仿宋_GB2312" w:hAnsi="黑体"/>
          <w:bCs/>
        </w:rPr>
        <w:t>实施行政执法检查，不得妨碍市场主体正常的生产经营活动。</w:t>
      </w:r>
    </w:p>
    <w:p>
      <w:pPr>
        <w:overflowPunct w:val="0"/>
        <w:topLinePunct/>
        <w:autoSpaceDE w:val="0"/>
        <w:autoSpaceDN w:val="0"/>
        <w:adjustRightInd w:val="0"/>
        <w:snapToGrid w:val="0"/>
        <w:spacing w:line="580" w:lineRule="exact"/>
        <w:ind w:firstLine="640" w:firstLineChars="200"/>
        <w:rPr>
          <w:rFonts w:ascii="仿宋_GB2312" w:hAnsi="黑体"/>
          <w:bCs/>
        </w:rPr>
      </w:pPr>
      <w:r>
        <w:rPr>
          <w:rFonts w:hint="eastAsia" w:ascii="黑体" w:hAnsi="黑体" w:eastAsia="黑体"/>
          <w:bCs/>
        </w:rPr>
        <w:t xml:space="preserve">第四十三条  </w:t>
      </w:r>
      <w:r>
        <w:rPr>
          <w:rFonts w:hint="eastAsia" w:ascii="仿宋_GB2312" w:hAnsi="黑体"/>
          <w:bCs/>
        </w:rPr>
        <w:t>除直接涉及公共安全和人民群众生命健康等特殊重点领域，在市场监管领域实行部门联合“双随机、一公开”监管。</w:t>
      </w:r>
    </w:p>
    <w:p>
      <w:pPr>
        <w:overflowPunct w:val="0"/>
        <w:topLinePunct/>
        <w:autoSpaceDE w:val="0"/>
        <w:autoSpaceDN w:val="0"/>
        <w:adjustRightInd w:val="0"/>
        <w:snapToGrid w:val="0"/>
        <w:spacing w:line="580" w:lineRule="exact"/>
        <w:ind w:firstLine="640" w:firstLineChars="200"/>
        <w:rPr>
          <w:rFonts w:ascii="仿宋_GB2312" w:hAnsi="黑体"/>
          <w:bCs/>
        </w:rPr>
      </w:pPr>
      <w:r>
        <w:rPr>
          <w:rFonts w:hint="eastAsia" w:ascii="仿宋_GB2312" w:hAnsi="黑体"/>
          <w:bCs/>
        </w:rPr>
        <w:t>省人民政府有关部门应当建立健全本省统一监管工作平台，制定市场监管领域随机抽查事项清单，实现抽查检查结果互认共享，促进“双随机、一公开”监管与信用监管有效衔接。</w:t>
      </w:r>
    </w:p>
    <w:p>
      <w:pPr>
        <w:overflowPunct w:val="0"/>
        <w:topLinePunct/>
        <w:autoSpaceDE w:val="0"/>
        <w:autoSpaceDN w:val="0"/>
        <w:adjustRightInd w:val="0"/>
        <w:snapToGrid w:val="0"/>
        <w:spacing w:line="580" w:lineRule="exact"/>
        <w:ind w:firstLine="640" w:firstLineChars="200"/>
        <w:rPr>
          <w:rFonts w:ascii="仿宋_GB2312" w:hAnsi="黑体"/>
          <w:bCs/>
        </w:rPr>
      </w:pPr>
      <w:r>
        <w:rPr>
          <w:rFonts w:hint="eastAsia" w:ascii="仿宋_GB2312" w:hAnsi="黑体"/>
          <w:bCs/>
        </w:rPr>
        <w:t>对直接涉及公共安全和人民群众生命健康等特殊重点领域，有关部门应当强化全过程质量安全管理和风险监控，依法实行重点监管。重点监管事项应当严格控制数量和范围。</w:t>
      </w:r>
    </w:p>
    <w:p>
      <w:pPr>
        <w:overflowPunct w:val="0"/>
        <w:topLinePunct/>
        <w:autoSpaceDE w:val="0"/>
        <w:autoSpaceDN w:val="0"/>
        <w:adjustRightInd w:val="0"/>
        <w:snapToGrid w:val="0"/>
        <w:spacing w:line="580" w:lineRule="exact"/>
        <w:ind w:firstLine="640" w:firstLineChars="200"/>
        <w:rPr>
          <w:rFonts w:ascii="仿宋_GB2312" w:hAnsi="黑体"/>
          <w:bCs/>
        </w:rPr>
      </w:pPr>
      <w:r>
        <w:rPr>
          <w:rFonts w:hint="eastAsia" w:ascii="黑体" w:hAnsi="黑体" w:eastAsia="黑体"/>
          <w:bCs/>
        </w:rPr>
        <w:t>第四十四条</w:t>
      </w:r>
      <w:r>
        <w:rPr>
          <w:rFonts w:hint="eastAsia" w:ascii="楷体_GB2312" w:hAnsi="黑体" w:eastAsia="楷体_GB2312"/>
          <w:bCs/>
        </w:rPr>
        <w:t xml:space="preserve"> </w:t>
      </w:r>
      <w:r>
        <w:rPr>
          <w:rFonts w:hint="eastAsia" w:ascii="黑体" w:hAnsi="黑体" w:eastAsia="黑体"/>
        </w:rPr>
        <w:t xml:space="preserve"> </w:t>
      </w:r>
      <w:r>
        <w:rPr>
          <w:rFonts w:hint="eastAsia" w:ascii="仿宋_GB2312" w:hAnsi="黑体"/>
          <w:bCs/>
        </w:rPr>
        <w:t>本省实行行政执法公示制度、行政执法全过程记录制度和重大执法决定法制审核制度，推进行政执法透明、规范、合法、公正。</w:t>
      </w:r>
    </w:p>
    <w:p>
      <w:pPr>
        <w:overflowPunct w:val="0"/>
        <w:topLinePunct/>
        <w:autoSpaceDE w:val="0"/>
        <w:autoSpaceDN w:val="0"/>
        <w:adjustRightInd w:val="0"/>
        <w:snapToGrid w:val="0"/>
        <w:spacing w:line="580" w:lineRule="exact"/>
        <w:ind w:firstLine="640" w:firstLineChars="200"/>
        <w:rPr>
          <w:rFonts w:ascii="仿宋_GB2312" w:hAnsi="黑体"/>
          <w:bCs/>
        </w:rPr>
      </w:pPr>
      <w:r>
        <w:rPr>
          <w:rFonts w:hint="eastAsia" w:ascii="仿宋_GB2312" w:hAnsi="黑体"/>
          <w:bCs/>
        </w:rPr>
        <w:t>县级以上人民政府应当加强行政执法监督，防止和纠正违法或者不当的行政执法行为，督促有关部门依法履行职责，切实保障市场主体的合法权益。</w:t>
      </w:r>
    </w:p>
    <w:p>
      <w:pPr>
        <w:overflowPunct w:val="0"/>
        <w:topLinePunct/>
        <w:autoSpaceDE w:val="0"/>
        <w:autoSpaceDN w:val="0"/>
        <w:adjustRightInd w:val="0"/>
        <w:snapToGrid w:val="0"/>
        <w:spacing w:line="580" w:lineRule="exact"/>
        <w:ind w:firstLine="640" w:firstLineChars="200"/>
        <w:rPr>
          <w:rFonts w:ascii="仿宋_GB2312" w:hAnsi="微软雅黑"/>
          <w:bCs/>
        </w:rPr>
      </w:pPr>
      <w:r>
        <w:rPr>
          <w:rFonts w:hint="eastAsia" w:ascii="黑体" w:hAnsi="黑体" w:eastAsia="黑体"/>
          <w:bCs/>
        </w:rPr>
        <w:t>第四十五条</w:t>
      </w:r>
      <w:r>
        <w:rPr>
          <w:rFonts w:hint="eastAsia" w:ascii="楷体_GB2312" w:hAnsi="黑体" w:eastAsia="楷体_GB2312"/>
          <w:bCs/>
        </w:rPr>
        <w:t xml:space="preserve">  </w:t>
      </w:r>
      <w:r>
        <w:rPr>
          <w:rFonts w:hint="eastAsia" w:ascii="仿宋_GB2312" w:hAnsi="微软雅黑"/>
          <w:bCs/>
        </w:rPr>
        <w:t>县级以上人民政府及其有关部门应当充分运用互联网、大数据等技术手段，依托国家和省统一的在线监管系统，加强监管信息归集共享和关联整合，推行远程监管、移动监管、预警防控等非现场监管方式，提高监管效率和监管的精准化、智能化水平。</w:t>
      </w:r>
    </w:p>
    <w:p>
      <w:pPr>
        <w:overflowPunct w:val="0"/>
        <w:topLinePunct/>
        <w:autoSpaceDE w:val="0"/>
        <w:autoSpaceDN w:val="0"/>
        <w:adjustRightInd w:val="0"/>
        <w:snapToGrid w:val="0"/>
        <w:spacing w:line="580" w:lineRule="exact"/>
        <w:ind w:firstLine="640" w:firstLineChars="200"/>
        <w:rPr>
          <w:rFonts w:ascii="仿宋_GB2312" w:hAnsi="微软雅黑"/>
          <w:bCs/>
        </w:rPr>
      </w:pPr>
      <w:r>
        <w:rPr>
          <w:rFonts w:hint="eastAsia" w:ascii="黑体" w:hAnsi="黑体" w:eastAsia="黑体"/>
          <w:bCs/>
        </w:rPr>
        <w:t>第四十六条</w:t>
      </w:r>
      <w:r>
        <w:rPr>
          <w:rFonts w:hint="eastAsia" w:ascii="楷体_GB2312" w:hAnsi="黑体" w:eastAsia="楷体_GB2312"/>
          <w:bCs/>
        </w:rPr>
        <w:t xml:space="preserve">  </w:t>
      </w:r>
      <w:r>
        <w:rPr>
          <w:rFonts w:hint="eastAsia" w:ascii="仿宋_GB2312" w:hAnsi="微软雅黑"/>
          <w:bCs/>
        </w:rPr>
        <w:t>县级以上人民政府及其有关部门对市场主体采取限产、停产等应急管理措施的，应当严格依照相关法律、法规的规定实施，并根据市场主体的具体生产经营情况采取相应措施，减少对市场主体生产经营活动的影响。</w:t>
      </w:r>
    </w:p>
    <w:p>
      <w:pPr>
        <w:overflowPunct w:val="0"/>
        <w:topLinePunct/>
        <w:autoSpaceDE w:val="0"/>
        <w:autoSpaceDN w:val="0"/>
        <w:adjustRightInd w:val="0"/>
        <w:snapToGrid w:val="0"/>
        <w:spacing w:line="580" w:lineRule="exact"/>
        <w:ind w:firstLine="640" w:firstLineChars="200"/>
        <w:rPr>
          <w:rFonts w:ascii="仿宋_GB2312" w:hAnsi="微软雅黑"/>
          <w:bCs/>
        </w:rPr>
      </w:pPr>
      <w:r>
        <w:rPr>
          <w:rFonts w:hint="eastAsia" w:ascii="仿宋_GB2312" w:hAnsi="微软雅黑"/>
          <w:bCs/>
        </w:rPr>
        <w:t>除涉及人民群众生命安全、发生重特大事故或者举办国家重大活动，并报经有权机关批准外，不得在相关区域采取要求相关行业、领域的市场主体普遍停产、停业等措施。</w:t>
      </w:r>
    </w:p>
    <w:p>
      <w:pPr>
        <w:overflowPunct w:val="0"/>
        <w:topLinePunct/>
        <w:autoSpaceDE w:val="0"/>
        <w:autoSpaceDN w:val="0"/>
        <w:adjustRightInd w:val="0"/>
        <w:snapToGrid w:val="0"/>
        <w:spacing w:line="580" w:lineRule="exact"/>
        <w:ind w:firstLine="640" w:firstLineChars="200"/>
        <w:rPr>
          <w:rFonts w:ascii="仿宋_GB2312" w:hAnsi="微软雅黑"/>
          <w:bCs/>
        </w:rPr>
      </w:pPr>
      <w:r>
        <w:rPr>
          <w:rFonts w:hint="eastAsia" w:ascii="黑体" w:hAnsi="黑体" w:eastAsia="黑体"/>
          <w:bCs/>
        </w:rPr>
        <w:t>第四十七条</w:t>
      </w:r>
      <w:r>
        <w:rPr>
          <w:rFonts w:hint="eastAsia" w:ascii="楷体_GB2312" w:hAnsi="黑体" w:eastAsia="楷体_GB2312"/>
          <w:bCs/>
        </w:rPr>
        <w:t xml:space="preserve">  </w:t>
      </w:r>
      <w:r>
        <w:rPr>
          <w:rFonts w:hint="eastAsia" w:ascii="仿宋_GB2312" w:hAnsi="微软雅黑"/>
          <w:bCs/>
        </w:rPr>
        <w:t>人民法院、人民检察院应当坚持各类市场主体法律地位平等、权利保护平等和发展机会平等的原则，严格依法公开公正高效做好审判、检察和执行工作，保护市场主体合法权益。</w:t>
      </w:r>
    </w:p>
    <w:p>
      <w:pPr>
        <w:overflowPunct w:val="0"/>
        <w:topLinePunct/>
        <w:autoSpaceDE w:val="0"/>
        <w:autoSpaceDN w:val="0"/>
        <w:adjustRightInd w:val="0"/>
        <w:snapToGrid w:val="0"/>
        <w:spacing w:line="580" w:lineRule="exact"/>
        <w:ind w:firstLine="640" w:firstLineChars="200"/>
        <w:rPr>
          <w:rFonts w:ascii="仿宋_GB2312" w:hAnsi="微软雅黑"/>
          <w:bCs/>
        </w:rPr>
      </w:pPr>
      <w:r>
        <w:rPr>
          <w:rFonts w:hint="eastAsia" w:ascii="仿宋_GB2312" w:hAnsi="微软雅黑"/>
          <w:bCs/>
        </w:rPr>
        <w:t>公安机关应当对干扰市场主体正常生产经营活动，或者侵害生产经营者人身安全、财产安全等违法行为，及时依法处置，保障正常的生产经营秩序。</w:t>
      </w:r>
    </w:p>
    <w:p>
      <w:pPr>
        <w:overflowPunct w:val="0"/>
        <w:topLinePunct/>
        <w:autoSpaceDE w:val="0"/>
        <w:autoSpaceDN w:val="0"/>
        <w:adjustRightInd w:val="0"/>
        <w:snapToGrid w:val="0"/>
        <w:spacing w:line="580" w:lineRule="exact"/>
        <w:ind w:firstLine="640" w:firstLineChars="200"/>
        <w:rPr>
          <w:rFonts w:ascii="仿宋_GB2312" w:hAnsi="仿宋_GB2312" w:cs="仿宋_GB2312"/>
          <w:bCs/>
        </w:rPr>
      </w:pPr>
      <w:r>
        <w:rPr>
          <w:rFonts w:hint="eastAsia" w:ascii="黑体" w:hAnsi="黑体" w:eastAsia="黑体"/>
          <w:bCs/>
        </w:rPr>
        <w:t>第四十八条</w:t>
      </w:r>
      <w:r>
        <w:rPr>
          <w:rFonts w:hint="eastAsia" w:ascii="楷体_GB2312" w:hAnsi="黑体" w:eastAsia="楷体_GB2312"/>
          <w:bCs/>
        </w:rPr>
        <w:t xml:space="preserve">  </w:t>
      </w:r>
      <w:r>
        <w:rPr>
          <w:rFonts w:hint="eastAsia" w:ascii="仿宋_GB2312" w:hAnsi="微软雅黑"/>
          <w:bCs/>
        </w:rPr>
        <w:t>人民法院、人民检察院</w:t>
      </w:r>
      <w:r>
        <w:rPr>
          <w:rFonts w:hint="eastAsia" w:ascii="仿宋_GB2312" w:hAnsi="仿宋_GB2312" w:cs="仿宋_GB2312"/>
          <w:bCs/>
        </w:rPr>
        <w:t>和公安机关应当严格依法审慎对市场主体的法定代表人、主要管理人员采取限制人身自由的强制措施</w:t>
      </w:r>
      <w:r>
        <w:rPr>
          <w:rFonts w:hint="eastAsia" w:ascii="仿宋_GB2312" w:hAnsi="微软雅黑"/>
          <w:bCs/>
        </w:rPr>
        <w:t>；依法需要采取限制人身自由强制措施的，</w:t>
      </w:r>
      <w:r>
        <w:rPr>
          <w:rFonts w:hint="eastAsia" w:ascii="仿宋_GB2312" w:hAnsi="仿宋_GB2312" w:cs="仿宋_GB2312"/>
          <w:bCs/>
        </w:rPr>
        <w:t>应当严格依照法定条件和法定程序进行。</w:t>
      </w:r>
    </w:p>
    <w:p>
      <w:pPr>
        <w:overflowPunct w:val="0"/>
        <w:topLinePunct/>
        <w:autoSpaceDE w:val="0"/>
        <w:autoSpaceDN w:val="0"/>
        <w:adjustRightInd w:val="0"/>
        <w:snapToGrid w:val="0"/>
        <w:spacing w:line="580" w:lineRule="exact"/>
        <w:ind w:firstLine="640" w:firstLineChars="200"/>
        <w:rPr>
          <w:rFonts w:ascii="仿宋_GB2312" w:hAnsi="仿宋_GB2312" w:cs="仿宋_GB2312"/>
          <w:bCs/>
        </w:rPr>
      </w:pPr>
      <w:r>
        <w:rPr>
          <w:rFonts w:hint="eastAsia" w:ascii="仿宋_GB2312" w:hAnsi="仿宋_GB2312" w:cs="仿宋_GB2312"/>
          <w:bCs/>
        </w:rPr>
        <w:t>人民法院、人民检察院和公安机关依法需要对市场主体及其法定代表人、主要管理人员的涉案财物采取查封、扣押、冻结等强制措施的，不得超权限、超范围、超数额、超时限，并有效保护利害关系人的合法权益，减少对市场主体正常生产经营的不利影响。</w:t>
      </w:r>
    </w:p>
    <w:p>
      <w:pPr>
        <w:overflowPunct w:val="0"/>
        <w:topLinePunct/>
        <w:autoSpaceDE w:val="0"/>
        <w:autoSpaceDN w:val="0"/>
        <w:adjustRightInd w:val="0"/>
        <w:snapToGrid w:val="0"/>
        <w:spacing w:line="580" w:lineRule="exact"/>
        <w:ind w:firstLine="640" w:firstLineChars="200"/>
        <w:rPr>
          <w:rFonts w:ascii="仿宋_GB2312" w:hAnsi="仿宋_GB2312" w:cs="仿宋_GB2312"/>
          <w:bCs/>
        </w:rPr>
      </w:pPr>
      <w:r>
        <w:rPr>
          <w:rFonts w:hint="eastAsia" w:ascii="黑体" w:hAnsi="黑体" w:eastAsia="黑体"/>
          <w:bCs/>
        </w:rPr>
        <w:t>第四十九条</w:t>
      </w:r>
      <w:r>
        <w:rPr>
          <w:rFonts w:hint="eastAsia" w:ascii="楷体_GB2312" w:eastAsia="楷体_GB2312"/>
          <w:bCs/>
        </w:rPr>
        <w:t xml:space="preserve">  </w:t>
      </w:r>
      <w:r>
        <w:rPr>
          <w:rFonts w:hint="eastAsia" w:ascii="仿宋_GB2312" w:hAnsi="仿宋_GB2312" w:cs="仿宋_GB2312"/>
          <w:bCs/>
        </w:rPr>
        <w:t>本省建立健全有机衔接、协调联动、高效便捷的纠纷多元化解机制，合理配置纠纷化解资源，为市场主体提供适宜的纠纷化解渠道。</w:t>
      </w:r>
    </w:p>
    <w:p>
      <w:pPr>
        <w:pStyle w:val="6"/>
        <w:widowControl w:val="0"/>
        <w:overflowPunct w:val="0"/>
        <w:spacing w:before="0" w:beforeAutospacing="0" w:after="0" w:afterAutospacing="0" w:line="580" w:lineRule="exact"/>
        <w:ind w:firstLine="640" w:firstLineChars="200"/>
        <w:jc w:val="both"/>
        <w:rPr>
          <w:rFonts w:ascii="仿宋_GB2312" w:hAnsi="仿宋_GB2312" w:cs="仿宋_GB2312"/>
          <w:bCs/>
          <w:sz w:val="32"/>
        </w:rPr>
      </w:pPr>
      <w:r>
        <w:rPr>
          <w:rFonts w:hint="eastAsia" w:ascii="仿宋_GB2312" w:hAnsi="仿宋_GB2312" w:cs="仿宋_GB2312"/>
          <w:bCs/>
          <w:sz w:val="32"/>
        </w:rPr>
        <w:t>县级以上人民政府司法行政部门应当整合律师、公证、司法鉴定、调解、仲裁等公共法律服务资源，加快推进公共法律服务体系建设，为市场主体提供优质精准的法律服务。</w:t>
      </w:r>
    </w:p>
    <w:p>
      <w:pPr>
        <w:pStyle w:val="6"/>
        <w:widowControl w:val="0"/>
        <w:overflowPunct w:val="0"/>
        <w:topLinePunct/>
        <w:autoSpaceDE w:val="0"/>
        <w:autoSpaceDN w:val="0"/>
        <w:adjustRightInd w:val="0"/>
        <w:snapToGrid w:val="0"/>
        <w:spacing w:before="0" w:beforeAutospacing="0" w:after="0" w:afterAutospacing="0" w:line="580" w:lineRule="exact"/>
        <w:contextualSpacing/>
        <w:jc w:val="both"/>
        <w:rPr>
          <w:bCs/>
          <w:kern w:val="2"/>
          <w:sz w:val="32"/>
        </w:rPr>
      </w:pPr>
    </w:p>
    <w:p>
      <w:pPr>
        <w:pStyle w:val="6"/>
        <w:widowControl w:val="0"/>
        <w:overflowPunct w:val="0"/>
        <w:topLinePunct/>
        <w:autoSpaceDE w:val="0"/>
        <w:autoSpaceDN w:val="0"/>
        <w:adjustRightInd w:val="0"/>
        <w:snapToGrid w:val="0"/>
        <w:spacing w:before="0" w:beforeAutospacing="0" w:after="0" w:afterAutospacing="0" w:line="580" w:lineRule="exact"/>
        <w:contextualSpacing/>
        <w:jc w:val="center"/>
        <w:rPr>
          <w:rFonts w:ascii="黑体" w:hAnsi="黑体" w:eastAsia="黑体"/>
          <w:bCs/>
          <w:kern w:val="2"/>
          <w:sz w:val="32"/>
        </w:rPr>
      </w:pPr>
      <w:r>
        <w:rPr>
          <w:rFonts w:hint="eastAsia" w:ascii="黑体" w:hAnsi="黑体" w:eastAsia="黑体"/>
          <w:bCs/>
          <w:kern w:val="2"/>
          <w:sz w:val="32"/>
        </w:rPr>
        <w:t>第五章  监督保障</w:t>
      </w:r>
    </w:p>
    <w:p>
      <w:pPr>
        <w:pStyle w:val="6"/>
        <w:widowControl w:val="0"/>
        <w:overflowPunct w:val="0"/>
        <w:topLinePunct/>
        <w:autoSpaceDE w:val="0"/>
        <w:autoSpaceDN w:val="0"/>
        <w:adjustRightInd w:val="0"/>
        <w:snapToGrid w:val="0"/>
        <w:spacing w:before="0" w:beforeAutospacing="0" w:after="0" w:afterAutospacing="0" w:line="580" w:lineRule="exact"/>
        <w:contextualSpacing/>
        <w:jc w:val="both"/>
        <w:rPr>
          <w:bCs/>
          <w:kern w:val="2"/>
          <w:sz w:val="32"/>
        </w:rPr>
      </w:pPr>
    </w:p>
    <w:p>
      <w:pPr>
        <w:pStyle w:val="6"/>
        <w:widowControl w:val="0"/>
        <w:overflowPunct w:val="0"/>
        <w:topLinePunct/>
        <w:autoSpaceDE w:val="0"/>
        <w:autoSpaceDN w:val="0"/>
        <w:adjustRightInd w:val="0"/>
        <w:snapToGrid w:val="0"/>
        <w:spacing w:before="0" w:beforeAutospacing="0" w:after="0" w:afterAutospacing="0" w:line="580" w:lineRule="exact"/>
        <w:ind w:firstLine="614"/>
        <w:contextualSpacing/>
        <w:jc w:val="both"/>
        <w:rPr>
          <w:rFonts w:ascii="仿宋_GB2312" w:hAnsi="Calibri" w:cs="Times New Roman"/>
          <w:bCs/>
          <w:kern w:val="2"/>
          <w:sz w:val="32"/>
        </w:rPr>
      </w:pPr>
      <w:r>
        <w:rPr>
          <w:rFonts w:hint="eastAsia" w:ascii="黑体" w:hAnsi="黑体" w:eastAsia="黑体"/>
          <w:bCs/>
          <w:sz w:val="32"/>
        </w:rPr>
        <w:t>第五十条</w:t>
      </w:r>
      <w:r>
        <w:rPr>
          <w:rFonts w:hint="eastAsia" w:hAnsi="黑体" w:eastAsia="黑体"/>
          <w:bCs/>
          <w:sz w:val="32"/>
        </w:rPr>
        <w:t xml:space="preserve">  </w:t>
      </w:r>
      <w:r>
        <w:rPr>
          <w:rFonts w:hint="eastAsia" w:ascii="仿宋_GB2312" w:hAnsi="Calibri" w:cs="Times New Roman"/>
          <w:bCs/>
          <w:kern w:val="2"/>
          <w:sz w:val="32"/>
        </w:rPr>
        <w:t>县级以上人民代表大会常务委员会通过听取和审议专项工作报告、规范性文件备案审查、专题询问、质询、特定问题调查等方式，开展营商环境监督。</w:t>
      </w:r>
    </w:p>
    <w:p>
      <w:pPr>
        <w:pStyle w:val="6"/>
        <w:widowControl w:val="0"/>
        <w:overflowPunct w:val="0"/>
        <w:topLinePunct/>
        <w:autoSpaceDE w:val="0"/>
        <w:autoSpaceDN w:val="0"/>
        <w:adjustRightInd w:val="0"/>
        <w:snapToGrid w:val="0"/>
        <w:spacing w:before="0" w:beforeAutospacing="0" w:after="0" w:afterAutospacing="0" w:line="580" w:lineRule="exact"/>
        <w:ind w:firstLine="614"/>
        <w:contextualSpacing/>
        <w:jc w:val="both"/>
        <w:rPr>
          <w:rFonts w:ascii="仿宋_GB2312" w:hAnsi="Calibri" w:cs="Times New Roman"/>
          <w:bCs/>
          <w:kern w:val="2"/>
          <w:sz w:val="32"/>
        </w:rPr>
      </w:pPr>
      <w:r>
        <w:rPr>
          <w:rFonts w:hint="eastAsia" w:ascii="黑体" w:hAnsi="黑体" w:eastAsia="黑体"/>
          <w:bCs/>
          <w:sz w:val="32"/>
        </w:rPr>
        <w:t>第五十一条</w:t>
      </w:r>
      <w:r>
        <w:rPr>
          <w:rFonts w:hint="eastAsia" w:hAnsi="黑体" w:eastAsia="黑体"/>
          <w:bCs/>
          <w:sz w:val="32"/>
        </w:rPr>
        <w:t xml:space="preserve">  </w:t>
      </w:r>
      <w:r>
        <w:rPr>
          <w:rFonts w:hint="eastAsia" w:ascii="仿宋_GB2312" w:hAnsi="Calibri" w:cs="Times New Roman"/>
          <w:bCs/>
          <w:kern w:val="2"/>
          <w:sz w:val="32"/>
        </w:rPr>
        <w:t>省和设区的市人民代表大会常务委员会、人民政府应当根据优化营商环境需要，依照法定权限和程序及时制定或者修改、废止有关地方性法规、地方政府规章。</w:t>
      </w:r>
    </w:p>
    <w:p>
      <w:pPr>
        <w:pStyle w:val="6"/>
        <w:widowControl w:val="0"/>
        <w:overflowPunct w:val="0"/>
        <w:topLinePunct/>
        <w:autoSpaceDE w:val="0"/>
        <w:autoSpaceDN w:val="0"/>
        <w:adjustRightInd w:val="0"/>
        <w:snapToGrid w:val="0"/>
        <w:spacing w:before="0" w:beforeAutospacing="0" w:after="0" w:afterAutospacing="0" w:line="580" w:lineRule="exact"/>
        <w:ind w:firstLine="614"/>
        <w:contextualSpacing/>
        <w:jc w:val="both"/>
        <w:rPr>
          <w:rFonts w:ascii="仿宋_GB2312" w:hAnsi="Calibri" w:cs="Times New Roman"/>
          <w:bCs/>
          <w:kern w:val="2"/>
          <w:sz w:val="32"/>
        </w:rPr>
      </w:pPr>
      <w:r>
        <w:rPr>
          <w:rFonts w:hint="eastAsia" w:ascii="仿宋_GB2312" w:hAnsi="Calibri" w:cs="Times New Roman"/>
          <w:bCs/>
          <w:kern w:val="2"/>
          <w:sz w:val="32"/>
        </w:rPr>
        <w:t>除依法需要保密外，制定与市场主体生产经营活动密切相关的地方性法规、地方政府规章和行政规范性文件，应当通过报纸、网络等向社会公开征求意见，并建立健全意见采纳情况反馈机制。向社会公开征求意见的期限一般不少于三十日。</w:t>
      </w:r>
    </w:p>
    <w:p>
      <w:pPr>
        <w:pStyle w:val="6"/>
        <w:widowControl w:val="0"/>
        <w:overflowPunct w:val="0"/>
        <w:topLinePunct/>
        <w:autoSpaceDE w:val="0"/>
        <w:autoSpaceDN w:val="0"/>
        <w:adjustRightInd w:val="0"/>
        <w:snapToGrid w:val="0"/>
        <w:spacing w:before="0" w:beforeAutospacing="0" w:after="0" w:afterAutospacing="0" w:line="580" w:lineRule="exact"/>
        <w:ind w:firstLine="614"/>
        <w:contextualSpacing/>
        <w:jc w:val="both"/>
        <w:rPr>
          <w:rFonts w:ascii="仿宋_GB2312" w:hAnsi="Calibri" w:cs="Times New Roman"/>
          <w:bCs/>
          <w:kern w:val="2"/>
          <w:sz w:val="32"/>
        </w:rPr>
      </w:pPr>
      <w:r>
        <w:rPr>
          <w:rFonts w:hint="eastAsia" w:ascii="仿宋_GB2312" w:hAnsi="Calibri" w:cs="Times New Roman"/>
          <w:bCs/>
          <w:kern w:val="2"/>
          <w:sz w:val="32"/>
        </w:rPr>
        <w:t>没有法律、法规或者国务院决定和命令的依据，地方政府规章和行政规范性文件不得减损市场主体合法权益或者增加其义务，不得设置市场准入和退出条件，不得干预市场主体正常生产经营活动。</w:t>
      </w:r>
    </w:p>
    <w:p>
      <w:pPr>
        <w:pStyle w:val="6"/>
        <w:widowControl w:val="0"/>
        <w:overflowPunct w:val="0"/>
        <w:topLinePunct/>
        <w:autoSpaceDE w:val="0"/>
        <w:autoSpaceDN w:val="0"/>
        <w:adjustRightInd w:val="0"/>
        <w:snapToGrid w:val="0"/>
        <w:spacing w:before="0" w:beforeAutospacing="0" w:after="0" w:afterAutospacing="0" w:line="580" w:lineRule="exact"/>
        <w:ind w:firstLine="614"/>
        <w:contextualSpacing/>
        <w:jc w:val="both"/>
        <w:rPr>
          <w:rFonts w:ascii="黑体" w:hAnsi="黑体" w:eastAsia="黑体"/>
          <w:sz w:val="32"/>
        </w:rPr>
      </w:pPr>
      <w:r>
        <w:rPr>
          <w:rFonts w:hint="eastAsia" w:ascii="黑体" w:hAnsi="黑体" w:eastAsia="黑体"/>
          <w:bCs/>
          <w:sz w:val="32"/>
        </w:rPr>
        <w:t xml:space="preserve">第五十二条  </w:t>
      </w:r>
      <w:r>
        <w:rPr>
          <w:rFonts w:hint="eastAsia" w:ascii="仿宋_GB2312" w:hAnsi="Calibri" w:cs="Times New Roman"/>
          <w:bCs/>
          <w:kern w:val="2"/>
          <w:sz w:val="32"/>
        </w:rPr>
        <w:t>县级以上人民政府应当</w:t>
      </w:r>
      <w:r>
        <w:rPr>
          <w:rFonts w:ascii="仿宋_GB2312" w:hAnsi="Calibri" w:cs="Times New Roman"/>
          <w:bCs/>
          <w:kern w:val="2"/>
          <w:sz w:val="32"/>
        </w:rPr>
        <w:t>完善经济运行监测长效机制，强化经济运行、公共卫生、金融安全、社会就业等领域风险预警，及时制定</w:t>
      </w:r>
      <w:r>
        <w:rPr>
          <w:rFonts w:hint="eastAsia" w:ascii="仿宋_GB2312" w:hAnsi="Calibri" w:cs="Times New Roman"/>
          <w:bCs/>
          <w:kern w:val="2"/>
          <w:sz w:val="32"/>
        </w:rPr>
        <w:t>有针对性</w:t>
      </w:r>
      <w:r>
        <w:rPr>
          <w:rFonts w:ascii="仿宋_GB2312" w:hAnsi="Calibri" w:cs="Times New Roman"/>
          <w:bCs/>
          <w:kern w:val="2"/>
          <w:sz w:val="32"/>
        </w:rPr>
        <w:t>的政策措施</w:t>
      </w:r>
      <w:r>
        <w:rPr>
          <w:rFonts w:hint="eastAsia" w:ascii="仿宋_GB2312" w:hAnsi="Calibri" w:cs="Times New Roman"/>
          <w:bCs/>
          <w:kern w:val="2"/>
          <w:sz w:val="32"/>
        </w:rPr>
        <w:t>，加强</w:t>
      </w:r>
      <w:r>
        <w:rPr>
          <w:rFonts w:ascii="仿宋_GB2312" w:hAnsi="Calibri" w:cs="Times New Roman"/>
          <w:bCs/>
          <w:kern w:val="2"/>
          <w:sz w:val="32"/>
        </w:rPr>
        <w:t>宣传解读和督导落实，合理引导市场预期。</w:t>
      </w:r>
    </w:p>
    <w:p>
      <w:pPr>
        <w:pStyle w:val="6"/>
        <w:widowControl w:val="0"/>
        <w:overflowPunct w:val="0"/>
        <w:topLinePunct/>
        <w:autoSpaceDE w:val="0"/>
        <w:autoSpaceDN w:val="0"/>
        <w:adjustRightInd w:val="0"/>
        <w:snapToGrid w:val="0"/>
        <w:spacing w:before="0" w:beforeAutospacing="0" w:after="0" w:afterAutospacing="0" w:line="580" w:lineRule="exact"/>
        <w:ind w:firstLine="614"/>
        <w:contextualSpacing/>
        <w:jc w:val="both"/>
        <w:rPr>
          <w:rFonts w:ascii="黑体" w:hAnsi="黑体" w:eastAsia="黑体" w:cs="Times New Roman"/>
          <w:bCs/>
          <w:kern w:val="2"/>
          <w:sz w:val="32"/>
        </w:rPr>
      </w:pPr>
      <w:r>
        <w:rPr>
          <w:rFonts w:hint="eastAsia" w:ascii="黑体" w:hAnsi="黑体" w:eastAsia="黑体"/>
          <w:sz w:val="32"/>
        </w:rPr>
        <w:t xml:space="preserve">第五十三条  </w:t>
      </w:r>
      <w:r>
        <w:rPr>
          <w:rFonts w:hint="eastAsia" w:ascii="仿宋_GB2312" w:hAnsi="Calibri" w:cs="Times New Roman"/>
          <w:bCs/>
          <w:kern w:val="2"/>
          <w:sz w:val="32"/>
        </w:rPr>
        <w:t>发生突发事件，相关县级以上人民政府应当统筹推进突发事件应对</w:t>
      </w:r>
      <w:r>
        <w:rPr>
          <w:rFonts w:ascii="仿宋_GB2312" w:hAnsi="Calibri" w:cs="Times New Roman"/>
          <w:bCs/>
          <w:kern w:val="2"/>
          <w:sz w:val="32"/>
        </w:rPr>
        <w:t>和经济社会发展工作</w:t>
      </w:r>
      <w:r>
        <w:rPr>
          <w:rFonts w:hint="eastAsia" w:ascii="仿宋_GB2312" w:hAnsi="Calibri" w:cs="Times New Roman"/>
          <w:bCs/>
          <w:kern w:val="2"/>
          <w:sz w:val="32"/>
        </w:rPr>
        <w:t>，采取</w:t>
      </w:r>
      <w:r>
        <w:rPr>
          <w:rFonts w:ascii="仿宋_GB2312" w:hAnsi="Calibri" w:cs="Times New Roman"/>
          <w:bCs/>
          <w:kern w:val="2"/>
          <w:sz w:val="32"/>
        </w:rPr>
        <w:t>强化财政金融政策支持</w:t>
      </w:r>
      <w:r>
        <w:rPr>
          <w:rFonts w:hint="eastAsia" w:ascii="仿宋_GB2312" w:hAnsi="Calibri" w:cs="Times New Roman"/>
          <w:bCs/>
          <w:kern w:val="2"/>
          <w:sz w:val="32"/>
        </w:rPr>
        <w:t>、</w:t>
      </w:r>
      <w:r>
        <w:rPr>
          <w:rFonts w:ascii="仿宋_GB2312" w:hAnsi="Calibri" w:cs="Times New Roman"/>
          <w:bCs/>
          <w:kern w:val="2"/>
          <w:sz w:val="32"/>
        </w:rPr>
        <w:t>加大税费支持力度</w:t>
      </w:r>
      <w:r>
        <w:rPr>
          <w:rFonts w:hint="eastAsia" w:ascii="仿宋_GB2312" w:hAnsi="Calibri" w:cs="Times New Roman"/>
          <w:bCs/>
          <w:kern w:val="2"/>
          <w:sz w:val="32"/>
        </w:rPr>
        <w:t>、降低运营成本、加大援企稳岗力度等措施，支持、推动各类市场主体开展生产经营，促进经济社会平稳有序运行；民营企业、中小企业按照国家和省有关规定享受优惠扶持政策。</w:t>
      </w:r>
    </w:p>
    <w:p>
      <w:pPr>
        <w:pStyle w:val="6"/>
        <w:widowControl w:val="0"/>
        <w:overflowPunct w:val="0"/>
        <w:topLinePunct/>
        <w:autoSpaceDE w:val="0"/>
        <w:autoSpaceDN w:val="0"/>
        <w:adjustRightInd w:val="0"/>
        <w:snapToGrid w:val="0"/>
        <w:spacing w:before="0" w:beforeAutospacing="0" w:after="0" w:afterAutospacing="0" w:line="580" w:lineRule="exact"/>
        <w:ind w:firstLine="614"/>
        <w:contextualSpacing/>
        <w:jc w:val="both"/>
        <w:rPr>
          <w:rFonts w:ascii="仿宋_GB2312" w:hAnsi="Calibri" w:cs="Times New Roman"/>
          <w:bCs/>
          <w:kern w:val="2"/>
          <w:sz w:val="32"/>
        </w:rPr>
      </w:pPr>
      <w:r>
        <w:rPr>
          <w:rFonts w:hint="eastAsia" w:ascii="黑体" w:hAnsi="黑体" w:eastAsia="黑体"/>
          <w:bCs/>
          <w:sz w:val="32"/>
        </w:rPr>
        <w:t>第五十四条</w:t>
      </w:r>
      <w:r>
        <w:rPr>
          <w:rFonts w:hint="eastAsia" w:hAnsi="黑体" w:eastAsia="黑体"/>
          <w:bCs/>
          <w:sz w:val="32"/>
        </w:rPr>
        <w:t xml:space="preserve">  </w:t>
      </w:r>
      <w:r>
        <w:rPr>
          <w:rFonts w:hint="eastAsia" w:ascii="仿宋_GB2312" w:hAnsi="Calibri" w:cs="Times New Roman"/>
          <w:bCs/>
          <w:kern w:val="2"/>
          <w:sz w:val="32"/>
        </w:rPr>
        <w:t>县级以上人民政府应当建立健全信用信息公示系统和信用信息共享平台，创新信用监管机制，加强信用信息征集、披露、使用和管理，不断提升信用监管效能。</w:t>
      </w:r>
    </w:p>
    <w:p>
      <w:pPr>
        <w:pStyle w:val="6"/>
        <w:widowControl w:val="0"/>
        <w:overflowPunct w:val="0"/>
        <w:topLinePunct/>
        <w:autoSpaceDE w:val="0"/>
        <w:autoSpaceDN w:val="0"/>
        <w:adjustRightInd w:val="0"/>
        <w:snapToGrid w:val="0"/>
        <w:spacing w:before="0" w:beforeAutospacing="0" w:after="0" w:afterAutospacing="0" w:line="580" w:lineRule="exact"/>
        <w:ind w:firstLine="614"/>
        <w:contextualSpacing/>
        <w:jc w:val="both"/>
        <w:rPr>
          <w:rFonts w:ascii="仿宋_GB2312"/>
          <w:bCs/>
          <w:sz w:val="32"/>
        </w:rPr>
      </w:pPr>
      <w:r>
        <w:rPr>
          <w:rFonts w:hint="eastAsia" w:ascii="黑体" w:hAnsi="黑体" w:eastAsia="黑体" w:cs="仿宋"/>
          <w:bCs/>
          <w:sz w:val="32"/>
        </w:rPr>
        <w:t>第五十五条</w:t>
      </w:r>
      <w:r>
        <w:rPr>
          <w:rFonts w:hint="eastAsia" w:hAnsi="黑体" w:eastAsia="黑体"/>
          <w:bCs/>
          <w:sz w:val="32"/>
        </w:rPr>
        <w:t xml:space="preserve">  </w:t>
      </w:r>
      <w:r>
        <w:rPr>
          <w:rFonts w:hint="eastAsia" w:ascii="仿宋_GB2312"/>
          <w:bCs/>
          <w:sz w:val="32"/>
        </w:rPr>
        <w:t>县级以上人民政府及其有关部门应当按照构建亲清新型政商关系的要求，建立畅通有效的政企沟通机制和联系服务制度，采取多种方式听取市场主体的意见建议，及时了解并依法帮助市场主体解决生产经营活动中遇到的问题。</w:t>
      </w:r>
    </w:p>
    <w:p>
      <w:pPr>
        <w:pStyle w:val="6"/>
        <w:widowControl w:val="0"/>
        <w:overflowPunct w:val="0"/>
        <w:topLinePunct/>
        <w:autoSpaceDE w:val="0"/>
        <w:autoSpaceDN w:val="0"/>
        <w:adjustRightInd w:val="0"/>
        <w:snapToGrid w:val="0"/>
        <w:spacing w:before="0" w:beforeAutospacing="0" w:after="0" w:afterAutospacing="0" w:line="580" w:lineRule="exact"/>
        <w:ind w:firstLine="614"/>
        <w:contextualSpacing/>
        <w:jc w:val="both"/>
        <w:rPr>
          <w:rFonts w:ascii="仿宋_GB2312"/>
          <w:bCs/>
          <w:sz w:val="32"/>
        </w:rPr>
      </w:pPr>
      <w:r>
        <w:rPr>
          <w:rFonts w:hint="eastAsia" w:ascii="黑体" w:hAnsi="黑体" w:eastAsia="黑体"/>
          <w:bCs/>
          <w:sz w:val="32"/>
        </w:rPr>
        <w:t>第五十六条</w:t>
      </w:r>
      <w:r>
        <w:rPr>
          <w:rFonts w:hint="eastAsia" w:hAnsi="黑体" w:eastAsia="黑体"/>
          <w:bCs/>
          <w:sz w:val="32"/>
        </w:rPr>
        <w:t xml:space="preserve">  </w:t>
      </w:r>
      <w:r>
        <w:rPr>
          <w:rFonts w:hint="eastAsia" w:ascii="仿宋_GB2312" w:hAnsi="微软雅黑"/>
          <w:bCs/>
          <w:sz w:val="32"/>
        </w:rPr>
        <w:t>县</w:t>
      </w:r>
      <w:r>
        <w:rPr>
          <w:rFonts w:hint="eastAsia" w:ascii="仿宋_GB2312"/>
          <w:bCs/>
          <w:sz w:val="32"/>
        </w:rPr>
        <w:t>级以上人民政府及其有关部门应当建立健全投诉举报和查处回应制度，畅通便民服务专线、政务服务平台、信访等渠道，对投诉举报应当及时受理、直接查办或者按责转办、限时办结、跟踪督办，及时将办理结果告知投诉人、举报人，并依法为投诉人、举报人保密。</w:t>
      </w:r>
    </w:p>
    <w:p>
      <w:pPr>
        <w:pStyle w:val="6"/>
        <w:widowControl w:val="0"/>
        <w:overflowPunct w:val="0"/>
        <w:topLinePunct/>
        <w:autoSpaceDE w:val="0"/>
        <w:autoSpaceDN w:val="0"/>
        <w:adjustRightInd w:val="0"/>
        <w:snapToGrid w:val="0"/>
        <w:spacing w:before="0" w:beforeAutospacing="0" w:after="0" w:afterAutospacing="0" w:line="580" w:lineRule="exact"/>
        <w:ind w:firstLine="614"/>
        <w:contextualSpacing/>
        <w:jc w:val="both"/>
        <w:rPr>
          <w:rFonts w:ascii="仿宋_GB2312" w:hAnsi="Calibri" w:cs="Times New Roman"/>
          <w:bCs/>
          <w:kern w:val="2"/>
          <w:sz w:val="32"/>
        </w:rPr>
      </w:pPr>
      <w:r>
        <w:rPr>
          <w:rFonts w:hint="eastAsia" w:ascii="黑体" w:hAnsi="黑体" w:eastAsia="黑体" w:cs="Times New Roman"/>
          <w:bCs/>
          <w:kern w:val="2"/>
          <w:sz w:val="32"/>
        </w:rPr>
        <w:t>第五十七条</w:t>
      </w:r>
      <w:r>
        <w:rPr>
          <w:rFonts w:hint="eastAsia" w:ascii="Calibri" w:hAnsi="黑体" w:eastAsia="黑体" w:cs="Times New Roman"/>
          <w:bCs/>
          <w:kern w:val="2"/>
          <w:sz w:val="32"/>
        </w:rPr>
        <w:t xml:space="preserve">  </w:t>
      </w:r>
      <w:r>
        <w:rPr>
          <w:rFonts w:hint="eastAsia" w:ascii="仿宋_GB2312" w:hAnsi="Calibri" w:cs="Times New Roman"/>
          <w:bCs/>
          <w:kern w:val="2"/>
          <w:sz w:val="32"/>
        </w:rPr>
        <w:t>鼓励和支持对营商环境进行舆论监督。新闻媒体及其从业人员进行涉及市场主体的报道，应当真实、客观。任何单位和个人不得捏造虚假信息或者歪曲事实进行不实报道，不得利用新闻报道向市场主体索取财物或者谋取其他利益。</w:t>
      </w:r>
    </w:p>
    <w:p>
      <w:pPr>
        <w:pStyle w:val="6"/>
        <w:widowControl w:val="0"/>
        <w:overflowPunct w:val="0"/>
        <w:topLinePunct/>
        <w:autoSpaceDE w:val="0"/>
        <w:autoSpaceDN w:val="0"/>
        <w:adjustRightInd w:val="0"/>
        <w:snapToGrid w:val="0"/>
        <w:spacing w:before="0" w:beforeAutospacing="0" w:after="0" w:afterAutospacing="0" w:line="580" w:lineRule="exact"/>
        <w:ind w:firstLine="614"/>
        <w:contextualSpacing/>
        <w:jc w:val="both"/>
        <w:rPr>
          <w:rFonts w:ascii="仿宋_GB2312" w:hAnsi="微软雅黑"/>
          <w:bCs/>
          <w:sz w:val="32"/>
        </w:rPr>
      </w:pPr>
      <w:r>
        <w:rPr>
          <w:rFonts w:hint="eastAsia" w:ascii="仿宋_GB2312" w:hAnsi="Calibri" w:cs="Times New Roman"/>
          <w:bCs/>
          <w:kern w:val="2"/>
          <w:sz w:val="32"/>
        </w:rPr>
        <w:t>县级以上人民政府及</w:t>
      </w:r>
      <w:r>
        <w:rPr>
          <w:rFonts w:hint="eastAsia" w:ascii="仿宋_GB2312" w:hAnsi="微软雅黑"/>
          <w:bCs/>
          <w:sz w:val="32"/>
        </w:rPr>
        <w:t>其有关部门应当建立舆情收集和回应机制，及时调查处理损害营商环境的行为，并向社会公开调查处理结果。</w:t>
      </w:r>
    </w:p>
    <w:p>
      <w:pPr>
        <w:spacing w:line="580" w:lineRule="exact"/>
        <w:ind w:firstLine="640" w:firstLineChars="200"/>
        <w:rPr>
          <w:rFonts w:ascii="仿宋_GB2312" w:hAnsi="微软雅黑" w:cs="宋体"/>
          <w:bCs/>
        </w:rPr>
      </w:pPr>
      <w:r>
        <w:rPr>
          <w:rFonts w:hint="eastAsia" w:ascii="黑体" w:hAnsi="黑体" w:eastAsia="黑体"/>
          <w:bCs/>
        </w:rPr>
        <w:t xml:space="preserve">第五十八条  </w:t>
      </w:r>
      <w:r>
        <w:rPr>
          <w:rFonts w:ascii="仿宋_GB2312" w:hAnsi="微软雅黑" w:cs="宋体"/>
          <w:bCs/>
        </w:rPr>
        <w:t>县级以上</w:t>
      </w:r>
      <w:r>
        <w:rPr>
          <w:rFonts w:hint="eastAsia" w:ascii="仿宋_GB2312" w:hAnsi="微软雅黑" w:cs="宋体"/>
          <w:bCs/>
        </w:rPr>
        <w:t>人民</w:t>
      </w:r>
      <w:r>
        <w:rPr>
          <w:rFonts w:ascii="仿宋_GB2312" w:hAnsi="微软雅黑" w:cs="宋体"/>
          <w:bCs/>
        </w:rPr>
        <w:t>政府</w:t>
      </w:r>
      <w:r>
        <w:rPr>
          <w:rFonts w:hint="eastAsia" w:ascii="仿宋_GB2312" w:hAnsi="微软雅黑" w:cs="宋体"/>
          <w:bCs/>
        </w:rPr>
        <w:t>应当</w:t>
      </w:r>
      <w:r>
        <w:rPr>
          <w:rFonts w:ascii="仿宋_GB2312" w:hAnsi="微软雅黑" w:cs="宋体"/>
          <w:bCs/>
        </w:rPr>
        <w:t>健全就业工作协调机制，统筹推进</w:t>
      </w:r>
      <w:r>
        <w:rPr>
          <w:rFonts w:hint="eastAsia" w:ascii="仿宋_GB2312" w:hAnsi="微软雅黑" w:cs="宋体"/>
          <w:bCs/>
        </w:rPr>
        <w:t>本行政区域</w:t>
      </w:r>
      <w:r>
        <w:rPr>
          <w:rFonts w:ascii="仿宋_GB2312" w:hAnsi="微软雅黑" w:cs="宋体"/>
          <w:bCs/>
        </w:rPr>
        <w:t>稳就业工作</w:t>
      </w:r>
      <w:r>
        <w:rPr>
          <w:rFonts w:hint="eastAsia" w:ascii="仿宋_GB2312" w:hAnsi="微软雅黑" w:cs="宋体"/>
          <w:bCs/>
        </w:rPr>
        <w:t>，</w:t>
      </w:r>
      <w:r>
        <w:rPr>
          <w:rFonts w:ascii="仿宋_GB2312" w:hAnsi="微软雅黑" w:cs="宋体"/>
          <w:bCs/>
        </w:rPr>
        <w:t>完善多渠道就业资金投入保障机制，确保就业创业政策落实落地。</w:t>
      </w:r>
    </w:p>
    <w:p>
      <w:pPr>
        <w:spacing w:line="580" w:lineRule="exact"/>
        <w:ind w:firstLine="640" w:firstLineChars="200"/>
        <w:rPr>
          <w:rFonts w:ascii="仿宋_GB2312" w:hAnsi="微软雅黑" w:cs="宋体"/>
          <w:bCs/>
        </w:rPr>
      </w:pPr>
      <w:r>
        <w:rPr>
          <w:rFonts w:hint="eastAsia" w:ascii="仿宋_GB2312" w:hAnsi="微软雅黑" w:cs="宋体"/>
          <w:bCs/>
        </w:rPr>
        <w:t>县级以上人民政府人力资源社会保障等部门应当完善公共就业服务体系，发挥各类就业服务机构作用，整合就业服务资源，建立完善就业岗位信息归集发布制度，为市场主体用工提供便利。</w:t>
      </w:r>
    </w:p>
    <w:p>
      <w:pPr>
        <w:pStyle w:val="6"/>
        <w:widowControl w:val="0"/>
        <w:overflowPunct w:val="0"/>
        <w:topLinePunct/>
        <w:autoSpaceDE w:val="0"/>
        <w:autoSpaceDN w:val="0"/>
        <w:adjustRightInd w:val="0"/>
        <w:snapToGrid w:val="0"/>
        <w:spacing w:before="0" w:beforeAutospacing="0" w:after="0" w:afterAutospacing="0" w:line="580" w:lineRule="exact"/>
        <w:ind w:firstLine="614"/>
        <w:contextualSpacing/>
        <w:jc w:val="both"/>
        <w:rPr>
          <w:rFonts w:ascii="仿宋_GB2312"/>
          <w:bCs/>
          <w:sz w:val="32"/>
        </w:rPr>
      </w:pPr>
      <w:r>
        <w:rPr>
          <w:rFonts w:hint="eastAsia" w:ascii="黑体" w:hAnsi="黑体" w:eastAsia="黑体"/>
          <w:bCs/>
          <w:sz w:val="32"/>
        </w:rPr>
        <w:t>第五十九条</w:t>
      </w:r>
      <w:r>
        <w:rPr>
          <w:rFonts w:hint="eastAsia" w:hAnsi="黑体" w:eastAsia="黑体"/>
          <w:bCs/>
          <w:sz w:val="32"/>
        </w:rPr>
        <w:t xml:space="preserve">  </w:t>
      </w:r>
      <w:r>
        <w:rPr>
          <w:rFonts w:hint="eastAsia" w:ascii="仿宋_GB2312" w:hAnsi="微软雅黑"/>
          <w:bCs/>
          <w:sz w:val="32"/>
        </w:rPr>
        <w:t>县级以上人民政府及其有关部门应当</w:t>
      </w:r>
      <w:r>
        <w:rPr>
          <w:rFonts w:hint="eastAsia" w:ascii="仿宋_GB2312"/>
          <w:bCs/>
          <w:sz w:val="32"/>
        </w:rPr>
        <w:t>创新人才工作机制，</w:t>
      </w:r>
      <w:r>
        <w:rPr>
          <w:rFonts w:hint="eastAsia" w:ascii="仿宋_GB2312" w:hAnsi="微软雅黑"/>
          <w:bCs/>
          <w:sz w:val="32"/>
        </w:rPr>
        <w:t>制定人才培养、引进、评价、激励和服务保障等措施，发布人才需求目录，</w:t>
      </w:r>
      <w:r>
        <w:rPr>
          <w:rFonts w:hint="eastAsia" w:ascii="仿宋_GB2312"/>
          <w:bCs/>
          <w:sz w:val="32"/>
        </w:rPr>
        <w:t>推动国内外人才智力交流与合作，并</w:t>
      </w:r>
      <w:r>
        <w:rPr>
          <w:rFonts w:hint="eastAsia" w:ascii="仿宋_GB2312" w:hAnsi="微软雅黑"/>
          <w:bCs/>
          <w:sz w:val="32"/>
        </w:rPr>
        <w:t>在医疗、社会保险、住房、子女入学等方面提供便利，</w:t>
      </w:r>
      <w:r>
        <w:rPr>
          <w:rFonts w:hint="eastAsia" w:ascii="仿宋_GB2312"/>
          <w:bCs/>
          <w:sz w:val="32"/>
        </w:rPr>
        <w:t>为吸引、留住、用好人才提供政策支持。</w:t>
      </w:r>
    </w:p>
    <w:p>
      <w:pPr>
        <w:pStyle w:val="6"/>
        <w:widowControl w:val="0"/>
        <w:overflowPunct w:val="0"/>
        <w:topLinePunct/>
        <w:autoSpaceDE w:val="0"/>
        <w:autoSpaceDN w:val="0"/>
        <w:adjustRightInd w:val="0"/>
        <w:snapToGrid w:val="0"/>
        <w:spacing w:before="0" w:beforeAutospacing="0" w:after="0" w:afterAutospacing="0" w:line="580" w:lineRule="exact"/>
        <w:ind w:firstLine="614"/>
        <w:contextualSpacing/>
        <w:jc w:val="both"/>
        <w:rPr>
          <w:rFonts w:ascii="仿宋_GB2312" w:hAnsi="微软雅黑"/>
          <w:bCs/>
          <w:sz w:val="32"/>
        </w:rPr>
      </w:pPr>
      <w:r>
        <w:rPr>
          <w:rFonts w:hint="eastAsia" w:ascii="黑体" w:hAnsi="黑体" w:eastAsia="黑体"/>
          <w:bCs/>
          <w:sz w:val="32"/>
        </w:rPr>
        <w:t>第六十条</w:t>
      </w:r>
      <w:r>
        <w:rPr>
          <w:rFonts w:hint="eastAsia" w:ascii="楷体_GB2312" w:hAnsi="楷体" w:eastAsia="楷体_GB2312"/>
          <w:bCs/>
          <w:sz w:val="32"/>
        </w:rPr>
        <w:t xml:space="preserve">  </w:t>
      </w:r>
      <w:r>
        <w:rPr>
          <w:rFonts w:hint="eastAsia" w:ascii="仿宋_GB2312" w:hAnsi="微软雅黑"/>
          <w:bCs/>
          <w:sz w:val="32"/>
        </w:rPr>
        <w:t>县级以上人民政府及其有关部门应当按照国家和省有关规定，建立知识产权纠纷多元化解机制和知识产权维权援助机制。</w:t>
      </w:r>
    </w:p>
    <w:p>
      <w:pPr>
        <w:pStyle w:val="6"/>
        <w:widowControl w:val="0"/>
        <w:overflowPunct w:val="0"/>
        <w:topLinePunct/>
        <w:autoSpaceDE w:val="0"/>
        <w:autoSpaceDN w:val="0"/>
        <w:adjustRightInd w:val="0"/>
        <w:snapToGrid w:val="0"/>
        <w:spacing w:before="0" w:beforeAutospacing="0" w:after="0" w:afterAutospacing="0" w:line="580" w:lineRule="exact"/>
        <w:ind w:firstLine="614"/>
        <w:contextualSpacing/>
        <w:jc w:val="both"/>
        <w:rPr>
          <w:rFonts w:ascii="仿宋_GB2312" w:hAnsi="微软雅黑"/>
          <w:bCs/>
          <w:sz w:val="32"/>
        </w:rPr>
      </w:pPr>
      <w:r>
        <w:rPr>
          <w:rFonts w:hint="eastAsia" w:ascii="仿宋_GB2312" w:hAnsi="微软雅黑"/>
          <w:bCs/>
          <w:sz w:val="32"/>
        </w:rPr>
        <w:t>鼓励企业研究开发拥有自主知识产权的技术和产品，规范内部知识产权管理，提升保护和运用知识产权的能力。鼓励企业投保知识产权保险，减轻中小企业申请和维持知识产权的费用等负担。</w:t>
      </w:r>
    </w:p>
    <w:p>
      <w:pPr>
        <w:pStyle w:val="6"/>
        <w:widowControl w:val="0"/>
        <w:overflowPunct w:val="0"/>
        <w:topLinePunct/>
        <w:autoSpaceDE w:val="0"/>
        <w:autoSpaceDN w:val="0"/>
        <w:adjustRightInd w:val="0"/>
        <w:snapToGrid w:val="0"/>
        <w:spacing w:before="0" w:beforeAutospacing="0" w:after="0" w:afterAutospacing="0" w:line="580" w:lineRule="exact"/>
        <w:ind w:firstLine="614"/>
        <w:contextualSpacing/>
        <w:jc w:val="both"/>
        <w:rPr>
          <w:rFonts w:ascii="仿宋_GB2312" w:hAnsi="微软雅黑"/>
          <w:bCs/>
          <w:sz w:val="32"/>
        </w:rPr>
      </w:pPr>
      <w:r>
        <w:rPr>
          <w:rFonts w:hint="eastAsia" w:ascii="黑体" w:hAnsi="黑体" w:eastAsia="黑体"/>
          <w:bCs/>
          <w:sz w:val="32"/>
        </w:rPr>
        <w:t>第六十一条</w:t>
      </w:r>
      <w:r>
        <w:rPr>
          <w:rFonts w:hint="eastAsia" w:hAnsi="黑体" w:eastAsia="黑体"/>
          <w:bCs/>
          <w:sz w:val="32"/>
        </w:rPr>
        <w:t xml:space="preserve">  </w:t>
      </w:r>
      <w:r>
        <w:rPr>
          <w:rFonts w:hint="eastAsia" w:ascii="仿宋_GB2312" w:hAnsi="微软雅黑"/>
          <w:bCs/>
          <w:sz w:val="32"/>
        </w:rPr>
        <w:t>县级以上人民政府及其有关部门应当按照鼓励创新的原则，对新技术、新产业、新业态、新模式等实行包容审慎监管，创新监管理念，分类制定和实行相应的监管规则和标准，留足发展空间，同时确保质量和安全，不得简单化予以禁止或者不予监管。</w:t>
      </w:r>
    </w:p>
    <w:p>
      <w:pPr>
        <w:pStyle w:val="6"/>
        <w:widowControl w:val="0"/>
        <w:overflowPunct w:val="0"/>
        <w:topLinePunct/>
        <w:autoSpaceDE w:val="0"/>
        <w:autoSpaceDN w:val="0"/>
        <w:adjustRightInd w:val="0"/>
        <w:snapToGrid w:val="0"/>
        <w:spacing w:before="0" w:beforeAutospacing="0" w:after="0" w:afterAutospacing="0" w:line="580" w:lineRule="exact"/>
        <w:contextualSpacing/>
        <w:jc w:val="both"/>
        <w:rPr>
          <w:bCs/>
          <w:sz w:val="32"/>
        </w:rPr>
      </w:pPr>
    </w:p>
    <w:p>
      <w:pPr>
        <w:pStyle w:val="6"/>
        <w:widowControl w:val="0"/>
        <w:overflowPunct w:val="0"/>
        <w:topLinePunct/>
        <w:autoSpaceDE w:val="0"/>
        <w:autoSpaceDN w:val="0"/>
        <w:adjustRightInd w:val="0"/>
        <w:snapToGrid w:val="0"/>
        <w:spacing w:before="0" w:beforeAutospacing="0" w:after="0" w:afterAutospacing="0" w:line="580" w:lineRule="exact"/>
        <w:contextualSpacing/>
        <w:jc w:val="center"/>
        <w:rPr>
          <w:rFonts w:ascii="黑体" w:hAnsi="黑体" w:eastAsia="黑体" w:cs="仿宋_GB2312"/>
          <w:bCs/>
          <w:sz w:val="32"/>
        </w:rPr>
      </w:pPr>
      <w:r>
        <w:rPr>
          <w:rFonts w:hint="eastAsia" w:ascii="黑体" w:hAnsi="黑体" w:eastAsia="黑体"/>
          <w:bCs/>
          <w:sz w:val="32"/>
        </w:rPr>
        <w:t>第六章  法律责任</w:t>
      </w:r>
    </w:p>
    <w:p>
      <w:pPr>
        <w:pStyle w:val="6"/>
        <w:widowControl w:val="0"/>
        <w:overflowPunct w:val="0"/>
        <w:topLinePunct/>
        <w:autoSpaceDE w:val="0"/>
        <w:autoSpaceDN w:val="0"/>
        <w:adjustRightInd w:val="0"/>
        <w:snapToGrid w:val="0"/>
        <w:spacing w:before="0" w:beforeAutospacing="0" w:after="0" w:afterAutospacing="0" w:line="580" w:lineRule="exact"/>
        <w:ind w:firstLine="614"/>
        <w:contextualSpacing/>
        <w:jc w:val="both"/>
        <w:rPr>
          <w:rFonts w:ascii="仿宋_GB2312" w:hAnsi="仿宋_GB2312" w:cs="仿宋_GB2312"/>
          <w:bCs/>
          <w:sz w:val="32"/>
        </w:rPr>
      </w:pPr>
    </w:p>
    <w:p>
      <w:pPr>
        <w:pStyle w:val="6"/>
        <w:widowControl w:val="0"/>
        <w:overflowPunct w:val="0"/>
        <w:topLinePunct/>
        <w:autoSpaceDE w:val="0"/>
        <w:autoSpaceDN w:val="0"/>
        <w:adjustRightInd w:val="0"/>
        <w:snapToGrid w:val="0"/>
        <w:spacing w:before="0" w:beforeAutospacing="0" w:after="0" w:afterAutospacing="0" w:line="580" w:lineRule="exact"/>
        <w:ind w:firstLine="614"/>
        <w:contextualSpacing/>
        <w:jc w:val="both"/>
        <w:rPr>
          <w:rFonts w:ascii="仿宋_GB2312" w:hAnsi="微软雅黑"/>
          <w:bCs/>
          <w:sz w:val="32"/>
        </w:rPr>
      </w:pPr>
      <w:r>
        <w:rPr>
          <w:rFonts w:hint="eastAsia" w:ascii="黑体" w:hAnsi="黑体" w:eastAsia="黑体"/>
          <w:bCs/>
          <w:sz w:val="32"/>
        </w:rPr>
        <w:t>第六十二条</w:t>
      </w:r>
      <w:r>
        <w:rPr>
          <w:rFonts w:hint="eastAsia" w:hAnsi="黑体"/>
          <w:bCs/>
          <w:sz w:val="32"/>
        </w:rPr>
        <w:t xml:space="preserve">  </w:t>
      </w:r>
      <w:r>
        <w:rPr>
          <w:rFonts w:hint="eastAsia" w:ascii="仿宋_GB2312" w:hAnsi="微软雅黑"/>
          <w:bCs/>
          <w:sz w:val="32"/>
        </w:rPr>
        <w:t>对违反本条例规定的行为，法律、行政法规已经规定法律责任的，适用其规定。</w:t>
      </w:r>
    </w:p>
    <w:p>
      <w:pPr>
        <w:pStyle w:val="6"/>
        <w:widowControl w:val="0"/>
        <w:overflowPunct w:val="0"/>
        <w:topLinePunct/>
        <w:autoSpaceDE w:val="0"/>
        <w:autoSpaceDN w:val="0"/>
        <w:adjustRightInd w:val="0"/>
        <w:snapToGrid w:val="0"/>
        <w:spacing w:before="0" w:beforeAutospacing="0" w:after="0" w:afterAutospacing="0" w:line="580" w:lineRule="exact"/>
        <w:ind w:firstLine="614"/>
        <w:contextualSpacing/>
        <w:jc w:val="both"/>
        <w:rPr>
          <w:rFonts w:ascii="仿宋_GB2312" w:hAnsi="微软雅黑"/>
          <w:bCs/>
          <w:sz w:val="32"/>
        </w:rPr>
      </w:pPr>
      <w:r>
        <w:rPr>
          <w:rFonts w:hint="eastAsia" w:ascii="黑体" w:hAnsi="黑体" w:eastAsia="黑体"/>
          <w:bCs/>
          <w:sz w:val="32"/>
        </w:rPr>
        <w:t>第六十三条</w:t>
      </w:r>
      <w:r>
        <w:rPr>
          <w:rFonts w:hint="eastAsia" w:hAnsi="黑体"/>
          <w:bCs/>
          <w:sz w:val="32"/>
        </w:rPr>
        <w:t xml:space="preserve">  </w:t>
      </w:r>
      <w:r>
        <w:rPr>
          <w:rFonts w:hint="eastAsia" w:ascii="仿宋_GB2312" w:hAnsi="微软雅黑"/>
          <w:bCs/>
          <w:sz w:val="32"/>
        </w:rPr>
        <w:t>各级人民政府和有关部门及其工作人员</w:t>
      </w:r>
      <w:r>
        <w:rPr>
          <w:rFonts w:ascii="仿宋_GB2312" w:hAnsi="微软雅黑"/>
          <w:bCs/>
          <w:sz w:val="32"/>
        </w:rPr>
        <w:t>滥用职权、玩忽职守、循私舞弊</w:t>
      </w:r>
      <w:r>
        <w:rPr>
          <w:rFonts w:hint="eastAsia" w:ascii="仿宋_GB2312" w:hAnsi="微软雅黑"/>
          <w:bCs/>
          <w:sz w:val="32"/>
        </w:rPr>
        <w:t>的，由有关主管机关责令改正，对直接负责的主管人员和其他直接责任人员依法给予处分；构成犯罪的，依法追究刑事责任。</w:t>
      </w:r>
    </w:p>
    <w:p>
      <w:pPr>
        <w:pStyle w:val="6"/>
        <w:widowControl w:val="0"/>
        <w:overflowPunct w:val="0"/>
        <w:topLinePunct/>
        <w:autoSpaceDE w:val="0"/>
        <w:autoSpaceDN w:val="0"/>
        <w:adjustRightInd w:val="0"/>
        <w:snapToGrid w:val="0"/>
        <w:spacing w:before="0" w:beforeAutospacing="0" w:after="0" w:afterAutospacing="0" w:line="580" w:lineRule="exact"/>
        <w:ind w:firstLine="614"/>
        <w:contextualSpacing/>
        <w:jc w:val="both"/>
        <w:rPr>
          <w:rFonts w:ascii="仿宋_GB2312" w:hAnsi="微软雅黑"/>
          <w:bCs/>
          <w:sz w:val="32"/>
          <w:shd w:val="clear" w:color="FFFFFF" w:fill="D9D9D9"/>
        </w:rPr>
      </w:pPr>
      <w:r>
        <w:rPr>
          <w:rFonts w:hint="eastAsia" w:ascii="黑体" w:hAnsi="黑体" w:eastAsia="黑体"/>
          <w:bCs/>
          <w:sz w:val="32"/>
        </w:rPr>
        <w:t>第六十四条</w:t>
      </w:r>
      <w:r>
        <w:rPr>
          <w:rFonts w:hint="eastAsia" w:ascii="仿宋_GB2312" w:hAnsi="微软雅黑"/>
          <w:bCs/>
          <w:sz w:val="32"/>
        </w:rPr>
        <w:t xml:space="preserve">  各级人民政府和有关部门及其工作人员在优化营商环境工作中，因缺乏经验、先行先试出现失误错误，但是符合下列条件的</w:t>
      </w:r>
      <w:r>
        <w:rPr>
          <w:rFonts w:hint="eastAsia" w:ascii="黑体" w:hAnsi="黑体" w:eastAsia="黑体" w:cs="黑体"/>
          <w:bCs/>
          <w:sz w:val="32"/>
        </w:rPr>
        <w:t>，</w:t>
      </w:r>
      <w:r>
        <w:rPr>
          <w:rFonts w:ascii="仿宋_GB2312" w:hAnsi="微软雅黑"/>
          <w:bCs/>
          <w:sz w:val="32"/>
        </w:rPr>
        <w:t>按照有关规定从轻、减轻或者免予追责</w:t>
      </w:r>
      <w:r>
        <w:rPr>
          <w:rFonts w:hint="eastAsia" w:ascii="仿宋_GB2312" w:hAnsi="微软雅黑"/>
          <w:bCs/>
          <w:sz w:val="32"/>
        </w:rPr>
        <w:t>：</w:t>
      </w:r>
    </w:p>
    <w:p>
      <w:pPr>
        <w:pStyle w:val="6"/>
        <w:widowControl w:val="0"/>
        <w:overflowPunct w:val="0"/>
        <w:topLinePunct/>
        <w:autoSpaceDE w:val="0"/>
        <w:autoSpaceDN w:val="0"/>
        <w:adjustRightInd w:val="0"/>
        <w:snapToGrid w:val="0"/>
        <w:spacing w:before="0" w:beforeAutospacing="0" w:after="0" w:afterAutospacing="0" w:line="580" w:lineRule="exact"/>
        <w:ind w:firstLine="614"/>
        <w:contextualSpacing/>
        <w:jc w:val="both"/>
        <w:rPr>
          <w:rFonts w:ascii="仿宋_GB2312" w:hAnsi="微软雅黑"/>
          <w:bCs/>
          <w:sz w:val="32"/>
        </w:rPr>
      </w:pPr>
      <w:r>
        <w:rPr>
          <w:rFonts w:hint="eastAsia" w:ascii="仿宋_GB2312" w:hAnsi="微软雅黑"/>
          <w:bCs/>
          <w:sz w:val="32"/>
        </w:rPr>
        <w:t>（一）符合国家和省确定的改革方向的；</w:t>
      </w:r>
    </w:p>
    <w:p>
      <w:pPr>
        <w:pStyle w:val="6"/>
        <w:widowControl w:val="0"/>
        <w:overflowPunct w:val="0"/>
        <w:topLinePunct/>
        <w:autoSpaceDE w:val="0"/>
        <w:autoSpaceDN w:val="0"/>
        <w:adjustRightInd w:val="0"/>
        <w:snapToGrid w:val="0"/>
        <w:spacing w:before="0" w:beforeAutospacing="0" w:after="0" w:afterAutospacing="0" w:line="580" w:lineRule="exact"/>
        <w:ind w:firstLine="614"/>
        <w:contextualSpacing/>
        <w:jc w:val="both"/>
        <w:rPr>
          <w:rFonts w:ascii="仿宋_GB2312" w:hAnsi="微软雅黑"/>
          <w:bCs/>
          <w:sz w:val="32"/>
        </w:rPr>
      </w:pPr>
      <w:r>
        <w:rPr>
          <w:rFonts w:hint="eastAsia" w:ascii="仿宋_GB2312" w:hAnsi="微软雅黑"/>
          <w:bCs/>
          <w:sz w:val="32"/>
        </w:rPr>
        <w:t>（二）未违反法律、法规禁止性规定的；</w:t>
      </w:r>
    </w:p>
    <w:p>
      <w:pPr>
        <w:pStyle w:val="6"/>
        <w:widowControl w:val="0"/>
        <w:overflowPunct w:val="0"/>
        <w:topLinePunct/>
        <w:autoSpaceDE w:val="0"/>
        <w:autoSpaceDN w:val="0"/>
        <w:adjustRightInd w:val="0"/>
        <w:snapToGrid w:val="0"/>
        <w:spacing w:before="0" w:beforeAutospacing="0" w:after="0" w:afterAutospacing="0" w:line="580" w:lineRule="exact"/>
        <w:ind w:firstLine="614"/>
        <w:contextualSpacing/>
        <w:jc w:val="both"/>
        <w:rPr>
          <w:rFonts w:ascii="仿宋_GB2312" w:hAnsi="微软雅黑"/>
          <w:bCs/>
          <w:sz w:val="32"/>
        </w:rPr>
      </w:pPr>
      <w:r>
        <w:rPr>
          <w:rFonts w:hint="eastAsia" w:ascii="仿宋_GB2312" w:hAnsi="微软雅黑"/>
          <w:bCs/>
          <w:sz w:val="32"/>
        </w:rPr>
        <w:t>（三）决策程序符合法律、法规规定的；</w:t>
      </w:r>
    </w:p>
    <w:p>
      <w:pPr>
        <w:pStyle w:val="6"/>
        <w:widowControl w:val="0"/>
        <w:overflowPunct w:val="0"/>
        <w:topLinePunct/>
        <w:autoSpaceDE w:val="0"/>
        <w:autoSpaceDN w:val="0"/>
        <w:adjustRightInd w:val="0"/>
        <w:snapToGrid w:val="0"/>
        <w:spacing w:before="0" w:beforeAutospacing="0" w:after="0" w:afterAutospacing="0" w:line="580" w:lineRule="exact"/>
        <w:ind w:firstLine="614"/>
        <w:contextualSpacing/>
        <w:jc w:val="both"/>
        <w:rPr>
          <w:rFonts w:ascii="仿宋_GB2312" w:hAnsi="微软雅黑"/>
          <w:bCs/>
          <w:sz w:val="32"/>
        </w:rPr>
      </w:pPr>
      <w:r>
        <w:rPr>
          <w:rFonts w:hint="eastAsia" w:ascii="仿宋_GB2312" w:hAnsi="微软雅黑"/>
          <w:bCs/>
          <w:sz w:val="32"/>
        </w:rPr>
        <w:t>（四）勤勉尽责、未牟取私利的；</w:t>
      </w:r>
    </w:p>
    <w:p>
      <w:pPr>
        <w:pStyle w:val="6"/>
        <w:widowControl w:val="0"/>
        <w:overflowPunct w:val="0"/>
        <w:topLinePunct/>
        <w:autoSpaceDE w:val="0"/>
        <w:autoSpaceDN w:val="0"/>
        <w:adjustRightInd w:val="0"/>
        <w:snapToGrid w:val="0"/>
        <w:spacing w:before="0" w:beforeAutospacing="0" w:after="0" w:afterAutospacing="0" w:line="580" w:lineRule="exact"/>
        <w:ind w:firstLine="614"/>
        <w:contextualSpacing/>
        <w:jc w:val="both"/>
        <w:rPr>
          <w:rFonts w:ascii="仿宋_GB2312" w:hAnsi="微软雅黑"/>
          <w:bCs/>
          <w:sz w:val="32"/>
        </w:rPr>
      </w:pPr>
      <w:r>
        <w:rPr>
          <w:rFonts w:hint="eastAsia" w:ascii="仿宋_GB2312" w:hAnsi="微软雅黑"/>
          <w:bCs/>
          <w:sz w:val="32"/>
        </w:rPr>
        <w:t>（五）主动挽回损失、消除不良影响或者有效阻止危害结果发生的。</w:t>
      </w:r>
    </w:p>
    <w:p>
      <w:pPr>
        <w:pStyle w:val="6"/>
        <w:widowControl w:val="0"/>
        <w:overflowPunct w:val="0"/>
        <w:topLinePunct/>
        <w:autoSpaceDE w:val="0"/>
        <w:autoSpaceDN w:val="0"/>
        <w:adjustRightInd w:val="0"/>
        <w:snapToGrid w:val="0"/>
        <w:spacing w:before="0" w:beforeAutospacing="0" w:after="0" w:afterAutospacing="0" w:line="580" w:lineRule="exact"/>
        <w:ind w:firstLine="614"/>
        <w:contextualSpacing/>
        <w:jc w:val="both"/>
        <w:rPr>
          <w:rFonts w:ascii="仿宋_GB2312" w:hAnsi="微软雅黑"/>
          <w:bCs/>
          <w:sz w:val="32"/>
        </w:rPr>
      </w:pPr>
      <w:r>
        <w:rPr>
          <w:rFonts w:hint="eastAsia" w:ascii="黑体" w:hAnsi="黑体" w:eastAsia="黑体"/>
          <w:bCs/>
          <w:sz w:val="32"/>
        </w:rPr>
        <w:t>第六十五条</w:t>
      </w:r>
      <w:r>
        <w:rPr>
          <w:rFonts w:hint="eastAsia" w:ascii="仿宋_GB2312" w:hAnsi="微软雅黑"/>
          <w:bCs/>
          <w:sz w:val="32"/>
        </w:rPr>
        <w:t xml:space="preserve">  公用企业、中介服务机构和行业协会商会损害营商环境的，除依照有关法律、法规规定承担相应责任外，有关部门应当将其违法情况纳入信用信息公示系统和信用信息共享平台。</w:t>
      </w:r>
    </w:p>
    <w:p>
      <w:pPr>
        <w:pStyle w:val="6"/>
        <w:widowControl w:val="0"/>
        <w:overflowPunct w:val="0"/>
        <w:topLinePunct/>
        <w:autoSpaceDE w:val="0"/>
        <w:autoSpaceDN w:val="0"/>
        <w:adjustRightInd w:val="0"/>
        <w:snapToGrid w:val="0"/>
        <w:spacing w:before="0" w:beforeAutospacing="0" w:after="0" w:afterAutospacing="0" w:line="580" w:lineRule="exact"/>
        <w:ind w:firstLine="614"/>
        <w:contextualSpacing/>
        <w:jc w:val="both"/>
        <w:rPr>
          <w:rFonts w:ascii="仿宋_GB2312" w:hAnsi="微软雅黑"/>
          <w:bCs/>
          <w:sz w:val="32"/>
        </w:rPr>
      </w:pPr>
    </w:p>
    <w:p>
      <w:pPr>
        <w:pStyle w:val="6"/>
        <w:widowControl w:val="0"/>
        <w:overflowPunct w:val="0"/>
        <w:topLinePunct/>
        <w:autoSpaceDE w:val="0"/>
        <w:autoSpaceDN w:val="0"/>
        <w:adjustRightInd w:val="0"/>
        <w:snapToGrid w:val="0"/>
        <w:spacing w:before="0" w:beforeAutospacing="0" w:after="0" w:afterAutospacing="0" w:line="580" w:lineRule="exact"/>
        <w:contextualSpacing/>
        <w:jc w:val="center"/>
        <w:rPr>
          <w:rFonts w:ascii="黑体" w:hAnsi="黑体" w:eastAsia="黑体"/>
          <w:bCs/>
          <w:sz w:val="32"/>
        </w:rPr>
      </w:pPr>
      <w:r>
        <w:rPr>
          <w:rFonts w:hint="eastAsia" w:ascii="黑体" w:hAnsi="黑体" w:eastAsia="黑体"/>
          <w:bCs/>
          <w:sz w:val="32"/>
        </w:rPr>
        <w:t>第七章  附则</w:t>
      </w:r>
    </w:p>
    <w:p>
      <w:pPr>
        <w:pStyle w:val="6"/>
        <w:widowControl w:val="0"/>
        <w:overflowPunct w:val="0"/>
        <w:topLinePunct/>
        <w:autoSpaceDE w:val="0"/>
        <w:autoSpaceDN w:val="0"/>
        <w:adjustRightInd w:val="0"/>
        <w:snapToGrid w:val="0"/>
        <w:spacing w:before="0" w:beforeAutospacing="0" w:after="0" w:afterAutospacing="0" w:line="580" w:lineRule="exact"/>
        <w:contextualSpacing/>
        <w:jc w:val="both"/>
        <w:rPr>
          <w:bCs/>
          <w:sz w:val="32"/>
        </w:rPr>
      </w:pPr>
    </w:p>
    <w:p>
      <w:pPr>
        <w:pStyle w:val="6"/>
        <w:widowControl w:val="0"/>
        <w:overflowPunct w:val="0"/>
        <w:topLinePunct/>
        <w:autoSpaceDE w:val="0"/>
        <w:autoSpaceDN w:val="0"/>
        <w:adjustRightInd w:val="0"/>
        <w:snapToGrid w:val="0"/>
        <w:spacing w:before="0" w:beforeAutospacing="0" w:after="0" w:afterAutospacing="0" w:line="580" w:lineRule="exact"/>
        <w:ind w:firstLine="640" w:firstLineChars="200"/>
        <w:contextualSpacing/>
        <w:jc w:val="both"/>
        <w:rPr>
          <w:bCs/>
          <w:sz w:val="32"/>
        </w:rPr>
      </w:pPr>
      <w:r>
        <w:rPr>
          <w:rFonts w:hint="eastAsia" w:ascii="黑体" w:hAnsi="黑体" w:eastAsia="黑体"/>
          <w:bCs/>
          <w:sz w:val="32"/>
        </w:rPr>
        <w:t xml:space="preserve">第六十六条  </w:t>
      </w:r>
      <w:r>
        <w:rPr>
          <w:rFonts w:hint="eastAsia" w:ascii="仿宋_GB2312" w:hAnsi="微软雅黑"/>
          <w:bCs/>
          <w:sz w:val="32"/>
        </w:rPr>
        <w:t>省人民政府及其有关部门应当依照本条例制定配套的实施办法或者实施细则。</w:t>
      </w:r>
    </w:p>
    <w:p>
      <w:pPr>
        <w:pStyle w:val="6"/>
        <w:widowControl w:val="0"/>
        <w:overflowPunct w:val="0"/>
        <w:topLinePunct/>
        <w:autoSpaceDE w:val="0"/>
        <w:autoSpaceDN w:val="0"/>
        <w:adjustRightInd w:val="0"/>
        <w:snapToGrid w:val="0"/>
        <w:spacing w:before="0" w:beforeAutospacing="0" w:after="0" w:afterAutospacing="0" w:line="580" w:lineRule="exact"/>
        <w:ind w:firstLine="614"/>
        <w:contextualSpacing/>
        <w:jc w:val="both"/>
      </w:pPr>
      <w:r>
        <w:rPr>
          <w:rFonts w:hint="eastAsia" w:ascii="黑体" w:hAnsi="黑体" w:eastAsia="黑体"/>
          <w:bCs/>
          <w:sz w:val="32"/>
        </w:rPr>
        <w:t>第六十七条</w:t>
      </w:r>
      <w:r>
        <w:rPr>
          <w:rFonts w:hint="eastAsia" w:hAnsi="黑体" w:eastAsia="黑体"/>
          <w:bCs/>
          <w:sz w:val="32"/>
        </w:rPr>
        <w:t xml:space="preserve">  </w:t>
      </w:r>
      <w:r>
        <w:rPr>
          <w:rFonts w:hint="eastAsia" w:ascii="仿宋_GB2312" w:hAnsi="微软雅黑"/>
          <w:bCs/>
          <w:sz w:val="32"/>
        </w:rPr>
        <w:t>本条例</w:t>
      </w:r>
      <w:r>
        <w:rPr>
          <w:rFonts w:hint="eastAsia" w:ascii="仿宋_GB2312"/>
          <w:bCs/>
          <w:sz w:val="32"/>
        </w:rPr>
        <w:t>自</w:t>
      </w:r>
      <w:r>
        <w:rPr>
          <w:rFonts w:ascii="仿宋_GB2312" w:hAnsi="微软雅黑"/>
          <w:bCs/>
          <w:sz w:val="32"/>
        </w:rPr>
        <w:t>2021</w:t>
      </w:r>
      <w:r>
        <w:rPr>
          <w:rFonts w:hint="eastAsia" w:ascii="仿宋_GB2312" w:hAnsi="微软雅黑"/>
          <w:bCs/>
          <w:sz w:val="32"/>
        </w:rPr>
        <w:t>年</w:t>
      </w:r>
      <w:r>
        <w:rPr>
          <w:rFonts w:ascii="仿宋_GB2312" w:hAnsi="微软雅黑"/>
          <w:bCs/>
          <w:sz w:val="32"/>
        </w:rPr>
        <w:t>1</w:t>
      </w:r>
      <w:r>
        <w:rPr>
          <w:rFonts w:hint="eastAsia" w:ascii="仿宋_GB2312" w:hAnsi="微软雅黑"/>
          <w:bCs/>
          <w:sz w:val="32"/>
        </w:rPr>
        <w:t>月1日起施</w:t>
      </w:r>
      <w:r>
        <w:rPr>
          <w:rFonts w:hint="eastAsia" w:ascii="仿宋_GB2312"/>
          <w:bCs/>
          <w:sz w:val="32"/>
        </w:rPr>
        <w:t>行。</w:t>
      </w:r>
    </w:p>
    <w:p>
      <w:pPr>
        <w:spacing w:line="580" w:lineRule="exact"/>
      </w:pPr>
    </w:p>
    <w:p>
      <w:pPr>
        <w:pStyle w:val="2"/>
        <w:keepNext w:val="0"/>
        <w:keepLines w:val="0"/>
        <w:spacing w:line="580" w:lineRule="exact"/>
      </w:pPr>
    </w:p>
    <w:p>
      <w:bookmarkStart w:id="4" w:name="_GoBack"/>
      <w:bookmarkEnd w:id="4"/>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方正小标宋简体">
    <w:altName w:val="方正舒体"/>
    <w:panose1 w:val="03000509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80F3C52" w:usb2="00000016" w:usb3="00000000" w:csb0="0004001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华文隶书">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Traditional Arabic">
    <w:panose1 w:val="02020603050405020304"/>
    <w:charset w:val="00"/>
    <w:family w:val="auto"/>
    <w:pitch w:val="default"/>
    <w:sig w:usb0="00006003" w:usb1="80000000" w:usb2="00000008" w:usb3="00000000" w:csb0="00000041" w:csb1="2008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321318"/>
    <w:rsid w:val="3F321318"/>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paragraph" w:styleId="2">
    <w:name w:val="heading 3"/>
    <w:basedOn w:val="1"/>
    <w:next w:val="1"/>
    <w:qFormat/>
    <w:uiPriority w:val="0"/>
    <w:pPr>
      <w:keepNext/>
      <w:keepLines/>
      <w:spacing w:line="600" w:lineRule="exact"/>
      <w:ind w:firstLine="640" w:firstLineChars="200"/>
      <w:outlineLvl w:val="2"/>
    </w:pPr>
    <w:rPr>
      <w:rFonts w:eastAsia="楷体_GB2312"/>
      <w:bCs/>
    </w:rPr>
  </w:style>
  <w:style w:type="character" w:default="1" w:styleId="7">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HTML Preformatted"/>
    <w:basedOn w:val="1"/>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sz w:val="24"/>
    </w:rPr>
  </w:style>
  <w:style w:type="paragraph" w:styleId="6">
    <w:name w:val="Normal (Web)"/>
    <w:basedOn w:val="1"/>
    <w:uiPriority w:val="0"/>
    <w:pPr>
      <w:widowControl/>
      <w:spacing w:before="100" w:beforeAutospacing="1" w:after="100" w:afterAutospacing="1"/>
      <w:jc w:val="left"/>
    </w:pPr>
    <w:rPr>
      <w:rFonts w:ascii="宋体" w:hAnsi="宋体" w:cs="宋体"/>
      <w:sz w:val="24"/>
    </w:rPr>
  </w:style>
  <w:style w:type="character" w:customStyle="1" w:styleId="9">
    <w:name w:val="title1"/>
    <w:basedOn w:val="7"/>
    <w:uiPriority w:val="0"/>
  </w:style>
  <w:style w:type="character" w:customStyle="1" w:styleId="10">
    <w:name w:val="sect2title"/>
    <w:basedOn w:val="7"/>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2020-10-29T06:54:00Z</dcterms:created>
  <dc:creator>苏健 }</dc:creator>
  <cp:lastModifiedBy>苏健 }</cp:lastModifiedBy>
  <dcterms:modified xsi:type="dcterms:W3CDTF">2020-10-29T06:56:12Z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