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宋体"/>
          <w:b w:val="0"/>
          <w:bCs w:val="0"/>
          <w:color w:val="000000"/>
        </w:rPr>
      </w:pPr>
      <w:bookmarkStart w:id="1" w:name="_GoBack"/>
      <w:bookmarkStart w:id="0" w:name="_Toc410980084"/>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宋体"/>
          <w:b w:val="0"/>
          <w:bCs w:val="0"/>
          <w:color w:val="00000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宋体"/>
          <w:b w:val="0"/>
          <w:bCs w:val="0"/>
          <w:color w:val="000000"/>
          <w:sz w:val="44"/>
          <w:szCs w:val="44"/>
        </w:rPr>
      </w:pPr>
      <w:r>
        <w:rPr>
          <w:rFonts w:hint="eastAsia" w:ascii="宋体" w:hAnsi="宋体" w:cs="宋体"/>
          <w:b w:val="0"/>
          <w:bCs w:val="0"/>
          <w:color w:val="000000"/>
          <w:sz w:val="44"/>
          <w:szCs w:val="44"/>
        </w:rPr>
        <w:t>山东省农村可再生能源条例</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40" w:right="640"/>
        <w:jc w:val="both"/>
        <w:textAlignment w:val="auto"/>
        <w:rPr>
          <w:rFonts w:ascii="楷体_GB2312" w:eastAsia="楷体_GB2312" w:cs="Times New Roman"/>
          <w:b w:val="0"/>
          <w:bCs w:val="0"/>
          <w:color w:val="000000"/>
        </w:rPr>
      </w:pPr>
      <w:r>
        <w:rPr>
          <w:rFonts w:hint="eastAsia" w:ascii="楷体_GB2312" w:hAnsi="宋体" w:eastAsia="楷体_GB2312" w:cs="楷体_GB2312"/>
          <w:b w:val="0"/>
          <w:bCs w:val="0"/>
          <w:color w:val="000000"/>
        </w:rPr>
        <w:t>（</w:t>
      </w:r>
      <w:r>
        <w:rPr>
          <w:rFonts w:ascii="楷体_GB2312" w:hAnsi="宋体" w:eastAsia="楷体_GB2312" w:cs="楷体_GB2312"/>
          <w:b w:val="0"/>
          <w:bCs w:val="0"/>
          <w:color w:val="000000"/>
        </w:rPr>
        <w:t>2007</w:t>
      </w:r>
      <w:r>
        <w:rPr>
          <w:rFonts w:hint="eastAsia" w:ascii="楷体_GB2312" w:hAnsi="宋体" w:eastAsia="楷体_GB2312" w:cs="楷体_GB2312"/>
          <w:b w:val="0"/>
          <w:bCs w:val="0"/>
          <w:color w:val="000000"/>
        </w:rPr>
        <w:t>年</w:t>
      </w:r>
      <w:r>
        <w:rPr>
          <w:rFonts w:ascii="楷体_GB2312" w:hAnsi="宋体" w:eastAsia="楷体_GB2312" w:cs="楷体_GB2312"/>
          <w:b w:val="0"/>
          <w:bCs w:val="0"/>
          <w:color w:val="000000"/>
        </w:rPr>
        <w:t>11</w:t>
      </w:r>
      <w:r>
        <w:rPr>
          <w:rFonts w:hint="eastAsia" w:ascii="楷体_GB2312" w:hAnsi="宋体" w:eastAsia="楷体_GB2312" w:cs="楷体_GB2312"/>
          <w:b w:val="0"/>
          <w:bCs w:val="0"/>
          <w:color w:val="000000"/>
        </w:rPr>
        <w:t>月</w:t>
      </w:r>
      <w:r>
        <w:rPr>
          <w:rFonts w:ascii="楷体_GB2312" w:hAnsi="宋体" w:eastAsia="楷体_GB2312" w:cs="楷体_GB2312"/>
          <w:b w:val="0"/>
          <w:bCs w:val="0"/>
          <w:color w:val="000000"/>
        </w:rPr>
        <w:t>23</w:t>
      </w:r>
      <w:r>
        <w:rPr>
          <w:rFonts w:hint="eastAsia" w:ascii="楷体_GB2312" w:hAnsi="宋体" w:eastAsia="楷体_GB2312" w:cs="楷体_GB2312"/>
          <w:b w:val="0"/>
          <w:bCs w:val="0"/>
          <w:color w:val="000000"/>
        </w:rPr>
        <w:t>日山东省第十届人民代表大会常务委员会第三十一次会议通过</w:t>
      </w:r>
      <w:r>
        <w:rPr>
          <w:rFonts w:ascii="楷体_GB2312" w:hAnsi="宋体" w:eastAsia="楷体_GB2312" w:cs="楷体_GB2312"/>
          <w:b w:val="0"/>
          <w:bCs w:val="0"/>
          <w:color w:val="000000"/>
        </w:rPr>
        <w:t xml:space="preserve">  </w:t>
      </w:r>
      <w:r>
        <w:rPr>
          <w:rFonts w:hint="eastAsia" w:ascii="楷体_GB2312" w:hAnsi="宋体" w:eastAsia="楷体_GB2312" w:cs="楷体_GB2312"/>
          <w:b w:val="0"/>
          <w:bCs w:val="0"/>
          <w:color w:val="000000"/>
        </w:rPr>
        <w:t>根据</w:t>
      </w:r>
      <w:r>
        <w:rPr>
          <w:rFonts w:ascii="楷体_GB2312" w:hAnsi="宋体" w:eastAsia="楷体_GB2312" w:cs="楷体_GB2312"/>
          <w:b w:val="0"/>
          <w:bCs w:val="0"/>
          <w:color w:val="000000"/>
        </w:rPr>
        <w:t>2015</w:t>
      </w:r>
      <w:r>
        <w:rPr>
          <w:rFonts w:hint="eastAsia" w:ascii="楷体_GB2312" w:hAnsi="宋体" w:eastAsia="楷体_GB2312" w:cs="楷体_GB2312"/>
          <w:b w:val="0"/>
          <w:bCs w:val="0"/>
          <w:color w:val="000000"/>
        </w:rPr>
        <w:t>年</w:t>
      </w:r>
      <w:r>
        <w:rPr>
          <w:rFonts w:ascii="楷体_GB2312" w:hAnsi="宋体" w:eastAsia="楷体_GB2312" w:cs="楷体_GB2312"/>
          <w:b w:val="0"/>
          <w:bCs w:val="0"/>
          <w:color w:val="000000"/>
        </w:rPr>
        <w:t>7</w:t>
      </w:r>
      <w:r>
        <w:rPr>
          <w:rFonts w:hint="eastAsia" w:ascii="楷体_GB2312" w:hAnsi="宋体" w:eastAsia="楷体_GB2312" w:cs="楷体_GB2312"/>
          <w:b w:val="0"/>
          <w:bCs w:val="0"/>
          <w:color w:val="000000"/>
        </w:rPr>
        <w:t>月</w:t>
      </w:r>
      <w:r>
        <w:rPr>
          <w:rFonts w:ascii="楷体_GB2312" w:hAnsi="宋体" w:eastAsia="楷体_GB2312" w:cs="楷体_GB2312"/>
          <w:b w:val="0"/>
          <w:bCs w:val="0"/>
          <w:color w:val="000000"/>
        </w:rPr>
        <w:t>24</w:t>
      </w:r>
      <w:r>
        <w:rPr>
          <w:rFonts w:hint="eastAsia" w:ascii="楷体_GB2312" w:hAnsi="宋体" w:eastAsia="楷体_GB2312" w:cs="楷体_GB2312"/>
          <w:b w:val="0"/>
          <w:bCs w:val="0"/>
          <w:color w:val="000000"/>
        </w:rPr>
        <w:t>日山东省第十二届人民代表大会常务委员会第十五次会议《关于修改〈山东省农村可再生能源条例〉等十二件地方性法规的决定》修正）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楷体_GB2312" w:eastAsia="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目</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第一章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第二章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科研开发</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第三章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推广应用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第四章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安全管理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第六章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olor w:val="000000"/>
          <w:sz w:val="32"/>
          <w:szCs w:val="32"/>
        </w:rPr>
      </w:pPr>
      <w:r>
        <w:rPr>
          <w:rFonts w:hint="eastAsia" w:ascii="楷体_GB2312" w:hAnsi="宋体" w:eastAsia="楷体_GB2312" w:cs="楷体_GB2312"/>
          <w:color w:val="000000"/>
          <w:sz w:val="32"/>
          <w:szCs w:val="32"/>
        </w:rPr>
        <w:t>第七章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第一章</w:t>
      </w:r>
      <w:r>
        <w:rPr>
          <w:rFonts w:ascii="黑体" w:hAnsi="宋体" w:eastAsia="黑体" w:cs="黑体"/>
          <w:b w:val="0"/>
          <w:bCs w:val="0"/>
          <w:color w:val="000000"/>
        </w:rPr>
        <w:t xml:space="preserve">  </w:t>
      </w:r>
      <w:r>
        <w:rPr>
          <w:rFonts w:hint="eastAsia" w:ascii="黑体" w:hAnsi="宋体" w:eastAsia="黑体" w:cs="黑体"/>
          <w:b w:val="0"/>
          <w:bCs w:val="0"/>
          <w:color w:val="000000"/>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rPr>
        <w:t>　　</w:t>
      </w:r>
      <w:r>
        <w:rPr>
          <w:rFonts w:hint="eastAsia" w:ascii="黑体" w:hAnsi="宋体" w:eastAsia="黑体" w:cs="黑体"/>
          <w:color w:val="000000"/>
          <w:sz w:val="32"/>
          <w:szCs w:val="32"/>
          <w:shd w:val="clear" w:color="auto" w:fill="FFFFFF"/>
        </w:rPr>
        <w:t>第一条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为促进农村可再生能源的开发利用，改善农村生产条件，提高农村居民生活质量，保护生态环境，实现农业和农村经济可持续发展，根据《中华人民共和国可再生能源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本条例所称农村可再生能源，是指主要用于农村生产、生活的生物质能、太阳能、风能、水能、地热能、海洋能等非化石能源。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在本省行政区域内开发利用农村可再生能源以及进行相关管理活动，适用本条例。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开发利用农村可再生能源，应当遵循因地制宜、多能互补、节用并举、群众自愿的原则，坚持资源节约与生态环境保护相结合，实现经济效益、社会效益、生态效益的统一。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鼓励各种所有制经济主体参与农村可再生能源的开发利用，依法保护农村可再生能源开发利用者的合法权益。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县级以上人民政府应当将农村可再生能源工作纳入国民经济和社会发展规划，并制定相应的优惠政策和保障措施，扶持农村可再生能源的科研开发和推广应用。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县级以上人民政府应当组织有关部门加强对农村可再生能源开发利用的宣传和教育，充分利用广播、电视、报纸、互联网等各种媒体，普及科学用能和技术推广应用知识。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县级以上人民政府农业行政主管部门负责本行政区域内农村可再生能源开发利用的管理工作。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乡（镇）人民政府负责本行政区域内的农村可再生能源开发利用工作。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县级以上人民政府发展改革、经济和信息化、财政、科技、国土资源、住房城乡建设、环境保护、质量技术监督等有关部门，应当按照各自职责，做好农村可再生能源开发利用的相关工作。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第二章</w:t>
      </w:r>
      <w:r>
        <w:rPr>
          <w:rFonts w:ascii="黑体" w:hAnsi="宋体" w:eastAsia="黑体" w:cs="黑体"/>
          <w:b w:val="0"/>
          <w:bCs w:val="0"/>
          <w:color w:val="000000"/>
        </w:rPr>
        <w:t xml:space="preserve">  </w:t>
      </w:r>
      <w:r>
        <w:rPr>
          <w:rFonts w:hint="eastAsia" w:ascii="黑体" w:hAnsi="宋体" w:eastAsia="黑体" w:cs="黑体"/>
          <w:b w:val="0"/>
          <w:bCs w:val="0"/>
          <w:color w:val="000000"/>
        </w:rPr>
        <w:t>科研开发</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政府应当将农村可再生能源开发利用的科学技术研究和产业化发展，纳入科技发展规划和高新技术产业发展规划，组织并支持科研、教学、推广、生产等单位从事农村可再生能源基础性、关键性、公益性技术的研究，促进农村可再生能源开发利用的技术进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省发展改革、经济和信息化、科技、财政部门应当在项目安排、创新奖励、政策及资金扶持等方面，支持农村可再生能源的科研开发和成果转化。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应当鼓励科研机构、企业和个人研究开发农用太阳能、小型风能、小型水能技术以及沼气贮运、沼气低温发酵、秸秆发酵沼气、秸秆气化、秸秆固化和炭化等生物质资源转化技术，并给予政策及财政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鼓励科技人员通过技术转让、技术承包和技术入股等形式，加快农村可再生能源成果的转化。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省标准化行政主管部门应当会同省农业行政主管部门及其他有关部门，制定全省农村可再生能源产品地方标准和工程技术规范，并组织实施。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农村可再生能源产品的生产，必须符合国家、行业或者地方标准。没有国家、行业或者地方标准的，生产企业应当制定企业标准，并按规定报当地标准化行政主管部门和农业行政主管部门备案。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第三章</w:t>
      </w:r>
      <w:r>
        <w:rPr>
          <w:rFonts w:ascii="黑体" w:hAnsi="宋体" w:eastAsia="黑体" w:cs="黑体"/>
          <w:b w:val="0"/>
          <w:bCs w:val="0"/>
          <w:color w:val="000000"/>
        </w:rPr>
        <w:t xml:space="preserve">  </w:t>
      </w:r>
      <w:r>
        <w:rPr>
          <w:rFonts w:hint="eastAsia" w:ascii="黑体" w:hAnsi="宋体" w:eastAsia="黑体" w:cs="黑体"/>
          <w:b w:val="0"/>
          <w:bCs w:val="0"/>
          <w:color w:val="000000"/>
        </w:rPr>
        <w:t>推广应用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各级人民政府应当将农村可再生能源技术推广工作纳入农业技术推广体系，充分发挥农村可再生能源技术推广机构的作用，开展农村可再生能源科学研究、技术指导、技术培训、信息咨询、安全管理等公益性服务，并鼓励和支持农村集体经济组织、企业和个人建立专业服务组织，开展农村可再生能源社会化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乡（镇）农业技术推广机构应当确定专职或者兼职人员负责农村可再生能源的推广工作。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县级以上人民政府财政部门应当对政府设立的农村可再生能源技术推广机构履行职能所需经费给予保证，并在农业技术推广资金中，安排部分资金用于农村可再生能源技术推广项目。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推广应用农村可再生能源新技术、新产品，应当努力降低相对成本，提高相对效能，有利于生态环境保护和可持续协调发展。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农村可再生能源新技术、新产品，应当在推广地区经过实地试验证明具有先进性、适用性和安全性，由省农业行政主管部门列入推广目录并向社会公告后，方可推广。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鼓励单位与个人参与农村可再生能源新技术、新产品的推广活动。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生产、销售的农村可再生能源产品和转让的技术，应当实用、安全、方便，易于群众接受。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农村可再生能源产品和技术的生产、销售、转让单位和个人，应当对所生产、销售的产品质量或者所提供的技术负责，并向用户传授安全操作知识，提供售后服务。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禁止生产、销售国家明令淘汰或者质量不合格的农村可再生能源产品。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县（市、区）、乡（镇）人民政府应当结合农村村镇规划、生态农业建设、农村改厕防疫等工作，在适宜地区推广农村户用沼气。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县（市、区）农业行政主管部门应当按照国家和省制定的农村户用沼气工程技术标准和规范，为农村居民应用沼气提供技术指导和服务。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大中型畜禽养殖企业和标准化养殖区应当采用环保能源技术，利用畜禽养殖废弃物生产沼气；鼓励农村集体经济组织、企业和个人采用厌氧发酵等技术处理有机垃圾和污水生产沼气，并用于发电或者向农村集中供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各级人民政府应当加强对秸秆综合利用的指导，有计划地示范推广秸秆发酵沼气、秸秆气化、秸秆固化等技术。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第十九条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农村新建或者改建校舍、医院、敬老院等公用设施的，应当推广使用太阳能供水供热采暖、光伏发电和建筑节能技术；设计单位应当按照要求提供相应的设计方案。太阳能利用设施应当与主体工程同时设计、同时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县级以上人民政府建设行政主管部门应当为农村住宅建设利用太阳能提供技术指导和通用设计方案。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各级人民政府及其有关部门应当在农村推广先进适用的省柴节煤灶以及烤烟、制茶等方面的节能技术，鼓励用能单位和个人逐步淘汰或者改造高能耗设备和工艺。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鼓励单位和个人在条件适宜的地区，推广风能、水能、地热能、海洋能等可再生能源利用技术。</w:t>
      </w: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仿宋_GB2312" w:eastAsia="仿宋_GB2312" w:cs="Times New Roman"/>
          <w:b w:val="0"/>
          <w:bCs w:val="0"/>
          <w:color w:val="00000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第四章</w:t>
      </w:r>
      <w:r>
        <w:rPr>
          <w:rFonts w:ascii="黑体" w:hAnsi="宋体" w:eastAsia="黑体" w:cs="黑体"/>
          <w:b w:val="0"/>
          <w:bCs w:val="0"/>
          <w:color w:val="000000"/>
        </w:rPr>
        <w:t xml:space="preserve">  </w:t>
      </w:r>
      <w:r>
        <w:rPr>
          <w:rFonts w:hint="eastAsia" w:ascii="黑体" w:hAnsi="宋体" w:eastAsia="黑体" w:cs="黑体"/>
          <w:b w:val="0"/>
          <w:bCs w:val="0"/>
          <w:color w:val="000000"/>
        </w:rPr>
        <w:t>保障措施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eastAsia="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省农业行政主管部门应当根据省可再生能源开发利用规划，组织编制全省农村可再生能源开发利用规划，按规定程序报经批准后实施。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设区的市、县（市、区）农业行政主管部门应当根据全省农村可再生能源开发利用规划，组织编制本行政区域的农村可再生能源开发利用规划，报本级人民政府批准后实施。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编制农村可再生能源开发利用规划，应当采取听证会、座谈会等形式，广泛征求有关单位、专家和公众的意见，进行科学论证。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省农业行政主管部门应当根据全省农村可再生能源开发利用规划，制定并公布全省农村可再生能源产业发展指导目录。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县级以上人民政府应当在年度财政预算中安排专项资金，用于扶持农村可再生能源建设，并随着经济和社会的发展逐年增加。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县级以上人民政府可以在节能资金中安排部分资金，用于支持农村可再生能源的开发利用。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列入国家和省农村可再生能源开发利用规划的建设项目，县级以上人民政府应当安排相应的配套资金。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列入国家和省农村可再生能源产业发展指导目录、符合信贷条件的建设项目，可以按照国家和省的有关规定享受财政贴息贷款，并享受税收优惠。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采用厌氧发酵等技术处理有机垃圾、污水和畜禽养殖废弃物生产沼气用于发电或者向农村集中供气，以及采用秸秆发酵沼气、秸秆气化、秸秆固化等技术综合利用秸秆的，县级以上人民政府应当按照国家和省的有关规定给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农村新建或者改建校舍、医院、敬老院等公用设施，采用太阳能供水供热采暖、光伏发电和建筑节能技术的，县级以上人民政府应当按照国家和省的有关规定给予适当补贴。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农村居民或农村集体经济组织集中建设农村沼气项目的，县级以上人民政府应当按照国家和省的有关规定给予补贴。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提倡和鼓励农村居民利用住宅及其周围空闲地建设户用沼气池。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第五章</w:t>
      </w:r>
      <w:r>
        <w:rPr>
          <w:rFonts w:ascii="黑体" w:hAnsi="宋体" w:eastAsia="黑体" w:cs="黑体"/>
          <w:b w:val="0"/>
          <w:bCs w:val="0"/>
          <w:color w:val="000000"/>
        </w:rPr>
        <w:t xml:space="preserve">  </w:t>
      </w:r>
      <w:r>
        <w:rPr>
          <w:rFonts w:hint="eastAsia" w:ascii="黑体" w:hAnsi="宋体" w:eastAsia="黑体" w:cs="黑体"/>
          <w:b w:val="0"/>
          <w:bCs w:val="0"/>
          <w:color w:val="000000"/>
        </w:rPr>
        <w:t>安全管理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eastAsia="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第二十九条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县级以上人民政府农业行政主管部门应当加强对农村可再生能源开发利用的安全管理，建立健全能源利用工程质量监督制度，提高管理和服务水平。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县级以上人民政府农业行政主管部门应当加强对农村可再生能源利用工程的技术服务和指导。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从事农村可再生能源利用工程设计、施工、监理的单位和个人，应当按照国家有关规定取得相应的资质证书后，方可承担设计、施工、监理业务，并保证设计和施工质量。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农村可再生能源利用工程，涉及行业管理的，应当遵守相关的行业管理规定及其专业技术标准。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建设单池容积五百立方米以上的沼气工程及日供气量五百立方米以上的秸秆气化工程，其工程设计方案应当由设区的市农业行政主管部门组织专家论证后予以核准。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前款规定的农村可再生能源利用工程，其建设单位应当将设计方案报工程所在地县（市、区）农业行政主管部门审查；县（市、区）农业行政主管部门应当自收到工程设计方案之日起十日内提出审查意见，并报送设区的市农业行政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设区的市农业行政主管部门应当自收到审查意见及工程设计方案之日起二十日内完成审核。对工程设计单位具备国家规定的相应资质且工程设计方案符合安全技术规范和标准的，予以核准；对不予核准的，应当书面通知工程建设单位并说明理由；未经核准的，不得开工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县级以上人民政府农业行政主管部门应当会同同级质量技术监督、工商行政管理部门，对本地区生产、销售的农村可再生能源产品进行监督检查。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第六章</w:t>
      </w:r>
      <w:r>
        <w:rPr>
          <w:rFonts w:ascii="黑体" w:hAnsi="宋体" w:eastAsia="黑体" w:cs="黑体"/>
          <w:b w:val="0"/>
          <w:bCs w:val="0"/>
          <w:color w:val="000000"/>
        </w:rPr>
        <w:t xml:space="preserve">  </w:t>
      </w:r>
      <w:r>
        <w:rPr>
          <w:rFonts w:hint="eastAsia" w:ascii="黑体" w:hAnsi="宋体" w:eastAsia="黑体" w:cs="黑体"/>
          <w:b w:val="0"/>
          <w:bCs w:val="0"/>
          <w:color w:val="000000"/>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eastAsia="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违反本条例规定，擅自推广未经实地试验证明具有先进性、适用性和安全性的农村可再生能源新技术、新产品的，由农业行政主管部门责令其停止推广；给他人造成损失的，应当依法予以赔偿。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违反本条例规定，生产、销售国家明令淘汰或者质量不合格的农村可再生能源产品的，由农业行政主管部门配合质量技术监督、工商行政管理部门，依照国家有关法律、法规的规定处罚。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违反本条例规定，未按国家有关规定取得相应资质证书，从事农村可再生能源利用工程设计、施工或者监理活动的，由建设行政主管部门依法处罚；给用户造成损失的，应当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违反本条例规定，农村可再生能源利用工程设计方案未经核准擅自开工建设的，由农业行政主管部门责令其限期改正；逾期不改正的，处以一千元以上一万元以下的罚款。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农业行政主管部门及其他有关部门的工作人员在农村可再生能源开发利用监督管理工作中，玩忽职守、滥用职权、徇私舞弊的，由其所在单位或者上级主管部门给予处分；构成犯罪的，依法追究刑事责任。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黑体" w:eastAsia="黑体" w:cs="Times New Roman"/>
          <w:b w:val="0"/>
          <w:bCs w:val="0"/>
          <w:color w:val="000000"/>
        </w:rPr>
      </w:pPr>
      <w:r>
        <w:rPr>
          <w:rFonts w:hint="eastAsia" w:ascii="黑体" w:hAnsi="宋体" w:eastAsia="黑体" w:cs="黑体"/>
          <w:b w:val="0"/>
          <w:bCs w:val="0"/>
          <w:color w:val="000000"/>
        </w:rPr>
        <w:t>第七章</w:t>
      </w:r>
      <w:r>
        <w:rPr>
          <w:rFonts w:ascii="黑体" w:hAnsi="宋体" w:eastAsia="黑体" w:cs="黑体"/>
          <w:b w:val="0"/>
          <w:bCs w:val="0"/>
          <w:color w:val="000000"/>
        </w:rPr>
        <w:t xml:space="preserve">  </w:t>
      </w:r>
      <w:r>
        <w:rPr>
          <w:rFonts w:hint="eastAsia" w:ascii="黑体" w:hAnsi="宋体" w:eastAsia="黑体" w:cs="黑体"/>
          <w:b w:val="0"/>
          <w:bCs w:val="0"/>
          <w:color w:val="000000"/>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eastAsia="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sz w:val="32"/>
          <w:szCs w:val="32"/>
          <w:shd w:val="clear" w:color="auto" w:fill="FFFFFF"/>
        </w:rPr>
      </w:pPr>
      <w:r>
        <w:rPr>
          <w:rFonts w:hint="eastAsia" w:ascii="黑体" w:hAnsi="宋体" w:eastAsia="黑体" w:cs="黑体"/>
          <w:color w:val="000000"/>
          <w:sz w:val="32"/>
          <w:szCs w:val="32"/>
          <w:shd w:val="clear" w:color="auto" w:fill="FFFFFF"/>
        </w:rPr>
        <w:t>第三十八条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本条例自</w:t>
      </w:r>
      <w:r>
        <w:rPr>
          <w:rFonts w:ascii="仿宋_GB2312" w:hAnsi="宋体" w:eastAsia="仿宋_GB2312" w:cs="仿宋_GB2312"/>
          <w:color w:val="000000"/>
          <w:sz w:val="32"/>
          <w:szCs w:val="32"/>
          <w:shd w:val="clear" w:color="auto" w:fill="FFFFFF"/>
        </w:rPr>
        <w:t>2008</w:t>
      </w:r>
      <w:r>
        <w:rPr>
          <w:rFonts w:hint="eastAsia" w:ascii="仿宋_GB2312" w:hAnsi="宋体" w:eastAsia="仿宋_GB2312" w:cs="仿宋_GB2312"/>
          <w:color w:val="000000"/>
          <w:sz w:val="32"/>
          <w:szCs w:val="32"/>
          <w:shd w:val="clear" w:color="auto" w:fill="FFFFFF"/>
        </w:rPr>
        <w:t>年</w:t>
      </w:r>
      <w:r>
        <w:rPr>
          <w:rFonts w:ascii="仿宋_GB2312" w:hAnsi="宋体" w:eastAsia="仿宋_GB2312" w:cs="仿宋_GB2312"/>
          <w:color w:val="000000"/>
          <w:sz w:val="32"/>
          <w:szCs w:val="32"/>
          <w:shd w:val="clear" w:color="auto" w:fill="FFFFFF"/>
        </w:rPr>
        <w:t>1</w:t>
      </w:r>
      <w:r>
        <w:rPr>
          <w:rFonts w:hint="eastAsia" w:ascii="仿宋_GB2312" w:hAnsi="宋体" w:eastAsia="仿宋_GB2312" w:cs="仿宋_GB2312"/>
          <w:color w:val="000000"/>
          <w:sz w:val="32"/>
          <w:szCs w:val="32"/>
          <w:shd w:val="clear" w:color="auto" w:fill="FFFFFF"/>
        </w:rPr>
        <w:t>月</w:t>
      </w:r>
      <w:r>
        <w:rPr>
          <w:rFonts w:ascii="仿宋_GB2312" w:hAnsi="宋体" w:eastAsia="仿宋_GB2312" w:cs="仿宋_GB2312"/>
          <w:color w:val="000000"/>
          <w:sz w:val="32"/>
          <w:szCs w:val="32"/>
          <w:shd w:val="clear" w:color="auto" w:fill="FFFFFF"/>
        </w:rPr>
        <w:t>1</w:t>
      </w:r>
      <w:r>
        <w:rPr>
          <w:rFonts w:hint="eastAsia" w:ascii="仿宋_GB2312" w:hAnsi="宋体" w:eastAsia="仿宋_GB2312" w:cs="仿宋_GB2312"/>
          <w:color w:val="000000"/>
          <w:sz w:val="32"/>
          <w:szCs w:val="32"/>
          <w:shd w:val="clear" w:color="auto" w:fill="FFFFFF"/>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color w:val="000000"/>
          <w:sz w:val="32"/>
          <w:szCs w:val="32"/>
        </w:rPr>
      </w:pPr>
    </w:p>
    <w:bookmarkEnd w:id="1"/>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- 9 -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- 10 -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0B7"/>
    <w:rsid w:val="000038E1"/>
    <w:rsid w:val="00104083"/>
    <w:rsid w:val="00143C35"/>
    <w:rsid w:val="00452E94"/>
    <w:rsid w:val="004841E6"/>
    <w:rsid w:val="005A2549"/>
    <w:rsid w:val="005B5236"/>
    <w:rsid w:val="005E53EC"/>
    <w:rsid w:val="00655464"/>
    <w:rsid w:val="0076372A"/>
    <w:rsid w:val="007E19C6"/>
    <w:rsid w:val="007F251E"/>
    <w:rsid w:val="008140F2"/>
    <w:rsid w:val="00823052"/>
    <w:rsid w:val="00833901"/>
    <w:rsid w:val="0093446A"/>
    <w:rsid w:val="009400B7"/>
    <w:rsid w:val="00A8074E"/>
    <w:rsid w:val="00AF0B97"/>
    <w:rsid w:val="00B40CE6"/>
    <w:rsid w:val="00C64137"/>
    <w:rsid w:val="00CB4EE0"/>
    <w:rsid w:val="00ED50AF"/>
    <w:rsid w:val="00FD2571"/>
    <w:rsid w:val="18B53F98"/>
    <w:rsid w:val="2519124C"/>
    <w:rsid w:val="4EE16029"/>
    <w:rsid w:val="52762C59"/>
    <w:rsid w:val="581670F3"/>
    <w:rsid w:val="59A6283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9"/>
    <w:uiPriority w:val="99"/>
    <w:pPr>
      <w:tabs>
        <w:tab w:val="center" w:pos="4153"/>
        <w:tab w:val="right" w:pos="8306"/>
      </w:tabs>
      <w:snapToGrid w:val="0"/>
      <w:jc w:val="left"/>
    </w:pPr>
    <w:rPr>
      <w:rFonts w:ascii="Calibri" w:hAnsi="Calibri" w:cs="Calibri"/>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rFonts w:ascii="Calibri" w:hAnsi="Calibri" w:cs="Calibri"/>
      <w:sz w:val="18"/>
      <w:szCs w:val="18"/>
    </w:rPr>
  </w:style>
  <w:style w:type="paragraph" w:styleId="4">
    <w:name w:val="Title"/>
    <w:basedOn w:val="1"/>
    <w:next w:val="1"/>
    <w:link w:val="10"/>
    <w:qFormat/>
    <w:uiPriority w:val="99"/>
    <w:pPr>
      <w:spacing w:before="240" w:after="60"/>
      <w:jc w:val="center"/>
      <w:outlineLvl w:val="0"/>
    </w:pPr>
    <w:rPr>
      <w:rFonts w:ascii="Cambria" w:hAnsi="Cambria" w:cs="Cambria"/>
      <w:b/>
      <w:bCs/>
      <w:sz w:val="32"/>
      <w:szCs w:val="32"/>
    </w:rPr>
  </w:style>
  <w:style w:type="character" w:styleId="6">
    <w:name w:val="page number"/>
    <w:basedOn w:val="5"/>
    <w:uiPriority w:val="99"/>
  </w:style>
  <w:style w:type="character" w:customStyle="1" w:styleId="8">
    <w:name w:val="Header Char"/>
    <w:basedOn w:val="5"/>
    <w:link w:val="3"/>
    <w:qFormat/>
    <w:locked/>
    <w:uiPriority w:val="99"/>
    <w:rPr>
      <w:sz w:val="18"/>
      <w:szCs w:val="18"/>
    </w:rPr>
  </w:style>
  <w:style w:type="character" w:customStyle="1" w:styleId="9">
    <w:name w:val="Footer Char"/>
    <w:basedOn w:val="5"/>
    <w:link w:val="2"/>
    <w:locked/>
    <w:uiPriority w:val="99"/>
    <w:rPr>
      <w:sz w:val="18"/>
      <w:szCs w:val="18"/>
    </w:rPr>
  </w:style>
  <w:style w:type="character" w:customStyle="1" w:styleId="10">
    <w:name w:val="Title Char"/>
    <w:basedOn w:val="5"/>
    <w:link w:val="4"/>
    <w:qFormat/>
    <w:locked/>
    <w:uiPriority w:val="99"/>
    <w:rPr>
      <w:rFonts w:ascii="Cambria" w:hAnsi="Cambria" w:eastAsia="宋体" w:cs="Cambria"/>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10</Pages>
  <Words>666</Words>
  <Characters>3802</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2016-12-18T03:03:00Z</dcterms:created>
  <dc:creator>luwei704</dc:creator>
  <cp:lastModifiedBy>wth</cp:lastModifiedBy>
  <cp:lastPrinted>2015-08-10T01:34:00Z</cp:lastPrinted>
  <dcterms:modified xsi:type="dcterms:W3CDTF">2017-01-09T09:19:00Z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