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ascii="仿宋_GB2312" w:hAnsi="仿宋"/>
          <w:szCs w:val="32"/>
        </w:rPr>
      </w:pPr>
    </w:p>
    <w:p>
      <w:pPr>
        <w:keepNext w:val="0"/>
        <w:keepLines w:val="0"/>
        <w:pageBreakBefore w:val="0"/>
        <w:widowControl w:val="0"/>
        <w:kinsoku/>
        <w:wordWrap/>
        <w:overflowPunct/>
        <w:topLinePunct w:val="0"/>
        <w:bidi w:val="0"/>
        <w:adjustRightInd/>
        <w:snapToGrid/>
        <w:spacing w:line="560" w:lineRule="exact"/>
        <w:jc w:val="center"/>
        <w:textAlignment w:val="auto"/>
        <w:outlineLvl w:val="9"/>
        <w:rPr>
          <w:rFonts w:hint="eastAsia" w:ascii="方正小标宋_GBK" w:hAnsi="宋体" w:eastAsia="方正小标宋_GBK"/>
          <w:sz w:val="36"/>
          <w:szCs w:val="36"/>
        </w:rPr>
      </w:pPr>
    </w:p>
    <w:p>
      <w:pPr>
        <w:keepNext w:val="0"/>
        <w:keepLines w:val="0"/>
        <w:pageBreakBefore w:val="0"/>
        <w:widowControl w:val="0"/>
        <w:kinsoku/>
        <w:wordWrap/>
        <w:overflowPunct/>
        <w:topLinePunct w:val="0"/>
        <w:autoSpaceDE w:val="0"/>
        <w:autoSpaceDN w:val="0"/>
        <w:bidi w:val="0"/>
        <w:adjustRightInd/>
        <w:snapToGrid/>
        <w:spacing w:line="560" w:lineRule="exact"/>
        <w:jc w:val="center"/>
        <w:textAlignment w:val="auto"/>
        <w:outlineLvl w:val="9"/>
        <w:rPr>
          <w:rFonts w:ascii="宋体" w:hAnsi="宋体" w:eastAsia="宋体"/>
          <w:sz w:val="44"/>
          <w:szCs w:val="44"/>
        </w:rPr>
      </w:pPr>
      <w:bookmarkStart w:id="0" w:name="_GoBack"/>
      <w:r>
        <w:rPr>
          <w:rFonts w:hint="eastAsia" w:ascii="宋体" w:hAnsi="宋体" w:eastAsia="宋体"/>
          <w:sz w:val="44"/>
          <w:szCs w:val="44"/>
        </w:rPr>
        <w:t>山东省地方政府规章设定罚款限额规定</w:t>
      </w:r>
      <w:bookmarkEnd w:id="0"/>
    </w:p>
    <w:p>
      <w:pPr>
        <w:keepNext w:val="0"/>
        <w:keepLines w:val="0"/>
        <w:pageBreakBefore w:val="0"/>
        <w:widowControl w:val="0"/>
        <w:kinsoku/>
        <w:wordWrap/>
        <w:overflowPunct/>
        <w:topLinePunct w:val="0"/>
        <w:autoSpaceDE w:val="0"/>
        <w:autoSpaceDN w:val="0"/>
        <w:bidi w:val="0"/>
        <w:adjustRightInd/>
        <w:snapToGrid/>
        <w:spacing w:line="560" w:lineRule="exact"/>
        <w:jc w:val="center"/>
        <w:textAlignment w:val="auto"/>
        <w:outlineLvl w:val="9"/>
        <w:rPr>
          <w:rFonts w:hint="eastAsia" w:ascii="宋体" w:hAnsi="宋体" w:eastAsia="宋体"/>
          <w:szCs w:val="32"/>
        </w:rPr>
      </w:pPr>
    </w:p>
    <w:p>
      <w:pPr>
        <w:keepNext w:val="0"/>
        <w:keepLines w:val="0"/>
        <w:pageBreakBefore w:val="0"/>
        <w:widowControl w:val="0"/>
        <w:kinsoku/>
        <w:wordWrap/>
        <w:overflowPunct/>
        <w:topLinePunct w:val="0"/>
        <w:autoSpaceDE w:val="0"/>
        <w:autoSpaceDN w:val="0"/>
        <w:bidi w:val="0"/>
        <w:adjustRightInd/>
        <w:snapToGrid/>
        <w:spacing w:line="560" w:lineRule="exact"/>
        <w:ind w:left="640" w:leftChars="150" w:right="653" w:rightChars="204" w:hanging="160" w:hangingChars="50"/>
        <w:textAlignment w:val="auto"/>
        <w:outlineLvl w:val="9"/>
        <w:rPr>
          <w:rFonts w:hint="eastAsia" w:ascii="楷体_GB2312" w:hAnsi="宋体" w:eastAsia="楷体_GB2312" w:cs="TTA39o00"/>
        </w:rPr>
      </w:pPr>
      <w:r>
        <w:rPr>
          <w:rFonts w:hint="eastAsia" w:ascii="楷体_GB2312" w:hAnsi="宋体" w:eastAsia="楷体_GB2312" w:cs="TTA39o00"/>
        </w:rPr>
        <w:t>（2017年7月28日山东省第十二届人民代表大会常务委员会第三十一次会议通过）</w:t>
      </w:r>
    </w:p>
    <w:p>
      <w:pPr>
        <w:keepNext w:val="0"/>
        <w:keepLines w:val="0"/>
        <w:pageBreakBefore w:val="0"/>
        <w:widowControl w:val="0"/>
        <w:kinsoku/>
        <w:wordWrap/>
        <w:overflowPunct/>
        <w:topLinePunct w:val="0"/>
        <w:bidi w:val="0"/>
        <w:adjustRightInd/>
        <w:snapToGrid/>
        <w:spacing w:line="560" w:lineRule="exact"/>
        <w:ind w:firstLine="880" w:firstLineChars="200"/>
        <w:textAlignment w:val="auto"/>
        <w:outlineLvl w:val="9"/>
        <w:rPr>
          <w:rFonts w:hint="eastAsia"/>
          <w:sz w:val="44"/>
          <w:szCs w:val="44"/>
        </w:rPr>
      </w:pP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sz w:val="44"/>
          <w:szCs w:val="44"/>
        </w:rPr>
      </w:pPr>
      <w:r>
        <w:rPr>
          <w:rFonts w:hint="eastAsia" w:ascii="黑体" w:hAnsi="黑体" w:eastAsia="黑体"/>
        </w:rPr>
        <w:t>第一条</w:t>
      </w:r>
      <w:r>
        <w:rPr>
          <w:sz w:val="44"/>
          <w:szCs w:val="44"/>
        </w:rPr>
        <w:t xml:space="preserve">  </w:t>
      </w:r>
      <w:r>
        <w:rPr>
          <w:rFonts w:hint="eastAsia" w:ascii="仿宋_GB2312" w:hAnsi="仿宋"/>
          <w:szCs w:val="32"/>
        </w:rPr>
        <w:t>为了规范省人民政府和设区的市人民政府制定的规章（以下简称地方政府规章）设定罚款处罚的行为，维护社会主义法制统一，根据《中华人民共和国立法法》和《中华人民共和国行政处罚法》的有关规定，结合本省实际，制定本规定。</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
          <w:szCs w:val="32"/>
        </w:rPr>
      </w:pPr>
      <w:r>
        <w:rPr>
          <w:rFonts w:hint="eastAsia" w:ascii="黑体" w:hAnsi="黑体" w:eastAsia="黑体"/>
          <w:szCs w:val="32"/>
        </w:rPr>
        <w:t>第二条</w:t>
      </w:r>
      <w:r>
        <w:rPr>
          <w:sz w:val="44"/>
          <w:szCs w:val="44"/>
        </w:rPr>
        <w:t xml:space="preserve">  </w:t>
      </w:r>
      <w:r>
        <w:rPr>
          <w:rFonts w:hint="eastAsia" w:ascii="仿宋_GB2312" w:hAnsi="仿宋"/>
          <w:szCs w:val="32"/>
        </w:rPr>
        <w:t>地方政府规章对违反行政管理秩序的行为设定罚款限额，适用本规定。</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ascii="仿宋_GB2312" w:hAnsi="仿宋"/>
          <w:szCs w:val="32"/>
        </w:rPr>
      </w:pPr>
      <w:r>
        <w:rPr>
          <w:rFonts w:hint="eastAsia" w:ascii="黑体" w:hAnsi="黑体" w:eastAsia="黑体"/>
          <w:szCs w:val="32"/>
        </w:rPr>
        <w:t>第三条</w:t>
      </w:r>
      <w:r>
        <w:rPr>
          <w:sz w:val="44"/>
          <w:szCs w:val="44"/>
        </w:rPr>
        <w:t xml:space="preserve">  </w:t>
      </w:r>
      <w:r>
        <w:rPr>
          <w:rFonts w:hint="eastAsia" w:ascii="仿宋_GB2312" w:hAnsi="仿宋"/>
          <w:szCs w:val="32"/>
        </w:rPr>
        <w:t>地方政府规章可以在法律、法规规定的给予罚款处罚的行为、幅度范围内作出具体规定；尚未制定法律、法规的，地方政府规章对违反行政管理秩序的行为设定罚款的限额为十万元。但是，对涉及公共安全、生态环境保护和自然资源开发利用、人身财产安全方面的违反行政管理秩序的行为，设定罚款的限额为二十万元。</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hint="eastAsia" w:ascii="仿宋_GB2312" w:hAnsi="仿宋"/>
          <w:szCs w:val="32"/>
        </w:rPr>
      </w:pPr>
      <w:r>
        <w:rPr>
          <w:rFonts w:hint="eastAsia" w:ascii="黑体" w:hAnsi="黑体" w:eastAsia="黑体"/>
          <w:szCs w:val="32"/>
        </w:rPr>
        <w:t>第四条</w:t>
      </w:r>
      <w:r>
        <w:rPr>
          <w:rFonts w:hint="eastAsia" w:ascii="仿宋_GB2312"/>
          <w:szCs w:val="32"/>
        </w:rPr>
        <w:t xml:space="preserve">  </w:t>
      </w:r>
      <w:r>
        <w:rPr>
          <w:rFonts w:hint="eastAsia" w:ascii="仿宋_GB2312" w:hAnsi="仿宋"/>
          <w:szCs w:val="32"/>
        </w:rPr>
        <w:t>设定罚款应当依据过罚相当原则，在罚款限额内，根据违反行政管理秩序行为的事实、性质、情节以及社会危害程度，对公民、法人和其他组织违反行政管理秩序的行为设定不同幅度的罚款。</w:t>
      </w:r>
    </w:p>
    <w:p>
      <w:pPr>
        <w:keepNext w:val="0"/>
        <w:keepLines w:val="0"/>
        <w:pageBreakBefore w:val="0"/>
        <w:widowControl w:val="0"/>
        <w:kinsoku/>
        <w:wordWrap/>
        <w:overflowPunct/>
        <w:topLinePunct w:val="0"/>
        <w:bidi w:val="0"/>
        <w:adjustRightInd/>
        <w:snapToGrid/>
        <w:spacing w:line="560" w:lineRule="exact"/>
        <w:ind w:firstLine="640" w:firstLineChars="200"/>
        <w:textAlignment w:val="auto"/>
        <w:outlineLvl w:val="9"/>
        <w:rPr>
          <w:rFonts w:ascii="仿宋_GB2312" w:hAnsi="仿宋"/>
          <w:szCs w:val="32"/>
        </w:rPr>
      </w:pPr>
      <w:r>
        <w:rPr>
          <w:rFonts w:hint="eastAsia" w:ascii="黑体" w:hAnsi="黑体" w:eastAsia="黑体"/>
          <w:szCs w:val="32"/>
        </w:rPr>
        <w:t>第五条</w:t>
      </w:r>
      <w:r>
        <w:rPr>
          <w:rFonts w:hint="eastAsia" w:ascii="仿宋_GB2312"/>
          <w:szCs w:val="32"/>
        </w:rPr>
        <w:t xml:space="preserve">  </w:t>
      </w:r>
      <w:r>
        <w:rPr>
          <w:rFonts w:hint="eastAsia" w:ascii="仿宋_GB2312" w:hAnsi="仿宋"/>
          <w:szCs w:val="32"/>
        </w:rPr>
        <w:t>本规定自2017年9月1日起施行。1996年10月14日山东省第八届人民代表大会常务委员会第二十四次会议通过的《山东省人民代表大会常务委员会关于规定地方政府规章设定罚款限额的决定》同时废止。</w:t>
      </w:r>
    </w:p>
    <w:p>
      <w:pPr>
        <w:keepNext w:val="0"/>
        <w:keepLines w:val="0"/>
        <w:pageBreakBefore w:val="0"/>
        <w:widowControl w:val="0"/>
        <w:kinsoku/>
        <w:wordWrap/>
        <w:overflowPunct/>
        <w:topLinePunct w:val="0"/>
        <w:bidi w:val="0"/>
        <w:adjustRightInd/>
        <w:snapToGrid/>
        <w:spacing w:line="560" w:lineRule="exact"/>
        <w:textAlignment w:val="auto"/>
        <w:outlineLvl w:val="9"/>
      </w:pPr>
    </w:p>
    <w:sectPr>
      <w:footerReference r:id="rId3" w:type="default"/>
      <w:pgSz w:w="11906" w:h="16838"/>
      <w:pgMar w:top="2154" w:right="1531" w:bottom="1814" w:left="1531" w:header="851" w:footer="1531" w:gutter="0"/>
      <w:paperSrc/>
      <w:pgNumType w:fmt="numberInDash"/>
      <w:cols w:space="0" w:num="1"/>
      <w:rtlGutter w:val="0"/>
      <w:docGrid w:type="line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TTA39o00">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2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FE52E4"/>
    <w:rsid w:val="36FE52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2017-08-30T06:50:00Z</dcterms:created>
  <dc:creator>Administrator</dc:creator>
  <cp:lastModifiedBy>Administrator</cp:lastModifiedBy>
  <dcterms:modified xsi:type="dcterms:W3CDTF">2017-08-30T06:53:06Z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