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山东省地质环境保护条例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日山东省第十届人民代表大会常务委员会第三次会议通过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日山东省第十届人民代表大会常务委员会第十一次会议《关于修改〈山东省人才市场管理条例〉等十件地方性法规的决定》修正</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hint="eastAsia" w:ascii="楷体_GB2312" w:hAnsi="宋体" w:eastAsia="楷体_GB2312" w:cs="楷体_GB2312"/>
          <w:sz w:val="32"/>
          <w:szCs w:val="32"/>
          <w:lang w:val="en-US" w:eastAsia="zh-CN"/>
        </w:rPr>
        <w:t xml:space="preserve"> </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矿山地质环境保护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地质遗迹保护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地质灾害防治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为保护和改善地质环境，防治地质灾害，保护公共财产和公民生命财产安全，促进经济和社会的可持续发展，根据国家有关法律、法规，结合本省实际，制定本条例。</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在本省行政区域内从事矿产资源勘查开采、地质遗迹保护、地质灾害防治以及工程建设等与地质环境有关的活动的，应当遵守本条例。</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本条例所称地质环境，是指影响人类生存和发展的各种岩体、土体、地下水、矿藏等地质体及其活动的总和。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地震灾害防御，不适用本条例。</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地质环境保护应当坚持积极保护与合理开发利用的原则。</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县级以上人民政府应当加强本行政区域内地质环境保护工作的领导，组织制定地质环境保护规划，作为环境保护规划的组成部分，纳入国民经济和社会发展计划。</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县级以上人民政府地质矿产行政主管部门负责本行政区域内地质环境保护的监督管理工作。</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县级以上人民政府建设、农业、林业、水利、交通等部门依据有关法律、法规规定做好地质环境保护的有关工作。</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县级以上人民政府地质矿产行政主管部门应当根据本行政区域内地质环境实际，组织建立地质环境监测网络，完善监测设施。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省人民政府地质矿产行政主管部门应当定期发布本省的地质环境状况公报。</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hint="eastAsia" w:ascii="仿宋_GB2312" w:hAnsi="宋体" w:eastAsia="仿宋_GB2312" w:cs="仿宋_GB2312"/>
          <w:sz w:val="32"/>
          <w:szCs w:val="32"/>
        </w:rPr>
        <w:t>任何单位和个人不得侵占、损毁或者擅自移动地质环境监测设施及标志。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任何单位和个人均有权对破坏地质环境以及破坏地质环境监测设施、标志的行为进行举报。县级以上人民政府地质矿产行政主管部门接到举报后，应当及时调查处理。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矿山地质环境保护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勘查、开采矿产资源的，应当采取有效措施，防止造成地质灾害、环境污染和生态破坏，并做好水土保持、植被恢复和土地复垦工作。</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探矿权人应当对遗留的钻孔、探井、探槽、巷道和形成的危岩、危坡进行回填、封闭，或者采取其他消除地质灾害隐患的措施。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开采矿产资源的，应当提交矿山地质环境影响评价报告，对地质灾害的危险性作出全面、详细的评估，并制定相应的矿山地质环境保护和治理方案。</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矿山地质环境影响评价报告经县级以上人民政府地质矿产行政主管部门审核后，纳入建设项目环境影响评价报告。</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采矿权人应当对矿山地质环境进行监测，并将监测情况定期报送县级人民政府地质矿产行政主管部门；矿区范围跨行政区域的，报共同的上级人民政府地质矿产行政主管部门。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采矿权人应当按照矿产资源开发利用方案、矿山地质环境保护和治理方案的要求进行采掘；因采矿造成矿山地质环境破坏的，应当及时进行治理。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采矿权人的矿产资源开发利用年度报告，应当如实反映矿山地质环境保护和治理情况。</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采矿权人停办或者关闭矿山前，应当按下列要求履行矿山地质环境治理义务：</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（一）整治被破坏的土地，使之达到种植、养殖或者其他可供利用的状态；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（二）整修露天采矿的边坡、断面并种草植树，消除安全隐患，使之与周围环境相协调；</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（三）采取封闭、充填或者人工放顶等措施，使地下井巷采空区达到安全状态；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（四）按规定处理矿山开采废弃物；</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（五）符合国家和省规定的地质环境保护的其他条件。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矿山地质环境治理实行保证金制度。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矿山地质环境治理保证金的收取标准，按照不低于治理费用的原则，根据矿区面积、开采方式以及对矿山自然生态环境影响程度等因素确定。按照治理方案，矿山地质环境分阶段治理的，保证金可以分期交纳。</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矿山地质环境治理保证金实行财政专户储存，不得挪作他用。采矿权人履行治理义务，经县级以上人民政府地质矿产行政主管部门验收合格，保证金及其利息应当及时退还采矿权人。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具体实施办法由省人民政府制定。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对历史遗留的已被破坏的矿山地质环境，当地人民政府应当采取措施，制定优惠政策，按照谁投资谁受益的原则，鼓励单位和个人投资治理。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地质遗迹保护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下列地质遗迹应当予以保护：</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（一）具有科学研究价值的地质构造、地质剖面和古生物化石分布区；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（二）具有科学研究和观赏价值的地质地貌景观和岩石、矿物、宝玉石的典型产地；</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（三）具有独特医疗、保健作用或者科学研究价值的温泉、矿泉；</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（四）具有科学研究价值的典型地质灾害遗迹；</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（五）需要保护的其他地质遗迹。</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对具有典型意义的地质遗迹，可以按照国家和省有关规定建立地质遗迹自然保护区或者地质公园。</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对不具备建立地质遗迹自然保护区和地质公园条件，但具有观赏和保护价值的地表形态，设区的市、县（市、区）人民政府可以建立地质地貌景观保护区。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hint="eastAsia" w:ascii="仿宋_GB2312" w:hAnsi="宋体" w:eastAsia="仿宋_GB2312" w:cs="仿宋_GB2312"/>
          <w:sz w:val="32"/>
          <w:szCs w:val="32"/>
        </w:rPr>
        <w:t>建设项目应当避开地质遗迹自然保护区和地质公园；确实无法避开的，应当报经该地质遗迹自然保护区或者地质公园的原批准机关同意，并采取相应的保护措施。原批准机关应当按照国家关于保护地质遗迹的规定和该地质遗迹自然保护区或者地质公园的保护级别以及行政许可的程序规定，及时作出同意或者不同意的决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地质遗迹自然保护区和地质公园内的原有设施对地质遗迹构成危害的，由县级人民政府地质矿产行政主管部门责令设施所有人限期治理。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在地质遗迹自然保护区和地质公园内从事科学研究、教学实习以及标本、化石采集等活动的，应当遵守国家有关规定。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禁止在地质遗迹自然保护区和地质公园内从事下列活动：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（一）擅自采集标本、化石等破坏地质遗迹的；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（二）采矿、取土、爆破；</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（三）修建与地质遗迹保护无关的建（构）筑物；</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（四）法律、法规禁止的其他行为。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任何单位和个人不得在地质地貌景观保护区、风景名胜区、城市规划区范围内和铁路、高速公路、国道、省道两侧以及海岸线的直观可视范围内露天开采矿产资源。</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工程建设破坏地质地貌景观的，建设单位应当在工程竣工后六个月内予以治理。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地质灾害防治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县级以上人民政府地质矿产行政主管部门应当对本行政区域内的地质灾害状况进行调查，并根据调查情况编制地质灾害防治规划和年度防灾预案，报同级人民政府批准后实施。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地质灾害防治规划应当纳入土地利用总体规划、城市总体规划、矿产资源总体规划。</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县级以上人民政府应当根据地质灾害防治规划安排相应的经费，用于地质灾害的监测、调查和防治。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县级以上人民政府应当根据本行政区域内地质灾害发育和分布规律划定地质灾害易发区和地质灾害危险区，并在地质灾害危险区边界设置警示标志。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本条例所称地质灾害易发区，是指经地质灾害调查确定的，容易发生地质灾害的区域。</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本条例所称地质灾害危险区，是指已出现地质灾害前兆，可能造成人员伤亡或者重大财产损失的地区。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在地质灾害易发区从事各类生产和建设活动的，应当采取防止诱发地质灾害的措施。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在地质灾害危险区不得从事采矿、取土、削坡、爆破、过量开采地下水以及工程建设等可能诱发或者加重地质灾害的活动。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在地质灾害易发区进行工程建设的，应当在可行性研究阶段进行地质灾害危险性评估；建设项目未经评估或者经评估不宜建设的，不得办理建设用地审批手续。</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从事地质灾害危险性评估活动的，应当具备相应的资质。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从事地质灾害危险性评估活动的，应当对建设项目诱发或者加重地质灾害的可能性，以及建设项目遭受地质灾害的危险性作出评估，提出防治建议，并对评估结果负责。</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地质灾害危险性评估结果，应当按照评估级别报设区的市以上的人民政府地质矿产行政主管部门备案。</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灾害发生后，有关单位和个人应当及时向当地人民政府及其地质矿产行政主管部门报告。当地人民政府及其地质矿产行政主管部门接到报告后，应当立即组织有关部门和人员进行抢险救灾，并做好地质灾害的监测和治理工作。</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因工程建设等人为因素造成的地质灾害，责任人应当采取措施予以治理。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难以确认责任人和主要由自然因素造成的地质灾害，由县级以上人民政府负责组织治理。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对地质灾害发生的原因或者治理责任有争议的，可以向县级以上人民政府提出申请，由人民政府组织有关专家进行确认。</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地质灾害治理方案应当符合国家地质灾害治理设计规范。</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承担专项地质灾害治理工程勘查、设计、施工和监理的单位，应当按照国家规定取得相应的资质证书。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地质灾害防治工程由建设单位按照国家规定的验收标准组织竣工验收。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违反本条例规定，侵占、损毁或者擅自移动地质环境监测设施或者标志的，由县级以上人民政府地质矿产行政主管部门责令限期改正；逾期不改正的，可处以二千元以上二万元以下罚款。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探矿权人对遗留的钻孔、探井、探槽、巷道或者形成的危岩、危坡未进行回填、封闭，或者未采取其他消除地质灾害隐患的措施，造成矿山地质环境破坏的，由县级以上人民政府地质矿产行政主管部门责令限期治理；逾期不治理或者治理达不到要求的，由县级以上人民政府地质矿产行政主管部门组织治理，费用由探矿权人承担，并可处以五千元以上五万元以下罚款；情节严重的，由原发证部门吊销勘查许可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采矿权人因采矿造成矿山地质环境破坏的，由县级以上人民政府地质矿产行政主管部门责令限期治理；逾期不治理或者治理达不到要求的，其治理保证金全部或者部分转为治理费用，由县级以上人民政府地质矿产行政主管部门组织治理，并可处以一万元以上十万元以下罚款；情节严重的，由原发证部门吊销采矿许可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在地质遗迹自然保护区或者地质公园内有下列行为之一的，由县级以上人民政府地质矿产行政主管部门责令停止违法行为，限期治理；有违法所得的，没收违法所得。违反第（一）项规定情节严重的，可处以一千元以上一万元以下罚款；违反第（二）项或者第（三）项规定情节严重的，可处以五千元以上五万元以下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（一）擅自采集标本、化石等破坏地质遗迹的；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（二）从事采矿、取土、爆破活动的；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（三）修建与地质遗迹保护无关的建（构）筑物的。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在地质灾害危险区从事采矿、取土、削坡、爆破、过量开采地下水或者工程建设等可能诱发或者加重地质灾害的活动的，由县级以上人民政府地质矿产行政主管部门责令停止违法行为，有违法所得的，没收违法所得；情节严重的，可处以一万元以上十万元以下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因工程建设等活动造成地质地貌景观破坏或者地质灾害的，由县级以上人民政府地质矿产行政主管部门责令限期治理；逾期不治理的，由县级以上人民政府地质矿产行政主管部门组织治理，费用由责任人承担，并可处以一万元以上十万元以下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违反本条例规定，造成损失的，依法承担赔偿责任；构成犯罪的，依法追究刑事责任。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县级以上人民政府及其地质矿产行政主管部门或者其他有关部门的工作人员，在地质环境保护监督管理工作中，有下列情形之一的，依法给予行政处分；构成犯罪的，依法追究刑事责任：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（一）对不符合本条例规定条件的审批事项予以批准的；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（二）不履行地质环境保护监督管理职责，发现破坏地质环境的违法行为不予查处的；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（三）接到举报后不及时调查处理的；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（四）侵占、挪用地质环境治理保证金或者应当退还采矿权人而不予及时退还的；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（五）其他玩忽职守、滥用职权、徇私舞弊的行为。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本条例自二○○三年九月一日起施行。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bookmarkEnd w:id="0"/>
    <w:sectPr>
      <w:footerReference r:id="rId3" w:type="default"/>
      <w:footerReference r:id="rId4" w:type="even"/>
      <w:pgSz w:w="11906" w:h="16838"/>
      <w:pgMar w:top="2098" w:right="1417" w:bottom="1928" w:left="1587" w:header="2098"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- 11 -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- 10 -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D2CBB"/>
    <w:rsid w:val="00244DC8"/>
    <w:rsid w:val="002F41BB"/>
    <w:rsid w:val="003E034F"/>
    <w:rsid w:val="0046283F"/>
    <w:rsid w:val="004A533E"/>
    <w:rsid w:val="005640BE"/>
    <w:rsid w:val="005F4EC7"/>
    <w:rsid w:val="007F6F27"/>
    <w:rsid w:val="009F7F5C"/>
    <w:rsid w:val="00B67F91"/>
    <w:rsid w:val="00C938A4"/>
    <w:rsid w:val="00CA349D"/>
    <w:rsid w:val="00D71114"/>
    <w:rsid w:val="00EC6DBB"/>
    <w:rsid w:val="0E8C3D1F"/>
    <w:rsid w:val="0EBD2CBB"/>
    <w:rsid w:val="3B176B73"/>
    <w:rsid w:val="478E621D"/>
    <w:rsid w:val="61496635"/>
    <w:rsid w:val="7DAF6C0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Footer Char"/>
    <w:basedOn w:val="5"/>
    <w:link w:val="2"/>
    <w:semiHidden/>
    <w:qFormat/>
    <w:locked/>
    <w:uiPriority w:val="99"/>
    <w:rPr>
      <w:sz w:val="18"/>
      <w:szCs w:val="18"/>
    </w:rPr>
  </w:style>
  <w:style w:type="character" w:customStyle="1" w:styleId="10">
    <w:name w:val="Header Char"/>
    <w:basedOn w:val="5"/>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11</Pages>
  <Words>732</Words>
  <Characters>4178</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2016-12-19T13:45:00Z</dcterms:created>
  <dc:creator>hu</dc:creator>
  <cp:lastModifiedBy>Administrator</cp:lastModifiedBy>
  <dcterms:modified xsi:type="dcterms:W3CDTF">2017-01-13T05:55:18Z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