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rPr>
          <w:rFonts w:cs="Times New Roman"/>
          <w:b w:val="0"/>
          <w:bCs w:val="0"/>
          <w:kern w:val="0"/>
        </w:rPr>
      </w:pPr>
      <w:bookmarkStart w:id="0" w:name="_Toc410980090"/>
    </w:p>
    <w:p>
      <w:pPr>
        <w:pStyle w:val="4"/>
        <w:spacing w:before="0" w:after="0"/>
        <w:rPr>
          <w:rFonts w:cs="Times New Roman"/>
          <w:b w:val="0"/>
          <w:bCs w:val="0"/>
          <w:kern w:val="0"/>
        </w:rPr>
      </w:pPr>
    </w:p>
    <w:p>
      <w:pPr>
        <w:pStyle w:val="4"/>
        <w:spacing w:before="0" w:after="0"/>
        <w:rPr>
          <w:rFonts w:cs="Times New Roman"/>
          <w:b w:val="0"/>
          <w:bCs w:val="0"/>
          <w:kern w:val="0"/>
          <w:sz w:val="44"/>
          <w:szCs w:val="44"/>
        </w:rPr>
      </w:pPr>
      <w:r>
        <w:rPr>
          <w:rFonts w:hint="eastAsia" w:cs="宋体"/>
          <w:b w:val="0"/>
          <w:bCs w:val="0"/>
          <w:kern w:val="0"/>
          <w:sz w:val="44"/>
          <w:szCs w:val="44"/>
        </w:rPr>
        <w:t>山东省实施《中华人民共和国</w:t>
      </w:r>
    </w:p>
    <w:p>
      <w:pPr>
        <w:pStyle w:val="4"/>
        <w:spacing w:before="0" w:after="0"/>
        <w:rPr>
          <w:rFonts w:cs="Times New Roman"/>
          <w:b w:val="0"/>
          <w:bCs w:val="0"/>
          <w:kern w:val="0"/>
          <w:sz w:val="44"/>
          <w:szCs w:val="44"/>
        </w:rPr>
      </w:pPr>
      <w:r>
        <w:rPr>
          <w:rFonts w:hint="eastAsia" w:cs="宋体"/>
          <w:b w:val="0"/>
          <w:bCs w:val="0"/>
          <w:kern w:val="0"/>
          <w:sz w:val="44"/>
          <w:szCs w:val="44"/>
        </w:rPr>
        <w:t>环境影响评价法》办法</w:t>
      </w:r>
      <w:bookmarkEnd w:id="0"/>
      <w:bookmarkStart w:id="1" w:name="_GoBack"/>
      <w:bookmarkEnd w:id="1"/>
    </w:p>
    <w:p>
      <w:pPr>
        <w:rPr>
          <w:sz w:val="32"/>
          <w:szCs w:val="32"/>
        </w:rPr>
      </w:pPr>
    </w:p>
    <w:p>
      <w:pPr>
        <w:ind w:left="640" w:right="640"/>
        <w:rPr>
          <w:rFonts w:ascii="楷体_GB2312" w:hAnsi="宋体" w:eastAsia="楷体_GB2312"/>
          <w:kern w:val="0"/>
          <w:sz w:val="32"/>
          <w:szCs w:val="32"/>
        </w:rPr>
      </w:pPr>
      <w:r>
        <w:rPr>
          <w:rFonts w:hint="eastAsia" w:ascii="楷体_GB2312" w:hAnsi="宋体" w:eastAsia="楷体_GB2312" w:cs="楷体_GB2312"/>
          <w:kern w:val="0"/>
          <w:sz w:val="32"/>
          <w:szCs w:val="32"/>
        </w:rPr>
        <w:t>（</w:t>
      </w:r>
      <w:r>
        <w:rPr>
          <w:rFonts w:ascii="楷体_GB2312" w:hAnsi="宋体" w:eastAsia="楷体_GB2312" w:cs="楷体_GB2312"/>
          <w:kern w:val="0"/>
          <w:sz w:val="32"/>
          <w:szCs w:val="32"/>
        </w:rPr>
        <w:t>2005</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11</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25</w:t>
      </w:r>
      <w:r>
        <w:rPr>
          <w:rFonts w:hint="eastAsia" w:ascii="楷体_GB2312" w:hAnsi="宋体" w:eastAsia="楷体_GB2312" w:cs="楷体_GB2312"/>
          <w:kern w:val="0"/>
          <w:sz w:val="32"/>
          <w:szCs w:val="32"/>
        </w:rPr>
        <w:t>日山东省第十届人民代表大会常务委员会第十七次会议通过</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根据</w:t>
      </w:r>
      <w:r>
        <w:rPr>
          <w:rFonts w:ascii="楷体_GB2312" w:hAnsi="宋体" w:eastAsia="楷体_GB2312" w:cs="楷体_GB2312"/>
          <w:kern w:val="0"/>
          <w:sz w:val="32"/>
          <w:szCs w:val="32"/>
        </w:rPr>
        <w:t>2015</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7</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24</w:t>
      </w:r>
      <w:r>
        <w:rPr>
          <w:rFonts w:hint="eastAsia" w:ascii="楷体_GB2312" w:hAnsi="宋体" w:eastAsia="楷体_GB2312" w:cs="楷体_GB2312"/>
          <w:kern w:val="0"/>
          <w:sz w:val="32"/>
          <w:szCs w:val="32"/>
        </w:rPr>
        <w:t>日山东省第十二届人民代表大会常务委员会第十五次会议《关于修改〈山东省农村可再生能源条例〉等十二件地方性法规的决定》修正）</w:t>
      </w:r>
    </w:p>
    <w:p>
      <w:pPr>
        <w:rPr>
          <w:rFonts w:ascii="仿宋_GB2312" w:hAnsi="宋体" w:eastAsia="仿宋_GB2312"/>
          <w:kern w:val="0"/>
          <w:sz w:val="32"/>
          <w:szCs w:val="32"/>
        </w:rPr>
      </w:pPr>
    </w:p>
    <w:p>
      <w:pPr>
        <w:ind w:firstLine="640" w:firstLineChars="200"/>
        <w:rPr>
          <w:rFonts w:ascii="仿宋_GB2312" w:hAnsi="宋体" w:eastAsia="仿宋_GB2312"/>
          <w:kern w:val="0"/>
          <w:sz w:val="32"/>
          <w:szCs w:val="32"/>
        </w:rPr>
      </w:pPr>
      <w:r>
        <w:rPr>
          <w:rFonts w:hint="eastAsia" w:ascii="黑体" w:hAnsi="黑体" w:eastAsia="黑体" w:cs="黑体"/>
          <w:kern w:val="0"/>
          <w:sz w:val="32"/>
          <w:szCs w:val="32"/>
        </w:rPr>
        <w:t>第一条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根据《中华人民共和国环境影响评价法》及其他法律、法规，结合本省实际，制定本办法。</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在本省行政区域内从事规划和建设项目环境影响评价活动以及相关管理活动的，应当遵守本办法。</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县级以上人民政府应当采取措施，鼓励、支持有关单位、专家和公众参与环境影响评价活动。</w:t>
      </w:r>
    </w:p>
    <w:p>
      <w:pPr>
        <w:rPr>
          <w:rFonts w:ascii="仿宋_GB2312" w:hAnsi="宋体" w:eastAsia="仿宋_GB2312"/>
          <w:kern w:val="0"/>
          <w:sz w:val="32"/>
          <w:szCs w:val="32"/>
        </w:rPr>
      </w:pPr>
      <w:r>
        <w:rPr>
          <w:rFonts w:hint="eastAsia" w:ascii="仿宋_GB2312" w:hAnsi="宋体" w:eastAsia="仿宋_GB2312" w:cs="仿宋_GB2312"/>
          <w:kern w:val="0"/>
          <w:sz w:val="32"/>
          <w:szCs w:val="32"/>
        </w:rPr>
        <w:t>　　省环境保护行政主管部门应当会同有关部门，组织建立和完善本省环境影响评价专家库、环境影响基础数据库和环境影响评价信息共享制度。</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第四条</w:t>
      </w:r>
      <w:r>
        <w:rPr>
          <w:rFonts w:ascii="黑体" w:hAnsi="黑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设区的市以上人民政府及其有关部门组织编制的土地利用有关规划，区域、流域、海域的建设、开发利用规划，应当在编制过程中组织环境影响评价，编写环境影响篇章或者说明。</w:t>
      </w:r>
    </w:p>
    <w:p>
      <w:pPr>
        <w:rPr>
          <w:rFonts w:ascii="仿宋_GB2312" w:hAnsi="宋体" w:eastAsia="仿宋_GB2312"/>
          <w:kern w:val="0"/>
          <w:sz w:val="32"/>
          <w:szCs w:val="32"/>
        </w:rPr>
      </w:pPr>
      <w:r>
        <w:rPr>
          <w:rFonts w:hint="eastAsia" w:ascii="仿宋_GB2312" w:hAnsi="宋体" w:eastAsia="仿宋_GB2312" w:cs="仿宋_GB2312"/>
          <w:kern w:val="0"/>
          <w:sz w:val="32"/>
          <w:szCs w:val="32"/>
        </w:rPr>
        <w:t>　　编制工业、农业、畜牧业、林业、能源、交通、城市建设、旅游、自然资源开发等专项规划中的指导性规划，应当在编制过程中组织环境影响评价，编写环境影响篇章或者说明。</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第五条</w:t>
      </w:r>
      <w:r>
        <w:rPr>
          <w:rFonts w:ascii="黑体" w:hAnsi="黑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设区的市以上人民政府及其有关部门组织编制下列专项规划的，应当在编制过程中组织环境影响评价，并向审批该专项规划的机关提交环境影响报告书：</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一</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工业各行业规划；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二</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城市专项规划；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三</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种植业发展规划、渔业发展规划、乡镇企业发展规划、畜牧业发展规划；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四</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油</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气</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田总体开发方案、流域水电规划；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五</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流域、区域涉及江河、湖泊开发利用的水资源开发利用综合规划和供水、水力发电等专业规划，跨流域调水规划，地下水资源开发利用规划；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六</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内河航运规划，省道网及设区的市交通规划，主要港口和地区性重要港口总体规划，城际铁路网建设规划，集装箱中心站布点规划，地方铁路建设规划；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七</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旅游区发展总体规划；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八</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矿产资源开发利用规划、土地开发整理规划、海洋自然资源开发利用规划、气候资源开发利用规划。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人民政府组织编制的属于本办法第四条、第五条规定范围内的规划，应当在编制过程中组织环境影响评价，相应编写环境影响篇章、说明或者提交环境影响报告书；所在的设区的市已有相应规划并且业已完成了环境影响评价的除外。</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县级以上人民政府在审批本办法第五条所列专项规划草案，作出决策前，应当指定环境保护行政主管部门或者其他部门召集有关部门代表和专家组成审查小组，对环境影响报告书进行审查。</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审查小组提出的书面审查意见，应当包括下列内容：</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一</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对环境可能造成影响的分析、预测和评估的合理性与准确性；</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二</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预防或者减轻不良环境影响的对策、措施的可行性与有效性；</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三</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对环境影响评价结论的总体性意见和改进建议。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审查环境影响报告书所需费用，应当从规划编制费用中列支。</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在规划实施过程中，规划实施单位应当同步落实配套的环境保护措施。</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对环境有重大影响的规划实施后，编制机关应当及时组织环境影响的跟踪评价。任何单位和个人发现规划实施过程中有不良环境影响的，有权向规划审批机关或者当地人民政府、环境保护行政主管部门报告。规划审批机关应当督促规划实施单位采取改进措施。</w:t>
      </w:r>
    </w:p>
    <w:p>
      <w:pPr>
        <w:rPr>
          <w:rFonts w:ascii="仿宋_GB2312" w:hAnsi="宋体" w:eastAsia="仿宋_GB2312"/>
          <w:kern w:val="0"/>
          <w:sz w:val="32"/>
          <w:szCs w:val="32"/>
        </w:rPr>
      </w:pPr>
      <w:r>
        <w:rPr>
          <w:rFonts w:hint="eastAsia" w:ascii="仿宋_GB2312" w:hAnsi="宋体" w:eastAsia="仿宋_GB2312" w:cs="仿宋_GB2312"/>
          <w:kern w:val="0"/>
          <w:sz w:val="32"/>
          <w:szCs w:val="32"/>
        </w:rPr>
        <w:t>　　规划实施后有明显不良环境影响，规划实施单位未采取改进措施的，环境保护行政主管部门或者其他有关主管部门应当向规划编制机关的同级人民政府报告，由人民政府责成规划编制机关组织环境影响跟踪评价，提出改进措施。</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第九条</w:t>
      </w:r>
      <w:r>
        <w:rPr>
          <w:rFonts w:ascii="黑体" w:hAnsi="黑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经济技术开发区、高新技术产业开发区等开发区域的管理机构，应当在编制开发区总体规划过程中组织环境影响评价，编写区域环境影响报告书，并报批准设立该开发区的人民政府的环境保护行政主管部门审批。</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区域环境影响报告书中应当包括污水集中处理、固体废物集中处置等环境保护基础设施的内容。环境保护基础设施应当与开发区同步规划、同步建设。</w:t>
      </w:r>
    </w:p>
    <w:p>
      <w:pPr>
        <w:rPr>
          <w:rFonts w:ascii="仿宋_GB2312" w:hAnsi="宋体" w:eastAsia="仿宋_GB2312"/>
          <w:kern w:val="0"/>
          <w:sz w:val="32"/>
          <w:szCs w:val="32"/>
        </w:rPr>
      </w:pPr>
      <w:r>
        <w:rPr>
          <w:rFonts w:hint="eastAsia" w:ascii="仿宋_GB2312" w:hAnsi="宋体" w:eastAsia="仿宋_GB2312" w:cs="仿宋_GB2312"/>
          <w:kern w:val="0"/>
          <w:sz w:val="32"/>
          <w:szCs w:val="32"/>
        </w:rPr>
        <w:t>　　本办法实施前开发区已开工建设或者已经建成，但未组织进行环境影响评价的，应当在本办法施行之日起两年内补办环境影响评价报批手续。</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第十条</w:t>
      </w:r>
      <w:r>
        <w:rPr>
          <w:rFonts w:ascii="黑体" w:hAnsi="黑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对规划和前条规定的开发区总体规划进行重大调整或者修改的，应当按照《中华人民共和国环境影响评价法》和本办法的规定对调整或者修改内容组织进行环境影响评价。</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建设对环境有影响的项目，建设单位应当根据国家和省关于建设项目环境保护分类管理的规定，按照建设项目的性质、规模和可能对环境造成影响的程度，组织编制环境影响报告书、环境影响报告表或者填写环境影响登记表</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以下统称环境影响评价文件</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除国家规定需要保密的情形外，对环境可能造成重大影响、应当编制环境影响报告书的建设项目，建设单位应当在报批建设项目环境影响报告书前，举行论证会、听证会或者采取问卷调查、公告等其他方式，公开征求有关单位、专家和公众的意见。</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应当编制环境影响报告表的建设项目，可能对公众生活、工作和学习造成较大影响的，建设单位应当在报批建设项目环境影响报告表前，以适当方式公开征求专家和公众的意见。</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建设单位报批的环境影响报告书或者前款规定的环境影响报告表，应当如实附具征求意见的情况和对意见采纳或者不采纳的说明。未附具的，环境保护行政主管部门不予受理。</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建设项目环境影响评价文件实行分级审批制度。</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下列建设项目的环境影响评价文件，除依法应当由国家审批的以外，由省环境保护行政主管部门负责审批：</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一</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由省有关部门审批、核准或者备案，或者由省有关部门核报省人民政府审批或者核准，总投资额在五千万元以上的建设项目；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二</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跨设区的市行政区域的建设项目，或者可能产生跨区域环境影响、邻近设区的市环境保护行政主管部门提出异议的建设项目；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三</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超过豁免水平的伴有辐射的建设项目；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四</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设区的市医疗废物、危险废物集中处置建设项目；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五</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法律、法规规定或者国家确定由省环境保护行政主管部门负责审批的其他建设项目。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设区的市和县级环境保护行政主管部门审批建设项目环境影响评价文件的范围，由设区的市人民政府确定。</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上级环境保护行政主管部门可以将本部门负责审批的建设项目的环境影响评价文件，委托该建设项目所在地的下级环境保护行政主管部门审批。委托机关应当对受托机关实施的审批行为负责监督，并对该行为的后果承担法律责任。</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化学原料、制浆造纸、石油化工、酒精生产、染料、农药、印染、造船拆船、电镀、淀粉制造及深加工、垃圾焚烧等污染较重或者涉及环境敏感区的建设项目，其环境影响评价文件应当由设区的市以上环境保护行政主管部门审批。</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建设项目符合下列规定要求的，环境保护行政主管部门方可批准其环境影响评价文件：</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一</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符合国民经济和社会发展规划、生态建设规划、城市总体规划和其他有关规划；</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二</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符合产业政策和宏观调控政策；</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三</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符合污染物排放总量控制和区域环境功能区划要求；</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四</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符合环境保护法律、法规、规章的规定。</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建设项目进行扩建、改建的，必须对原有污染源一并提出治理措施。新、旧污染源不能同时达到标准要求的，环境保护行政主管部门不得批准其环境影响评价文件。</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环境保护行政主管部门对涉及国家利益和公共利益的建设项目，在审查或者重新审核该建设项目的环境影响评价文件时，认为有必要征求有关部门、组织、专家和建设项目周围单位、个人意见的，应当举行听证会、论证会或者采取其他方式征求意见。征求到的意见，应当作为环境保护行政主管部门审批该项目环境影响评价文件的重要依据。</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实行审批制、核准制或者备案制的建设项目，建设单位应当分别在报送可行性研究报告、提交项目申请报告或者登记备案前完成环境影响评价文件报批手续。未完成环境影响评价文件报批手续的建设项目，有关部门不得为其办理批准、核准或者登记备案手续。</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上级环境保护行政主管部门对下级环境保护行政主管部门超越职权或者违反法定程序做出的环境影响评价文件审批决定，应当予以撤销或者责令限期纠正。</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任何单位和个人不得干预环境保护行政主管部门依法审批建设项目环境影响评价文件。</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第十九条</w:t>
      </w:r>
      <w:r>
        <w:rPr>
          <w:rFonts w:ascii="黑体" w:hAnsi="黑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除国家规定需要保密的情形外，县级以上环境保护行政主管部门对作出的建设项目环境影响评价文件的审批决定和对环境影响评价技术服务机构的业务考核情况以及其他有关信息，应当定期在政府网站、办公场所予以公布或者采取其他方便公众查阅的方式公布。</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在建设项目的设计、建设和试生产过程中，建设单位应当落实环境影响评价文件和环境保护行政主管部门的审批意见。</w:t>
      </w:r>
    </w:p>
    <w:p>
      <w:pPr>
        <w:rPr>
          <w:rFonts w:ascii="仿宋_GB2312" w:hAnsi="宋体" w:eastAsia="仿宋_GB2312"/>
          <w:kern w:val="0"/>
          <w:sz w:val="32"/>
          <w:szCs w:val="32"/>
        </w:rPr>
      </w:pPr>
      <w:r>
        <w:rPr>
          <w:rFonts w:hint="eastAsia" w:ascii="仿宋_GB2312" w:hAnsi="宋体" w:eastAsia="仿宋_GB2312" w:cs="仿宋_GB2312"/>
          <w:kern w:val="0"/>
          <w:sz w:val="32"/>
          <w:szCs w:val="32"/>
        </w:rPr>
        <w:t>　　推行环境监理制度。对可能造成重大环境影响的建设项目，由建设单位委托具有相应资质的机构对施工单位在施工过程中落实环境保护措施的情况进行技术监督。</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有下列情形之一的，建设单位应当按照环境保护行政主管部门的规定组织环境影响后评价：</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一</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在建设项目建设、运行过程中产生不符合经批准的环境影响评价文件的情形的；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二</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环境影响评价文件审批意见中规定应当进行环境影响后评价的。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建设单位开展环境影响后评价过程中，应当采取措施消除不良环境影响，并将相关情况向审批该项目环境影响评价文件的环境保护行政主管部门和有关部门备案。</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规划的环境影响篇章、说明或者环境影响报告书，开发区区域环境影响报告书和建设项目环境影响评价文件，应当按照相应的环境影响评价技术导则和技术规范的要求编制。</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已完成环境影响评价的规划、开发区总体规划所包含的具体建设项目，已完成环境影响评价的整体建设项目中包含的单个建设项目，其环境影响评价的内容可以简化。但是，建设项目的性质、污染因子等在环境影响评价中未做评估的，其环境影响评价的内容不得简化。</w:t>
      </w:r>
    </w:p>
    <w:p>
      <w:pPr>
        <w:rPr>
          <w:rFonts w:ascii="仿宋_GB2312" w:hAnsi="宋体" w:eastAsia="仿宋_GB2312"/>
          <w:kern w:val="0"/>
          <w:sz w:val="32"/>
          <w:szCs w:val="32"/>
        </w:rPr>
      </w:pPr>
      <w:r>
        <w:rPr>
          <w:rFonts w:hint="eastAsia" w:ascii="仿宋_GB2312" w:hAnsi="宋体" w:eastAsia="仿宋_GB2312" w:cs="仿宋_GB2312"/>
          <w:kern w:val="0"/>
          <w:sz w:val="32"/>
          <w:szCs w:val="32"/>
        </w:rPr>
        <w:t>　　涉及水土保持的建设项目，其环境影响评价文件中还必须有经水行政主管部门审查同意的水土保持方案。</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环境影响评价技术服务机构应当客观、公正地提出评价意见，并对评价结论负责。</w:t>
      </w:r>
    </w:p>
    <w:p>
      <w:pPr>
        <w:rPr>
          <w:rFonts w:ascii="仿宋_GB2312" w:hAnsi="宋体" w:eastAsia="仿宋_GB2312"/>
          <w:kern w:val="0"/>
          <w:sz w:val="32"/>
          <w:szCs w:val="32"/>
        </w:rPr>
      </w:pPr>
      <w:r>
        <w:rPr>
          <w:rFonts w:hint="eastAsia" w:ascii="仿宋_GB2312" w:hAnsi="宋体" w:eastAsia="仿宋_GB2312" w:cs="仿宋_GB2312"/>
          <w:kern w:val="0"/>
          <w:sz w:val="32"/>
          <w:szCs w:val="32"/>
        </w:rPr>
        <w:t>　　环境影响评价技术服务机构不得与负责审批建设项目环境影响评价文件的环境保护行政主管部门或者其他有关审批部门存在任何利益关系。</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县级以上环境保护行政主管部门应当加强对环境影响评价技术服务机构业务质量的监督。</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建设单位未依法报批环境影响评价文件或者报批后未获批准开工建设的，由有权审批该项目环境影响评价文件的环境保护行政主管部门按照《中华人民共和国环境影响评价法》第三十一条的规定处罚。</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建设项目未取得环境保护行政主管部门批准的环境影响评价文件，建设单位开工建设并已建成投产的，由有权审批该项目环境影响评价文件的环境保护行政主管部门责令其停产停业，并处以五万元以上二十万元以下的罚款，对建设单位直接负责的主管人员和其他直接责任人员依法给予行政处分。其中，属于国家允许建设的项目，责令限期补办环境影响评价手续；属于国家禁止建设的项目，由县级以上人民政府责令限期拆除。</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违反本办法规定，建设单位有下列情形之一的，由有权审批该项目环境影响评价文件的环境保护行政主管部门按照下列规定予以处罚：</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一）在组织编制环境影响评价文件中提供虚假数据和资料，或者向环境保护行政主管部门提供虚假的意见和意见采纳情况说明，尚未取得环境保护行政主管部门审批决定的，责令重新编制报批环境影响评价文件或者重新提供公众意见和意见采纳情况说明，处以一万元以下的罚款；已取得环境影响评价文件审批决定的，应当撤销审批决定，处以一万元以上三万元以下的罚款；</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（二）未落实环境影响评价文件和环境保护行政主管部门的审批意见，对环境造成不良影响的，责令限期改正，处以三万元以上十万元以下的罚款；</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（三）未开展环境影响后评价的，责令限期改正；逾期不改正的，处以一万元以上三万元以下的罚款。</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环境影响评价技术服务机构在编制环境影响评价文件过程中不负责任或者弄虚作假，致使环境影响评价结论严重失实的，由省环境保护行政主管部门将其违法行为向社会公布，并报送国务院环境保护行政主管部门依法处理。</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参加环境影响评价论证、审查的专家因不负责任造成严重后果的，三年之内不得从事环境影响评价工作；因弄虚作假造成严重后果的，不得再从事环境影响评价工作。构成犯罪的，依法追究刑事责任。</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及其环境保护行政主管部门、其他行政机关、管理机构和有关工作人员有下列情形之一的，对直接负责的主管人员和其他直接责任人员，由上级机关或者监察机关依法给予行政处分；构成犯罪的，依法追究刑事责任：</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（一）违法干预环境保护行政主管部门审批环境影响评价文件，或者违法干预、限制环境保护行政主管部门依法处理违反环境影响评价管理规定行为的；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（二）未对规划和开发区区域组织环境影响评价或者在环境影响评价过程中弄虚作假，造成环境影响评价严重失实，或者规划实施后对环境有重大影响，未组织环境影响跟踪评价的；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（三）违法批准建设项目环境影响评价文件，或者在审批建设项目环境影响评价文件过程中有其他徇私舞弊、滥用职权、玩忽职守行为的；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（四）对建设项目违反环境影响评价规定的行为监督不力，造成严重影响的；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（五）其他失职、渎职行为并造成严重后果的。</w:t>
      </w:r>
    </w:p>
    <w:p>
      <w:pPr>
        <w:rPr>
          <w:rFonts w:ascii="仿宋_GB2312" w:hAnsi="宋体" w:eastAsia="仿宋_GB2312"/>
          <w:kern w:val="0"/>
          <w:sz w:val="32"/>
          <w:szCs w:val="32"/>
        </w:rPr>
      </w:pPr>
      <w:r>
        <w:rPr>
          <w:rFonts w:hint="eastAsia" w:ascii="仿宋_GB2312" w:hAnsi="宋体" w:eastAsia="仿宋_GB2312" w:cs="仿宋_GB2312"/>
          <w:kern w:val="0"/>
          <w:sz w:val="32"/>
          <w:szCs w:val="32"/>
        </w:rPr>
        <w:t>　　</w:t>
      </w:r>
      <w:r>
        <w:rPr>
          <w:rFonts w:hint="eastAsia" w:ascii="黑体" w:hAnsi="黑体" w:eastAsia="黑体" w:cs="黑体"/>
          <w:kern w:val="0"/>
          <w:sz w:val="32"/>
          <w:szCs w:val="32"/>
        </w:rPr>
        <w:t>第二十八条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本办法自</w:t>
      </w:r>
      <w:r>
        <w:rPr>
          <w:rFonts w:ascii="仿宋_GB2312" w:hAnsi="宋体" w:eastAsia="仿宋_GB2312" w:cs="仿宋_GB2312"/>
          <w:kern w:val="0"/>
          <w:sz w:val="32"/>
          <w:szCs w:val="32"/>
        </w:rPr>
        <w:t>2006</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3</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1</w:t>
      </w:r>
      <w:r>
        <w:rPr>
          <w:rFonts w:hint="eastAsia" w:ascii="仿宋_GB2312" w:hAnsi="宋体" w:eastAsia="仿宋_GB2312" w:cs="仿宋_GB2312"/>
          <w:kern w:val="0"/>
          <w:sz w:val="32"/>
          <w:szCs w:val="32"/>
        </w:rPr>
        <w:t>日起施行。</w:t>
      </w:r>
    </w:p>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宋体"/>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D3"/>
    <w:rsid w:val="00017633"/>
    <w:rsid w:val="000329D8"/>
    <w:rsid w:val="000A5375"/>
    <w:rsid w:val="00175C72"/>
    <w:rsid w:val="003972D3"/>
    <w:rsid w:val="003D0E8A"/>
    <w:rsid w:val="006B776F"/>
    <w:rsid w:val="008A0EA0"/>
    <w:rsid w:val="009918D2"/>
    <w:rsid w:val="009F242C"/>
    <w:rsid w:val="00A7778F"/>
    <w:rsid w:val="00AF002A"/>
    <w:rsid w:val="00B44484"/>
    <w:rsid w:val="00C75BE1"/>
    <w:rsid w:val="00D96DB0"/>
    <w:rsid w:val="00E1448B"/>
    <w:rsid w:val="00E8121E"/>
    <w:rsid w:val="00EA7EDB"/>
    <w:rsid w:val="00FC3B25"/>
    <w:rsid w:val="27791DAF"/>
    <w:rsid w:val="39FE5D2D"/>
    <w:rsid w:val="3FBD4A19"/>
    <w:rsid w:val="4698316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rFonts w:ascii="Calibri" w:hAnsi="Calibri" w:cs="Calibri"/>
      <w:sz w:val="18"/>
      <w:szCs w:val="18"/>
    </w:rPr>
  </w:style>
  <w:style w:type="paragraph" w:styleId="3">
    <w:name w:val="header"/>
    <w:basedOn w:val="1"/>
    <w:link w:val="9"/>
    <w:uiPriority w:val="99"/>
    <w:pPr>
      <w:pBdr>
        <w:bottom w:val="single" w:color="auto" w:sz="6" w:space="1"/>
      </w:pBdr>
      <w:tabs>
        <w:tab w:val="center" w:pos="4153"/>
        <w:tab w:val="right" w:pos="8306"/>
      </w:tabs>
      <w:snapToGrid w:val="0"/>
      <w:jc w:val="center"/>
    </w:pPr>
    <w:rPr>
      <w:rFonts w:ascii="Calibri" w:hAnsi="Calibri" w:cs="Calibri"/>
      <w:sz w:val="18"/>
      <w:szCs w:val="18"/>
    </w:rPr>
  </w:style>
  <w:style w:type="paragraph" w:styleId="4">
    <w:name w:val="Title"/>
    <w:basedOn w:val="1"/>
    <w:next w:val="1"/>
    <w:link w:val="10"/>
    <w:qFormat/>
    <w:uiPriority w:val="99"/>
    <w:pPr>
      <w:spacing w:before="240" w:after="60"/>
      <w:jc w:val="center"/>
      <w:outlineLvl w:val="0"/>
    </w:pPr>
    <w:rPr>
      <w:rFonts w:ascii="Cambria" w:hAnsi="Cambria" w:cs="Cambria"/>
      <w:b/>
      <w:bCs/>
      <w:sz w:val="32"/>
      <w:szCs w:val="32"/>
    </w:rPr>
  </w:style>
  <w:style w:type="character" w:styleId="6">
    <w:name w:val="page number"/>
    <w:basedOn w:val="5"/>
    <w:qFormat/>
    <w:uiPriority w:val="99"/>
  </w:style>
  <w:style w:type="character" w:customStyle="1" w:styleId="8">
    <w:name w:val="Footer Char"/>
    <w:basedOn w:val="5"/>
    <w:link w:val="2"/>
    <w:semiHidden/>
    <w:locked/>
    <w:uiPriority w:val="99"/>
    <w:rPr>
      <w:sz w:val="18"/>
      <w:szCs w:val="18"/>
    </w:rPr>
  </w:style>
  <w:style w:type="character" w:customStyle="1" w:styleId="9">
    <w:name w:val="Header Char"/>
    <w:basedOn w:val="5"/>
    <w:link w:val="3"/>
    <w:semiHidden/>
    <w:locked/>
    <w:uiPriority w:val="99"/>
    <w:rPr>
      <w:sz w:val="18"/>
      <w:szCs w:val="18"/>
    </w:rPr>
  </w:style>
  <w:style w:type="character" w:customStyle="1" w:styleId="10">
    <w:name w:val="Title Char"/>
    <w:basedOn w:val="5"/>
    <w:link w:val="4"/>
    <w:locked/>
    <w:uiPriority w:val="99"/>
    <w:rPr>
      <w:rFonts w:ascii="Cambria" w:hAnsi="Cambria" w:eastAsia="宋体" w:cs="Cambria"/>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11</Pages>
  <Words>827</Words>
  <Characters>4715</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2016-12-18T02:54:00Z</dcterms:created>
  <dc:creator>luwei704</dc:creator>
  <cp:lastModifiedBy>wth</cp:lastModifiedBy>
  <cp:lastPrinted>2015-08-11T07:43:00Z</cp:lastPrinted>
  <dcterms:modified xsi:type="dcterms:W3CDTF">2017-01-09T08:35:50Z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