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060000" w:fill="FFFFFF"/>
        <w:adjustRightInd w:val="0"/>
        <w:snapToGrid w:val="0"/>
        <w:spacing w:line="560" w:lineRule="exact"/>
        <w:jc w:val="center"/>
        <w:outlineLvl w:val="0"/>
        <w:rPr>
          <w:rFonts w:ascii="宋体" w:hAnsi="宋体" w:eastAsia="宋体" w:cs="宋体"/>
          <w:kern w:val="44"/>
          <w:shd w:val="clear" w:color="090000" w:fill="FFFFFF"/>
        </w:rPr>
      </w:pPr>
    </w:p>
    <w:p>
      <w:pPr>
        <w:shd w:val="clear" w:color="060000" w:fill="FFFFFF"/>
        <w:adjustRightInd w:val="0"/>
        <w:snapToGrid w:val="0"/>
        <w:spacing w:line="560" w:lineRule="exact"/>
        <w:jc w:val="center"/>
        <w:outlineLvl w:val="0"/>
        <w:rPr>
          <w:rFonts w:ascii="宋体" w:hAnsi="宋体" w:eastAsia="宋体" w:cs="宋体"/>
          <w:kern w:val="44"/>
          <w:shd w:val="clear" w:color="090000" w:fill="FFFFFF"/>
        </w:rPr>
      </w:pPr>
    </w:p>
    <w:p>
      <w:pPr>
        <w:shd w:val="clear" w:color="060000" w:fill="FFFFFF"/>
        <w:adjustRightInd w:val="0"/>
        <w:snapToGrid w:val="0"/>
        <w:spacing w:line="560" w:lineRule="exact"/>
        <w:jc w:val="center"/>
        <w:outlineLvl w:val="0"/>
        <w:rPr>
          <w:rFonts w:ascii="宋体" w:hAnsi="宋体" w:eastAsia="宋体" w:cs="宋体"/>
          <w:kern w:val="44"/>
          <w:sz w:val="44"/>
          <w:szCs w:val="44"/>
          <w:shd w:val="clear" w:color="090000" w:fill="FFFFFF"/>
        </w:rPr>
      </w:pPr>
      <w:r>
        <w:rPr>
          <w:rFonts w:hint="eastAsia" w:ascii="宋体" w:hAnsi="宋体" w:eastAsia="宋体" w:cs="宋体"/>
          <w:kern w:val="44"/>
          <w:sz w:val="44"/>
          <w:szCs w:val="44"/>
          <w:shd w:val="clear" w:color="090000" w:fill="FFFFFF"/>
        </w:rPr>
        <w:t>德州市引黄干渠保护条例</w:t>
      </w:r>
    </w:p>
    <w:p>
      <w:pPr>
        <w:adjustRightInd w:val="0"/>
        <w:snapToGrid w:val="0"/>
        <w:spacing w:line="560" w:lineRule="exact"/>
        <w:ind w:firstLine="640" w:firstLineChars="200"/>
        <w:rPr>
          <w:rFonts w:ascii="宋体" w:hAnsi="宋体" w:eastAsia="宋体" w:cs="宋体"/>
          <w:shd w:val="clear" w:color="090000" w:fill="FFFFFF"/>
        </w:rPr>
      </w:pPr>
    </w:p>
    <w:p>
      <w:pPr>
        <w:adjustRightInd w:val="0"/>
        <w:snapToGrid w:val="0"/>
        <w:spacing w:line="560" w:lineRule="exact"/>
        <w:ind w:left="640" w:leftChars="200" w:right="483" w:rightChars="151"/>
        <w:rPr>
          <w:rFonts w:ascii="楷体_GB2312" w:hAnsi="黑体" w:eastAsia="楷体_GB2312" w:cs="宋体"/>
          <w:spacing w:val="11"/>
        </w:rPr>
      </w:pPr>
      <w:r>
        <w:rPr>
          <w:rFonts w:hint="eastAsia" w:ascii="楷体_GB2312" w:hAnsi="黑体" w:eastAsia="楷体_GB2312" w:cs="楷体_GB2312"/>
          <w:shd w:val="clear" w:color="090000" w:fill="FFFFFF"/>
        </w:rPr>
        <w:t>（2022年11月28日</w:t>
      </w:r>
      <w:r>
        <w:rPr>
          <w:rFonts w:hint="eastAsia" w:ascii="楷体_GB2312" w:hAnsi="黑体" w:eastAsia="楷体_GB2312" w:cs="楷体_GB2312"/>
        </w:rPr>
        <w:t>德州市第十九届人民代表大会常务委员会第十次会议通过  2023年1月10日山东省第十三届人民代表大会常务委员会第四十一次会议批准</w:t>
      </w:r>
      <w:r>
        <w:rPr>
          <w:rFonts w:hint="eastAsia" w:ascii="楷体_GB2312" w:hAnsi="黑体" w:eastAsia="楷体_GB2312" w:cs="楷体_GB2312"/>
          <w:shd w:val="clear" w:color="090000" w:fill="FFFFFF"/>
        </w:rPr>
        <w:t>）</w:t>
      </w:r>
    </w:p>
    <w:p>
      <w:pPr>
        <w:adjustRightInd w:val="0"/>
        <w:snapToGrid w:val="0"/>
        <w:spacing w:line="560" w:lineRule="exact"/>
        <w:jc w:val="center"/>
        <w:rPr>
          <w:rFonts w:ascii="宋体" w:hAnsi="宋体" w:eastAsia="宋体" w:cs="宋体"/>
          <w:spacing w:val="11"/>
        </w:rPr>
      </w:pPr>
    </w:p>
    <w:p>
      <w:pPr>
        <w:adjustRightInd w:val="0"/>
        <w:snapToGrid w:val="0"/>
        <w:spacing w:line="560" w:lineRule="exact"/>
        <w:ind w:firstLine="684" w:firstLineChars="200"/>
        <w:rPr>
          <w:spacing w:val="11"/>
        </w:rPr>
      </w:pPr>
      <w:r>
        <w:rPr>
          <w:rFonts w:hAnsi="黑体" w:eastAsia="黑体"/>
          <w:spacing w:val="11"/>
        </w:rPr>
        <w:t>第一条</w:t>
      </w:r>
      <w:r>
        <w:rPr>
          <w:spacing w:val="11"/>
        </w:rPr>
        <w:t xml:space="preserve">  </w:t>
      </w:r>
      <w:r>
        <w:rPr>
          <w:rFonts w:hint="eastAsia" w:hAnsi="仿宋_GB2312"/>
          <w:spacing w:val="11"/>
        </w:rPr>
        <w:t>为了加强引黄灌区干渠的建设、管理和保护，高效利用黄河水资源，推动经济社会高质量发展，根据《中华人民共和国水法》《中华人民共和国黄河保护法》《中华人民共和国河道管理条例》等有关法律、法规，结合本市实际，制定本条例。</w:t>
      </w:r>
    </w:p>
    <w:p>
      <w:pPr>
        <w:adjustRightInd w:val="0"/>
        <w:snapToGrid w:val="0"/>
        <w:spacing w:line="560" w:lineRule="exact"/>
        <w:ind w:firstLine="684" w:firstLineChars="200"/>
        <w:rPr>
          <w:rFonts w:hAnsi="仿宋_GB2312"/>
          <w:spacing w:val="11"/>
        </w:rPr>
      </w:pPr>
      <w:r>
        <w:rPr>
          <w:rFonts w:hAnsi="黑体" w:eastAsia="黑体"/>
          <w:spacing w:val="11"/>
        </w:rPr>
        <w:t>第二条</w:t>
      </w:r>
      <w:r>
        <w:rPr>
          <w:spacing w:val="11"/>
        </w:rPr>
        <w:t xml:space="preserve">  </w:t>
      </w:r>
      <w:r>
        <w:rPr>
          <w:rFonts w:hAnsi="仿宋_GB2312"/>
          <w:spacing w:val="11"/>
        </w:rPr>
        <w:t>本</w:t>
      </w:r>
      <w:r>
        <w:rPr>
          <w:rFonts w:hint="eastAsia" w:hAnsi="仿宋_GB2312"/>
          <w:spacing w:val="11"/>
        </w:rPr>
        <w:t>条例适用于德州市潘庄引黄总干渠、德州市李家岸引黄总干渠、齐河县豆腐窝引黄干渠、齐河县韩刘引黄干渠等四条干渠（以下简称引黄干渠）及其附属设施的建设、管理和保护。</w:t>
      </w:r>
    </w:p>
    <w:p>
      <w:pPr>
        <w:adjustRightInd w:val="0"/>
        <w:snapToGrid w:val="0"/>
        <w:spacing w:line="560" w:lineRule="exact"/>
        <w:ind w:firstLine="684" w:firstLineChars="200"/>
        <w:rPr>
          <w:spacing w:val="11"/>
        </w:rPr>
      </w:pPr>
      <w:r>
        <w:rPr>
          <w:rFonts w:hint="eastAsia" w:hAnsi="仿宋_GB2312"/>
          <w:spacing w:val="11"/>
        </w:rPr>
        <w:t>附属设施包括渠堤、截碱沟、水工建筑物、管理站所、量测水设施、信息化设备及标志标识等。</w:t>
      </w:r>
    </w:p>
    <w:p>
      <w:pPr>
        <w:adjustRightInd w:val="0"/>
        <w:snapToGrid w:val="0"/>
        <w:spacing w:line="560" w:lineRule="exact"/>
        <w:ind w:firstLine="684" w:firstLineChars="200"/>
        <w:rPr>
          <w:spacing w:val="11"/>
        </w:rPr>
      </w:pPr>
      <w:r>
        <w:rPr>
          <w:rFonts w:hAnsi="黑体" w:eastAsia="黑体"/>
          <w:spacing w:val="11"/>
        </w:rPr>
        <w:t>第三条</w:t>
      </w:r>
      <w:r>
        <w:rPr>
          <w:spacing w:val="11"/>
        </w:rPr>
        <w:t xml:space="preserve">  </w:t>
      </w:r>
      <w:r>
        <w:rPr>
          <w:rFonts w:hint="eastAsia" w:hAnsi="仿宋_GB2312"/>
          <w:spacing w:val="11"/>
        </w:rPr>
        <w:t>引黄干渠保护工作坚持分级管理、权责统一、标本兼治、保护为主的原则。</w:t>
      </w:r>
    </w:p>
    <w:p>
      <w:pPr>
        <w:adjustRightInd w:val="0"/>
        <w:snapToGrid w:val="0"/>
        <w:spacing w:line="560" w:lineRule="exact"/>
        <w:ind w:firstLine="684" w:firstLineChars="200"/>
        <w:rPr>
          <w:rFonts w:hAnsi="仿宋_GB2312"/>
          <w:spacing w:val="11"/>
        </w:rPr>
      </w:pPr>
      <w:r>
        <w:rPr>
          <w:rFonts w:hAnsi="黑体" w:eastAsia="黑体"/>
          <w:spacing w:val="11"/>
        </w:rPr>
        <w:t>第四条</w:t>
      </w:r>
      <w:r>
        <w:rPr>
          <w:spacing w:val="11"/>
        </w:rPr>
        <w:t xml:space="preserve">  </w:t>
      </w:r>
      <w:r>
        <w:rPr>
          <w:rFonts w:hint="eastAsia" w:hAnsi="仿宋_GB2312"/>
          <w:spacing w:val="11"/>
        </w:rPr>
        <w:t>德州市、齐河县人民政府应当加强对引黄干渠管理工作的领导，统筹解决建设、管理、保护中的重大问题，加大经费投入，保障引黄干渠的安全运行。</w:t>
      </w:r>
    </w:p>
    <w:p>
      <w:pPr>
        <w:adjustRightInd w:val="0"/>
        <w:snapToGrid w:val="0"/>
        <w:spacing w:line="560" w:lineRule="exact"/>
        <w:ind w:firstLine="684" w:firstLineChars="200"/>
        <w:rPr>
          <w:rFonts w:hAnsi="仿宋_GB2312"/>
          <w:spacing w:val="11"/>
        </w:rPr>
      </w:pPr>
      <w:r>
        <w:rPr>
          <w:rFonts w:hint="eastAsia" w:hAnsi="仿宋_GB2312"/>
          <w:spacing w:val="11"/>
        </w:rPr>
        <w:t>引黄干渠沿线各级人民政府应当协助上级水行政主管部门做好引黄干渠建设、管理和保护工作。</w:t>
      </w:r>
    </w:p>
    <w:p>
      <w:pPr>
        <w:adjustRightInd w:val="0"/>
        <w:snapToGrid w:val="0"/>
        <w:spacing w:line="560" w:lineRule="exact"/>
        <w:ind w:firstLine="684" w:firstLineChars="200"/>
        <w:rPr>
          <w:spacing w:val="11"/>
        </w:rPr>
      </w:pPr>
      <w:r>
        <w:rPr>
          <w:rFonts w:hAnsi="黑体" w:eastAsia="黑体"/>
          <w:spacing w:val="11"/>
        </w:rPr>
        <w:t>第五条</w:t>
      </w:r>
      <w:r>
        <w:rPr>
          <w:spacing w:val="11"/>
        </w:rPr>
        <w:t xml:space="preserve">  </w:t>
      </w:r>
      <w:r>
        <w:rPr>
          <w:rFonts w:hint="eastAsia"/>
          <w:spacing w:val="11"/>
        </w:rPr>
        <w:t>德州市、齐河县水行政主管部门分别负责相关引黄干渠的监督管理，其下设的引黄干渠管理机构承担具体管理工作。</w:t>
      </w:r>
    </w:p>
    <w:p>
      <w:pPr>
        <w:adjustRightInd w:val="0"/>
        <w:snapToGrid w:val="0"/>
        <w:spacing w:line="560" w:lineRule="exact"/>
        <w:ind w:firstLine="684" w:firstLineChars="200"/>
        <w:rPr>
          <w:rFonts w:hAnsi="仿宋_GB2312"/>
          <w:spacing w:val="11"/>
        </w:rPr>
      </w:pPr>
      <w:r>
        <w:rPr>
          <w:rFonts w:hint="eastAsia"/>
          <w:spacing w:val="11"/>
        </w:rPr>
        <w:t>发展改革、公安、财政、自然资源、生态环境、农业农村、审批服务等部门应当按照职责分工，做好引黄干渠建设、管理和保护相关工作。</w:t>
      </w:r>
    </w:p>
    <w:p>
      <w:pPr>
        <w:adjustRightInd w:val="0"/>
        <w:snapToGrid w:val="0"/>
        <w:spacing w:line="560" w:lineRule="exact"/>
        <w:ind w:firstLine="684" w:firstLineChars="200"/>
        <w:rPr>
          <w:rFonts w:hAnsi="仿宋_GB2312"/>
          <w:spacing w:val="11"/>
        </w:rPr>
      </w:pPr>
      <w:r>
        <w:rPr>
          <w:rFonts w:hAnsi="黑体" w:eastAsia="黑体"/>
          <w:spacing w:val="11"/>
        </w:rPr>
        <w:t>第六条</w:t>
      </w:r>
      <w:r>
        <w:rPr>
          <w:spacing w:val="11"/>
        </w:rPr>
        <w:t xml:space="preserve">  </w:t>
      </w:r>
      <w:r>
        <w:rPr>
          <w:rFonts w:hint="eastAsia" w:hAnsi="仿宋_GB2312"/>
          <w:spacing w:val="11"/>
        </w:rPr>
        <w:t>干渠管理机构应当加强干渠数字基础设施建设，提升信息化水平，推进干渠现代化管理。</w:t>
      </w:r>
    </w:p>
    <w:p>
      <w:pPr>
        <w:adjustRightInd w:val="0"/>
        <w:snapToGrid w:val="0"/>
        <w:spacing w:line="560" w:lineRule="exact"/>
        <w:ind w:firstLine="684" w:firstLineChars="200"/>
        <w:rPr>
          <w:rFonts w:hAnsi="仿宋_GB2312"/>
          <w:spacing w:val="11"/>
        </w:rPr>
      </w:pPr>
      <w:r>
        <w:rPr>
          <w:rFonts w:hAnsi="黑体" w:eastAsia="黑体"/>
          <w:spacing w:val="11"/>
        </w:rPr>
        <w:t>第七条</w:t>
      </w:r>
      <w:r>
        <w:rPr>
          <w:rFonts w:eastAsia="黑体"/>
          <w:spacing w:val="11"/>
        </w:rPr>
        <w:t xml:space="preserve">  </w:t>
      </w:r>
      <w:r>
        <w:rPr>
          <w:rFonts w:hint="eastAsia" w:hAnsi="仿宋_GB2312"/>
          <w:spacing w:val="11"/>
        </w:rPr>
        <w:t>引黄干渠工程建设实行项目法人负责制。工程建设涉及地方资金投入的，县级以上人民政府应当按规定及时足额予以保障。</w:t>
      </w:r>
    </w:p>
    <w:p>
      <w:pPr>
        <w:adjustRightInd w:val="0"/>
        <w:snapToGrid w:val="0"/>
        <w:spacing w:line="560" w:lineRule="exact"/>
        <w:ind w:firstLine="684" w:firstLineChars="200"/>
        <w:rPr>
          <w:rFonts w:hAnsi="仿宋_GB2312"/>
          <w:spacing w:val="11"/>
        </w:rPr>
      </w:pPr>
      <w:r>
        <w:rPr>
          <w:rFonts w:hAnsi="黑体" w:eastAsia="黑体"/>
          <w:spacing w:val="11"/>
        </w:rPr>
        <w:t>第八条</w:t>
      </w:r>
      <w:r>
        <w:rPr>
          <w:spacing w:val="11"/>
        </w:rPr>
        <w:t xml:space="preserve">  </w:t>
      </w:r>
      <w:r>
        <w:rPr>
          <w:rFonts w:hint="eastAsia" w:hAnsi="仿宋_GB2312"/>
          <w:spacing w:val="11"/>
        </w:rPr>
        <w:t>引黄干渠的管理范围按照有关法律、法规的规定确定，具体包括：</w:t>
      </w:r>
    </w:p>
    <w:p>
      <w:pPr>
        <w:adjustRightInd w:val="0"/>
        <w:snapToGrid w:val="0"/>
        <w:spacing w:line="560" w:lineRule="exact"/>
        <w:ind w:firstLine="684" w:firstLineChars="200"/>
        <w:rPr>
          <w:rFonts w:hAnsi="仿宋_GB2312"/>
          <w:spacing w:val="11"/>
        </w:rPr>
      </w:pPr>
      <w:r>
        <w:rPr>
          <w:rFonts w:hint="eastAsia" w:hAnsi="仿宋_GB2312"/>
          <w:spacing w:val="11"/>
        </w:rPr>
        <w:t>（一）已完成不动产登记的，以登记的土地使用权权属范围为准；</w:t>
      </w:r>
    </w:p>
    <w:p>
      <w:pPr>
        <w:adjustRightInd w:val="0"/>
        <w:snapToGrid w:val="0"/>
        <w:spacing w:line="560" w:lineRule="exact"/>
        <w:ind w:firstLine="684" w:firstLineChars="200"/>
        <w:rPr>
          <w:rFonts w:hAnsi="仿宋_GB2312"/>
          <w:spacing w:val="11"/>
        </w:rPr>
      </w:pPr>
      <w:r>
        <w:rPr>
          <w:rFonts w:hint="eastAsia" w:hAnsi="仿宋_GB2312"/>
          <w:spacing w:val="11"/>
        </w:rPr>
        <w:t>（二）未完成不动产登记的，以市人民政府划定并公布的范围为准。</w:t>
      </w:r>
    </w:p>
    <w:p>
      <w:pPr>
        <w:adjustRightInd w:val="0"/>
        <w:snapToGrid w:val="0"/>
        <w:spacing w:line="560" w:lineRule="exact"/>
        <w:ind w:firstLine="684" w:firstLineChars="200"/>
        <w:rPr>
          <w:rFonts w:hAnsi="仿宋_GB2312"/>
          <w:spacing w:val="11"/>
        </w:rPr>
      </w:pPr>
      <w:r>
        <w:rPr>
          <w:rFonts w:hAnsi="黑体" w:eastAsia="黑体"/>
          <w:spacing w:val="11"/>
        </w:rPr>
        <w:t>第九条</w:t>
      </w:r>
      <w:r>
        <w:rPr>
          <w:spacing w:val="11"/>
        </w:rPr>
        <w:t xml:space="preserve">  </w:t>
      </w:r>
      <w:r>
        <w:rPr>
          <w:rFonts w:hint="eastAsia" w:hAnsi="仿宋_GB2312"/>
          <w:spacing w:val="11"/>
        </w:rPr>
        <w:t>引黄干渠管理范围内，禁止实施下列行为：</w:t>
      </w:r>
    </w:p>
    <w:p>
      <w:pPr>
        <w:adjustRightInd w:val="0"/>
        <w:snapToGrid w:val="0"/>
        <w:spacing w:line="560" w:lineRule="exact"/>
        <w:ind w:firstLine="684" w:firstLineChars="200"/>
        <w:rPr>
          <w:rFonts w:hAnsi="仿宋_GB2312"/>
          <w:spacing w:val="11"/>
        </w:rPr>
      </w:pPr>
      <w:r>
        <w:rPr>
          <w:rFonts w:hint="eastAsia" w:hAnsi="仿宋_GB2312"/>
          <w:spacing w:val="11"/>
        </w:rPr>
        <w:t>（一）修建围堤、阻水渠道、阻水道路；</w:t>
      </w:r>
    </w:p>
    <w:p>
      <w:pPr>
        <w:adjustRightInd w:val="0"/>
        <w:snapToGrid w:val="0"/>
        <w:spacing w:line="560" w:lineRule="exact"/>
        <w:ind w:firstLine="684" w:firstLineChars="200"/>
        <w:rPr>
          <w:rFonts w:hAnsi="仿宋_GB2312"/>
          <w:spacing w:val="11"/>
        </w:rPr>
      </w:pPr>
      <w:r>
        <w:rPr>
          <w:rFonts w:hint="eastAsia" w:hAnsi="仿宋_GB2312"/>
          <w:spacing w:val="11"/>
        </w:rPr>
        <w:t>（二）种植高杆农作物、芦苇、杞柳、荻柴和树木（堤防防护林除外）；</w:t>
      </w:r>
    </w:p>
    <w:p>
      <w:pPr>
        <w:adjustRightInd w:val="0"/>
        <w:snapToGrid w:val="0"/>
        <w:spacing w:line="560" w:lineRule="exact"/>
        <w:ind w:firstLine="684" w:firstLineChars="200"/>
        <w:rPr>
          <w:rFonts w:hAnsi="仿宋_GB2312"/>
          <w:spacing w:val="11"/>
        </w:rPr>
      </w:pPr>
      <w:r>
        <w:rPr>
          <w:rFonts w:hint="eastAsia" w:hAnsi="仿宋_GB2312"/>
          <w:spacing w:val="11"/>
        </w:rPr>
        <w:t>（三）采用设置拦水渔具等方式捕鱼；</w:t>
      </w:r>
    </w:p>
    <w:p>
      <w:pPr>
        <w:adjustRightInd w:val="0"/>
        <w:snapToGrid w:val="0"/>
        <w:spacing w:line="560" w:lineRule="exact"/>
        <w:ind w:firstLine="684" w:firstLineChars="200"/>
        <w:rPr>
          <w:rFonts w:hAnsi="仿宋_GB2312"/>
          <w:spacing w:val="11"/>
        </w:rPr>
      </w:pPr>
      <w:r>
        <w:rPr>
          <w:rFonts w:hint="eastAsia" w:hAnsi="仿宋_GB2312"/>
          <w:spacing w:val="11"/>
        </w:rPr>
        <w:t>（四）弃置矿渣、石渣、煤灰、泥土、垃圾等；</w:t>
      </w:r>
    </w:p>
    <w:p>
      <w:pPr>
        <w:adjustRightInd w:val="0"/>
        <w:snapToGrid w:val="0"/>
        <w:spacing w:line="560" w:lineRule="exact"/>
        <w:ind w:firstLine="684" w:firstLineChars="200"/>
        <w:rPr>
          <w:rFonts w:hAnsi="仿宋_GB2312"/>
          <w:spacing w:val="11"/>
        </w:rPr>
      </w:pPr>
      <w:r>
        <w:rPr>
          <w:rFonts w:hint="eastAsia" w:hAnsi="仿宋_GB2312"/>
          <w:spacing w:val="11"/>
        </w:rPr>
        <w:t>（五）向水体排放油类、酸液、碱液或者剧毒废液、弃置动物尸体；</w:t>
      </w:r>
    </w:p>
    <w:p>
      <w:pPr>
        <w:adjustRightInd w:val="0"/>
        <w:snapToGrid w:val="0"/>
        <w:spacing w:line="560" w:lineRule="exact"/>
        <w:ind w:firstLine="684" w:firstLineChars="200"/>
        <w:rPr>
          <w:rFonts w:hAnsi="仿宋_GB2312"/>
          <w:spacing w:val="11"/>
        </w:rPr>
      </w:pPr>
      <w:r>
        <w:rPr>
          <w:rFonts w:hint="eastAsia" w:hAnsi="仿宋_GB2312"/>
          <w:spacing w:val="11"/>
        </w:rPr>
        <w:t>（六）在水体清洗装贮过油类或者有毒污染物的车辆和容器；</w:t>
      </w:r>
    </w:p>
    <w:p>
      <w:pPr>
        <w:adjustRightInd w:val="0"/>
        <w:snapToGrid w:val="0"/>
        <w:spacing w:line="560" w:lineRule="exact"/>
        <w:ind w:firstLine="684" w:firstLineChars="200"/>
        <w:rPr>
          <w:rFonts w:hAnsi="仿宋_GB2312"/>
          <w:spacing w:val="11"/>
        </w:rPr>
      </w:pPr>
      <w:r>
        <w:rPr>
          <w:rFonts w:hint="eastAsia" w:hAnsi="仿宋_GB2312"/>
          <w:spacing w:val="11"/>
        </w:rPr>
        <w:t>（七）布设临时机泵、虹吸管等设施非法取水；</w:t>
      </w:r>
    </w:p>
    <w:p>
      <w:pPr>
        <w:adjustRightInd w:val="0"/>
        <w:snapToGrid w:val="0"/>
        <w:spacing w:line="560" w:lineRule="exact"/>
        <w:ind w:firstLine="684" w:firstLineChars="200"/>
        <w:rPr>
          <w:rFonts w:hAnsi="仿宋_GB2312"/>
          <w:spacing w:val="11"/>
        </w:rPr>
      </w:pPr>
      <w:r>
        <w:rPr>
          <w:rFonts w:hint="eastAsia" w:hAnsi="仿宋_GB2312"/>
          <w:spacing w:val="11"/>
        </w:rPr>
        <w:t>（八）飙车、嬉水、游泳、野营、烧烤；</w:t>
      </w:r>
    </w:p>
    <w:p>
      <w:pPr>
        <w:adjustRightInd w:val="0"/>
        <w:snapToGrid w:val="0"/>
        <w:spacing w:line="560" w:lineRule="exact"/>
        <w:ind w:firstLine="684" w:firstLineChars="200"/>
        <w:rPr>
          <w:rFonts w:hAnsi="仿宋_GB2312"/>
          <w:spacing w:val="11"/>
        </w:rPr>
      </w:pPr>
      <w:r>
        <w:rPr>
          <w:rFonts w:hint="eastAsia" w:hAnsi="仿宋_GB2312"/>
          <w:spacing w:val="11"/>
        </w:rPr>
        <w:t>（九）在堤防和护堤地，建房、放牧、开渠、打井、挖窖、葬坟、晒粮、存放物料、开采地下资源、进行考古发掘以及开展集市贸易活动；</w:t>
      </w:r>
    </w:p>
    <w:p>
      <w:pPr>
        <w:adjustRightInd w:val="0"/>
        <w:snapToGrid w:val="0"/>
        <w:spacing w:line="560" w:lineRule="exact"/>
        <w:ind w:firstLine="684" w:firstLineChars="200"/>
        <w:rPr>
          <w:rFonts w:hAnsi="仿宋_GB2312"/>
          <w:spacing w:val="11"/>
        </w:rPr>
      </w:pPr>
      <w:r>
        <w:rPr>
          <w:rFonts w:hint="eastAsia" w:hAnsi="仿宋_GB2312"/>
          <w:spacing w:val="11"/>
        </w:rPr>
        <w:t>（十）其他影响引黄干渠安全的行为。</w:t>
      </w:r>
    </w:p>
    <w:p>
      <w:pPr>
        <w:adjustRightInd w:val="0"/>
        <w:snapToGrid w:val="0"/>
        <w:spacing w:line="560" w:lineRule="exact"/>
        <w:ind w:firstLine="684" w:firstLineChars="200"/>
        <w:rPr>
          <w:rFonts w:hAnsi="仿宋_GB2312"/>
          <w:spacing w:val="11"/>
        </w:rPr>
      </w:pPr>
      <w:r>
        <w:rPr>
          <w:rFonts w:hAnsi="黑体" w:eastAsia="黑体"/>
          <w:spacing w:val="11"/>
        </w:rPr>
        <w:t>第十条</w:t>
      </w:r>
      <w:r>
        <w:rPr>
          <w:spacing w:val="11"/>
        </w:rPr>
        <w:t xml:space="preserve">  </w:t>
      </w:r>
      <w:r>
        <w:rPr>
          <w:rFonts w:hint="eastAsia" w:hAnsi="仿宋_GB2312"/>
          <w:spacing w:val="11"/>
        </w:rPr>
        <w:t>在引黄干渠管理范围内进行管道、缆线、交通设施等工程建设的，其工程建设方案应当符合国家规定的有关标准和技术要求，并报送审批服务部门。</w:t>
      </w:r>
    </w:p>
    <w:p>
      <w:pPr>
        <w:adjustRightInd w:val="0"/>
        <w:snapToGrid w:val="0"/>
        <w:spacing w:line="560" w:lineRule="exact"/>
        <w:ind w:firstLine="684" w:firstLineChars="200"/>
        <w:rPr>
          <w:rFonts w:hAnsi="仿宋_GB2312"/>
          <w:spacing w:val="11"/>
        </w:rPr>
      </w:pPr>
      <w:r>
        <w:rPr>
          <w:rFonts w:hint="eastAsia" w:hAnsi="仿宋_GB2312"/>
          <w:spacing w:val="11"/>
        </w:rPr>
        <w:t>审批服务部门对报送的建设方案应当征求同级水行政主管部门的意见。</w:t>
      </w:r>
    </w:p>
    <w:p>
      <w:pPr>
        <w:adjustRightInd w:val="0"/>
        <w:snapToGrid w:val="0"/>
        <w:spacing w:line="560" w:lineRule="exact"/>
        <w:ind w:firstLine="684" w:firstLineChars="200"/>
        <w:rPr>
          <w:rFonts w:hAnsi="仿宋_GB2312"/>
          <w:spacing w:val="11"/>
        </w:rPr>
      </w:pPr>
      <w:r>
        <w:rPr>
          <w:rFonts w:hint="eastAsia" w:hAnsi="仿宋_GB2312"/>
          <w:spacing w:val="11"/>
        </w:rPr>
        <w:t>因建设前款规定的工程设施，占压、损坏引黄干渠工程设施的，建设单位应当在限期内恢复原状；无法恢复的，应当依法予以补偿。</w:t>
      </w:r>
    </w:p>
    <w:p>
      <w:pPr>
        <w:adjustRightInd w:val="0"/>
        <w:snapToGrid w:val="0"/>
        <w:spacing w:line="560" w:lineRule="exact"/>
        <w:ind w:firstLine="684" w:firstLineChars="200"/>
        <w:rPr>
          <w:rFonts w:hAnsi="仿宋_GB2312"/>
          <w:spacing w:val="11"/>
        </w:rPr>
      </w:pPr>
      <w:r>
        <w:rPr>
          <w:rFonts w:hAnsi="黑体" w:eastAsia="黑体"/>
          <w:spacing w:val="11"/>
        </w:rPr>
        <w:t>第十一条</w:t>
      </w:r>
      <w:r>
        <w:rPr>
          <w:spacing w:val="11"/>
        </w:rPr>
        <w:t xml:space="preserve">  </w:t>
      </w:r>
      <w:r>
        <w:rPr>
          <w:rFonts w:hint="eastAsia" w:hAnsi="仿宋_GB2312"/>
          <w:spacing w:val="11"/>
        </w:rPr>
        <w:t>在不兼作公路的渠堤上，禁止大型货车、客车、施工机械和危险化学品运输车辆等机动车辆通行；执行防汛抢险、工程管理和维护、应急救援等任务的车辆除外。</w:t>
      </w:r>
    </w:p>
    <w:p>
      <w:pPr>
        <w:adjustRightInd w:val="0"/>
        <w:snapToGrid w:val="0"/>
        <w:spacing w:line="560" w:lineRule="exact"/>
        <w:ind w:firstLine="684" w:firstLineChars="200"/>
        <w:rPr>
          <w:rFonts w:hAnsi="仿宋_GB2312"/>
          <w:spacing w:val="11"/>
        </w:rPr>
      </w:pPr>
      <w:r>
        <w:rPr>
          <w:rFonts w:hAnsi="黑体" w:eastAsia="黑体"/>
          <w:spacing w:val="11"/>
        </w:rPr>
        <w:t>第十二条</w:t>
      </w:r>
      <w:r>
        <w:rPr>
          <w:spacing w:val="11"/>
        </w:rPr>
        <w:t xml:space="preserve">  </w:t>
      </w:r>
      <w:r>
        <w:rPr>
          <w:rFonts w:hint="eastAsia" w:hAnsi="仿宋_GB2312"/>
          <w:spacing w:val="11"/>
        </w:rPr>
        <w:t>引黄干渠管理机构应当做好渠堤绿化，合理配置树种，保护水质和干渠安全，改善生态环境。</w:t>
      </w:r>
    </w:p>
    <w:p>
      <w:pPr>
        <w:adjustRightInd w:val="0"/>
        <w:snapToGrid w:val="0"/>
        <w:spacing w:line="560" w:lineRule="exact"/>
        <w:ind w:firstLine="684" w:firstLineChars="200"/>
        <w:rPr>
          <w:rFonts w:hAnsi="仿宋_GB2312"/>
          <w:spacing w:val="11"/>
        </w:rPr>
      </w:pPr>
      <w:r>
        <w:rPr>
          <w:rFonts w:hAnsi="黑体" w:eastAsia="黑体"/>
          <w:spacing w:val="11"/>
        </w:rPr>
        <w:t>第十三条</w:t>
      </w:r>
      <w:r>
        <w:rPr>
          <w:spacing w:val="11"/>
        </w:rPr>
        <w:t xml:space="preserve">  </w:t>
      </w:r>
      <w:r>
        <w:rPr>
          <w:rFonts w:hint="eastAsia" w:hAnsi="仿宋_GB2312"/>
          <w:spacing w:val="11"/>
        </w:rPr>
        <w:t>引黄干渠的保护范围为管理范围外一百米相连地域。</w:t>
      </w:r>
    </w:p>
    <w:p>
      <w:pPr>
        <w:adjustRightInd w:val="0"/>
        <w:snapToGrid w:val="0"/>
        <w:spacing w:line="560" w:lineRule="exact"/>
        <w:ind w:firstLine="684" w:firstLineChars="200"/>
        <w:rPr>
          <w:rFonts w:hAnsi="仿宋_GB2312"/>
          <w:spacing w:val="11"/>
        </w:rPr>
      </w:pPr>
      <w:r>
        <w:rPr>
          <w:rFonts w:hAnsi="黑体" w:eastAsia="黑体"/>
          <w:spacing w:val="11"/>
        </w:rPr>
        <w:t>第十四条</w:t>
      </w:r>
      <w:r>
        <w:rPr>
          <w:rFonts w:eastAsia="黑体"/>
          <w:spacing w:val="11"/>
        </w:rPr>
        <w:t xml:space="preserve"> </w:t>
      </w:r>
      <w:r>
        <w:rPr>
          <w:spacing w:val="11"/>
        </w:rPr>
        <w:t xml:space="preserve"> </w:t>
      </w:r>
      <w:r>
        <w:rPr>
          <w:rFonts w:hint="eastAsia" w:hAnsi="仿宋_GB2312"/>
          <w:spacing w:val="11"/>
        </w:rPr>
        <w:t>在引黄干渠保护范围内，禁止打井、钻探、爆破、挖筑鱼塘、采石、取土等危害堤防安全的活动。</w:t>
      </w:r>
    </w:p>
    <w:p>
      <w:pPr>
        <w:adjustRightInd w:val="0"/>
        <w:snapToGrid w:val="0"/>
        <w:spacing w:line="560" w:lineRule="exact"/>
        <w:ind w:firstLine="684" w:firstLineChars="200"/>
        <w:rPr>
          <w:rFonts w:hAnsi="仿宋_GB2312"/>
          <w:spacing w:val="11"/>
        </w:rPr>
      </w:pPr>
      <w:r>
        <w:rPr>
          <w:rFonts w:hAnsi="黑体" w:eastAsia="黑体"/>
          <w:spacing w:val="11"/>
        </w:rPr>
        <w:t>第十五条</w:t>
      </w:r>
      <w:r>
        <w:rPr>
          <w:spacing w:val="11"/>
        </w:rPr>
        <w:t xml:space="preserve">  </w:t>
      </w:r>
      <w:r>
        <w:rPr>
          <w:rFonts w:hint="eastAsia" w:hAnsi="仿宋_GB2312"/>
          <w:spacing w:val="11"/>
        </w:rPr>
        <w:t>引黄干渠管理范围和保护范围划定后，水行政主管部门应当设置界桩，并向社会公告。</w:t>
      </w:r>
    </w:p>
    <w:p>
      <w:pPr>
        <w:spacing w:line="560" w:lineRule="exact"/>
        <w:ind w:firstLine="684" w:firstLineChars="200"/>
        <w:rPr>
          <w:rFonts w:hAnsi="仿宋_GB2312"/>
          <w:spacing w:val="11"/>
        </w:rPr>
      </w:pPr>
      <w:r>
        <w:rPr>
          <w:rFonts w:hAnsi="黑体" w:eastAsia="黑体"/>
          <w:spacing w:val="11"/>
          <w:lang w:eastAsia="ar-SA"/>
        </w:rPr>
        <w:t>第十</w:t>
      </w:r>
      <w:r>
        <w:rPr>
          <w:rFonts w:hAnsi="黑体" w:eastAsia="黑体"/>
          <w:spacing w:val="11"/>
        </w:rPr>
        <w:t>六</w:t>
      </w:r>
      <w:r>
        <w:rPr>
          <w:rFonts w:hAnsi="黑体" w:eastAsia="黑体"/>
          <w:spacing w:val="11"/>
          <w:lang w:eastAsia="ar-SA"/>
        </w:rPr>
        <w:t>条</w:t>
      </w:r>
      <w:r>
        <w:rPr>
          <w:spacing w:val="11"/>
          <w:lang w:eastAsia="ar-SA"/>
        </w:rPr>
        <w:t xml:space="preserve"> </w:t>
      </w:r>
      <w:r>
        <w:rPr>
          <w:spacing w:val="11"/>
        </w:rPr>
        <w:t xml:space="preserve"> </w:t>
      </w:r>
      <w:r>
        <w:rPr>
          <w:rFonts w:hint="eastAsia" w:hAnsi="仿宋_GB2312"/>
          <w:spacing w:val="11"/>
        </w:rPr>
        <w:t>引黄干渠沿线各级人民政府及其水行政主管部门应当组织开展引黄干渠工程设施保护相关法律、法规的宣传，增强公众对引黄干渠工程设施的保护意识。</w:t>
      </w:r>
    </w:p>
    <w:p>
      <w:pPr>
        <w:adjustRightInd w:val="0"/>
        <w:snapToGrid w:val="0"/>
        <w:spacing w:line="560" w:lineRule="exact"/>
        <w:ind w:firstLine="684" w:firstLineChars="200"/>
        <w:rPr>
          <w:rFonts w:hAnsi="仿宋_GB2312"/>
          <w:spacing w:val="11"/>
          <w:lang w:eastAsia="ar-SA"/>
        </w:rPr>
      </w:pPr>
      <w:r>
        <w:rPr>
          <w:rFonts w:hAnsi="黑体" w:eastAsia="黑体"/>
          <w:spacing w:val="11"/>
        </w:rPr>
        <w:t>第十七条</w:t>
      </w:r>
      <w:r>
        <w:rPr>
          <w:spacing w:val="11"/>
        </w:rPr>
        <w:t xml:space="preserve">  </w:t>
      </w:r>
      <w:r>
        <w:rPr>
          <w:rFonts w:hint="eastAsia" w:hAnsi="仿宋_GB2312"/>
          <w:spacing w:val="11"/>
          <w:lang w:eastAsia="ar-SA"/>
        </w:rPr>
        <w:t>任何单位和个人都有保护引黄干渠及其附属设施的义务，对损害引黄干渠工程设施和危及工程安全的行为有权劝阻和举报。</w:t>
      </w:r>
    </w:p>
    <w:p>
      <w:pPr>
        <w:adjustRightInd w:val="0"/>
        <w:snapToGrid w:val="0"/>
        <w:spacing w:line="560" w:lineRule="exact"/>
        <w:ind w:firstLine="684" w:firstLineChars="200"/>
        <w:rPr>
          <w:spacing w:val="11"/>
        </w:rPr>
      </w:pPr>
      <w:r>
        <w:rPr>
          <w:rFonts w:hAnsi="黑体" w:eastAsia="黑体"/>
          <w:spacing w:val="11"/>
        </w:rPr>
        <w:t>第十八条</w:t>
      </w:r>
      <w:r>
        <w:rPr>
          <w:spacing w:val="11"/>
        </w:rPr>
        <w:t xml:space="preserve">  </w:t>
      </w:r>
      <w:r>
        <w:rPr>
          <w:rFonts w:hint="eastAsia" w:hAnsi="仿宋_GB2312"/>
          <w:spacing w:val="11"/>
        </w:rPr>
        <w:t>引黄干渠管理机构应当及时清淤，采取防渗等技术措施，提高渠道输水效率；对渠堤、建筑物、构筑物以及附属设施进行除险加固、维护维修，保持引黄干渠良性运行。</w:t>
      </w:r>
    </w:p>
    <w:p>
      <w:pPr>
        <w:adjustRightInd w:val="0"/>
        <w:snapToGrid w:val="0"/>
        <w:spacing w:line="560" w:lineRule="exact"/>
        <w:ind w:firstLine="684" w:firstLineChars="200"/>
        <w:rPr>
          <w:rFonts w:hAnsi="仿宋_GB2312"/>
          <w:spacing w:val="11"/>
        </w:rPr>
      </w:pPr>
      <w:r>
        <w:rPr>
          <w:rFonts w:hAnsi="黑体" w:eastAsia="黑体"/>
          <w:spacing w:val="11"/>
        </w:rPr>
        <w:t>第十九条</w:t>
      </w:r>
      <w:r>
        <w:rPr>
          <w:spacing w:val="11"/>
        </w:rPr>
        <w:t xml:space="preserve">  </w:t>
      </w:r>
      <w:r>
        <w:rPr>
          <w:rFonts w:hint="eastAsia" w:hAnsi="仿宋_GB2312"/>
          <w:spacing w:val="11"/>
        </w:rPr>
        <w:t>引黄干渠管理机构应当健全日常巡查机制，发现违法行为或者可能影响干渠安全的，依法采取措施，根据情形分别报告水行政主管部门或者公安、生态环境、农业农村等有关部门进行处置。</w:t>
      </w:r>
    </w:p>
    <w:p>
      <w:pPr>
        <w:spacing w:line="560" w:lineRule="exact"/>
        <w:ind w:firstLine="684" w:firstLineChars="200"/>
        <w:rPr>
          <w:rFonts w:hAnsi="仿宋_GB2312"/>
          <w:spacing w:val="11"/>
        </w:rPr>
      </w:pPr>
      <w:r>
        <w:rPr>
          <w:rFonts w:hAnsi="黑体" w:eastAsia="黑体"/>
          <w:spacing w:val="11"/>
        </w:rPr>
        <w:t>第二十条</w:t>
      </w:r>
      <w:r>
        <w:rPr>
          <w:spacing w:val="11"/>
        </w:rPr>
        <w:t xml:space="preserve">  </w:t>
      </w:r>
      <w:r>
        <w:rPr>
          <w:rFonts w:hint="eastAsia" w:hAnsi="仿宋_GB2312"/>
          <w:spacing w:val="11"/>
        </w:rPr>
        <w:t>违反本条例规定，在引黄干渠管理范围内，有下列行为之一的，由水行政主管部门责令其纠正违法行为、采取补救措施，并按照下列规定处罚：</w:t>
      </w:r>
    </w:p>
    <w:p>
      <w:pPr>
        <w:spacing w:line="560" w:lineRule="exact"/>
        <w:ind w:firstLine="684" w:firstLineChars="200"/>
        <w:rPr>
          <w:rFonts w:hAnsi="仿宋_GB2312"/>
          <w:spacing w:val="11"/>
        </w:rPr>
      </w:pPr>
      <w:r>
        <w:rPr>
          <w:rFonts w:hint="eastAsia" w:hAnsi="仿宋_GB2312"/>
          <w:spacing w:val="11"/>
        </w:rPr>
        <w:t>（一）修建围堤、阻水渠道、阻水道路，种植高杆农作物、芦苇、杞柳、荻柴和树木（堤防防护林除外）的，可以并处警告、没收违法所得、对个人处二百元以上二千元以下的罚款；对单位处一千元以上一万元以下的罚款；</w:t>
      </w:r>
    </w:p>
    <w:p>
      <w:pPr>
        <w:spacing w:line="560" w:lineRule="exact"/>
        <w:ind w:firstLine="684" w:firstLineChars="200"/>
        <w:rPr>
          <w:rFonts w:hAnsi="仿宋_GB2312"/>
          <w:spacing w:val="11"/>
        </w:rPr>
      </w:pPr>
      <w:r>
        <w:rPr>
          <w:rFonts w:hint="eastAsia" w:hAnsi="仿宋_GB2312"/>
          <w:spacing w:val="11"/>
        </w:rPr>
        <w:t>（二）嬉水、游泳、野营、烧烤的，可以处警告或者一百元以上五百元以下的罚款；</w:t>
      </w:r>
    </w:p>
    <w:p>
      <w:pPr>
        <w:spacing w:line="560" w:lineRule="exact"/>
        <w:ind w:firstLine="684" w:firstLineChars="200"/>
        <w:rPr>
          <w:rFonts w:hAnsi="仿宋_GB2312"/>
          <w:spacing w:val="11"/>
        </w:rPr>
      </w:pPr>
      <w:r>
        <w:rPr>
          <w:rFonts w:hint="eastAsia" w:hAnsi="仿宋_GB2312"/>
          <w:spacing w:val="11"/>
        </w:rPr>
        <w:t>（三）在堤防和护堤地，建房、放牧、开渠、打井、挖窖、葬坟、晒粮、存放物料、开采地下资源、进行考古发掘以及开展集市贸易活动的，可以并处警告、没收违法所得、对个人处三百元以上三千元以下的罚款；对单位处一千元以上一万元以下的罚款。</w:t>
      </w:r>
    </w:p>
    <w:p>
      <w:pPr>
        <w:spacing w:line="560" w:lineRule="exact"/>
        <w:ind w:firstLine="684" w:firstLineChars="200"/>
        <w:rPr>
          <w:rFonts w:hAnsi="仿宋_GB2312"/>
          <w:spacing w:val="11"/>
        </w:rPr>
      </w:pPr>
      <w:r>
        <w:rPr>
          <w:rFonts w:hAnsi="黑体" w:eastAsia="黑体"/>
          <w:spacing w:val="11"/>
        </w:rPr>
        <w:t>第二十</w:t>
      </w:r>
      <w:r>
        <w:rPr>
          <w:rFonts w:hint="eastAsia" w:hAnsi="黑体" w:eastAsia="黑体"/>
          <w:spacing w:val="11"/>
        </w:rPr>
        <w:t>一</w:t>
      </w:r>
      <w:r>
        <w:rPr>
          <w:rFonts w:hAnsi="黑体" w:eastAsia="黑体"/>
          <w:spacing w:val="11"/>
        </w:rPr>
        <w:t>条</w:t>
      </w:r>
      <w:r>
        <w:rPr>
          <w:spacing w:val="11"/>
        </w:rPr>
        <w:t xml:space="preserve">  </w:t>
      </w:r>
      <w:r>
        <w:rPr>
          <w:rFonts w:hint="eastAsia" w:hAnsi="仿宋_GB2312"/>
          <w:spacing w:val="11"/>
        </w:rPr>
        <w:t>违反本条例规定，在引黄干渠保护范围内，打井、钻探、爆破、挖筑鱼塘、采石、取土等危害堤防安全活动的，水行政主管部门除责令其纠正违法行为、赔偿损失、采取补救措施外，可以并处警告、对个人处三百元以上三千元以下的罚款；对单位处一千元以上一万元以下的罚款；应当给予治安管理处罚的，按照《中华人民共和国治安管理处罚法》的规定处罚；构成犯罪的，依法追究刑事责任。</w:t>
      </w:r>
    </w:p>
    <w:p>
      <w:pPr>
        <w:spacing w:line="560" w:lineRule="exact"/>
        <w:ind w:firstLine="684" w:firstLineChars="200"/>
        <w:rPr>
          <w:rFonts w:hAnsi="仿宋_GB2312"/>
          <w:spacing w:val="11"/>
        </w:rPr>
      </w:pPr>
      <w:r>
        <w:rPr>
          <w:rFonts w:hAnsi="黑体" w:eastAsia="黑体"/>
          <w:spacing w:val="11"/>
        </w:rPr>
        <w:t>第二十</w:t>
      </w:r>
      <w:r>
        <w:rPr>
          <w:rFonts w:hint="eastAsia" w:hAnsi="黑体" w:eastAsia="黑体"/>
          <w:spacing w:val="11"/>
        </w:rPr>
        <w:t>二</w:t>
      </w:r>
      <w:r>
        <w:rPr>
          <w:rFonts w:hAnsi="黑体" w:eastAsia="黑体"/>
          <w:spacing w:val="11"/>
        </w:rPr>
        <w:t>条</w:t>
      </w:r>
      <w:r>
        <w:rPr>
          <w:spacing w:val="11"/>
        </w:rPr>
        <w:t xml:space="preserve">  </w:t>
      </w:r>
      <w:r>
        <w:rPr>
          <w:rFonts w:hint="eastAsia" w:hAnsi="仿宋_GB2312"/>
          <w:spacing w:val="11"/>
        </w:rPr>
        <w:t>违反本条例第九条规定的其他行为，由水行政主管部门、农业农村主管部门、生态环境主管部门、公安机关依照《中华人民共和国水法》《中华人民共和国水污染防治法》《中华人民共和国渔业法》等有关法律、法规的规定予以处罚。</w:t>
      </w:r>
    </w:p>
    <w:p>
      <w:pPr>
        <w:spacing w:line="560" w:lineRule="exact"/>
        <w:ind w:firstLine="684" w:firstLineChars="200"/>
        <w:rPr>
          <w:rFonts w:hAnsi="仿宋_GB2312"/>
          <w:spacing w:val="11"/>
        </w:rPr>
      </w:pPr>
      <w:r>
        <w:rPr>
          <w:rFonts w:hAnsi="黑体" w:eastAsia="黑体"/>
          <w:spacing w:val="11"/>
        </w:rPr>
        <w:t>第二十</w:t>
      </w:r>
      <w:r>
        <w:rPr>
          <w:rFonts w:hint="eastAsia" w:hAnsi="黑体" w:eastAsia="黑体"/>
          <w:spacing w:val="11"/>
        </w:rPr>
        <w:t>三</w:t>
      </w:r>
      <w:r>
        <w:rPr>
          <w:rFonts w:hAnsi="黑体" w:eastAsia="黑体"/>
          <w:spacing w:val="11"/>
        </w:rPr>
        <w:t>条</w:t>
      </w:r>
      <w:r>
        <w:rPr>
          <w:spacing w:val="11"/>
        </w:rPr>
        <w:t xml:space="preserve">  </w:t>
      </w:r>
      <w:r>
        <w:rPr>
          <w:rFonts w:hint="eastAsia" w:hAnsi="仿宋_GB2312"/>
          <w:spacing w:val="11"/>
        </w:rPr>
        <w:t>引黄干渠沿线县（市、区）人民政府及其水行政主管部门可以根据本条例制定支、斗、农、毛渠系的具体保护办法，加强引黄灌区水网保护体系建设，推动黄河水资源保护与节约集约利用。</w:t>
      </w:r>
    </w:p>
    <w:p>
      <w:pPr>
        <w:ind w:firstLine="684" w:firstLineChars="200"/>
        <w:rPr>
          <w:rFonts w:hint="eastAsia" w:eastAsia="仿宋_GB2312"/>
          <w:lang w:eastAsia="zh-CN"/>
        </w:rPr>
      </w:pPr>
      <w:r>
        <w:rPr>
          <w:rFonts w:hAnsi="黑体" w:eastAsia="黑体"/>
          <w:spacing w:val="11"/>
        </w:rPr>
        <w:t>第二十</w:t>
      </w:r>
      <w:r>
        <w:rPr>
          <w:rFonts w:hint="eastAsia" w:hAnsi="黑体" w:eastAsia="黑体"/>
          <w:spacing w:val="11"/>
        </w:rPr>
        <w:t>四</w:t>
      </w:r>
      <w:r>
        <w:rPr>
          <w:rFonts w:hAnsi="黑体" w:eastAsia="黑体"/>
          <w:spacing w:val="11"/>
        </w:rPr>
        <w:t>条</w:t>
      </w:r>
      <w:r>
        <w:rPr>
          <w:spacing w:val="11"/>
        </w:rPr>
        <w:t xml:space="preserve">  </w:t>
      </w:r>
      <w:r>
        <w:rPr>
          <w:rFonts w:hint="eastAsia" w:hAnsi="仿宋_GB2312"/>
          <w:spacing w:val="11"/>
        </w:rPr>
        <w:t>本条例自</w:t>
      </w:r>
      <w:r>
        <w:rPr>
          <w:rFonts w:hint="eastAsia" w:ascii="仿宋_GB2312" w:hAnsi="黑体"/>
          <w:spacing w:val="11"/>
        </w:rPr>
        <w:t>2023年4月1</w:t>
      </w:r>
      <w:r>
        <w:rPr>
          <w:rFonts w:hint="eastAsia" w:hAnsi="仿宋_GB2312"/>
          <w:spacing w:val="11"/>
        </w:rPr>
        <w:t>日起施行</w:t>
      </w:r>
      <w:r>
        <w:rPr>
          <w:rFonts w:hint="eastAsia" w:hAnsi="仿宋_GB2312"/>
          <w:spacing w:val="11"/>
          <w:lang w:eastAsia="zh-CN"/>
        </w:rPr>
        <w:t>。</w:t>
      </w:r>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ADD150D7"/>
    <w:rsid w:val="67D5762A"/>
    <w:rsid w:val="ADD15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Indent"/>
    <w:next w:val="1"/>
    <w:qFormat/>
    <w:uiPriority w:val="0"/>
    <w:pPr>
      <w:widowControl w:val="0"/>
      <w:ind w:firstLine="420"/>
      <w:jc w:val="both"/>
    </w:pPr>
    <w:rPr>
      <w:rFonts w:ascii="Times New Roman" w:hAnsi="Times New Roman" w:eastAsia="宋体" w:cs="Times New Roman"/>
      <w:kern w:val="2"/>
      <w:sz w:val="21"/>
      <w:lang w:val="en-US" w:eastAsia="zh-CN" w:bidi="ar-SA"/>
    </w:rPr>
  </w:style>
  <w:style w:type="paragraph" w:styleId="3">
    <w:name w:val="footer"/>
    <w:qFormat/>
    <w:uiPriority w:val="99"/>
    <w:pPr>
      <w:widowControl w:val="0"/>
      <w:tabs>
        <w:tab w:val="center" w:pos="4153"/>
        <w:tab w:val="right" w:pos="8306"/>
      </w:tabs>
      <w:snapToGrid w:val="0"/>
    </w:pPr>
    <w:rPr>
      <w:rFonts w:ascii="Calibri" w:hAnsi="Calibri" w:eastAsia="仿宋_GB2312" w:cs="Times New Roman"/>
      <w:kern w:val="2"/>
      <w:sz w:val="18"/>
      <w:szCs w:val="18"/>
      <w:lang w:val="en-US" w:eastAsia="zh-CN" w:bidi="ar-SA"/>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2441</Words>
  <Characters>2453</Characters>
  <Lines>0</Lines>
  <Paragraphs>0</Paragraphs>
  <TotalTime>0</TotalTime>
  <ScaleCrop>false</ScaleCrop>
  <LinksUpToDate>false</LinksUpToDate>
  <CharactersWithSpaces>2503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2023-03-01T15:47:00Z</dcterms:created>
  <dc:creator>user</dc:creator>
  <cp:lastModifiedBy>PC400</cp:lastModifiedBy>
  <dcterms:modified xsi:type="dcterms:W3CDTF">2023-03-16T04:02:03Z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042CB2B43C7A4237A7B8ECACB0AED8C0</vt:lpwstr>
  </property>
</Properties>
</file>