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shd w:val="clear" w:color="auto" w:fill="FFFFFF"/>
        <w:spacing w:before="0" w:beforeAutospacing="0" w:after="0" w:afterAutospacing="0" w:line="580" w:lineRule="exact"/>
        <w:jc w:val="center"/>
        <w:rPr>
          <w:b w:val="0"/>
          <w:color w:val="000000"/>
          <w:sz w:val="32"/>
          <w:szCs w:val="32"/>
        </w:rPr>
      </w:pPr>
    </w:p>
    <w:p>
      <w:pPr>
        <w:pStyle w:val="2"/>
        <w:widowControl w:val="0"/>
        <w:shd w:val="clear" w:color="auto" w:fill="FFFFFF"/>
        <w:spacing w:before="0" w:beforeAutospacing="0" w:after="0" w:afterAutospacing="0" w:line="580" w:lineRule="exact"/>
        <w:jc w:val="center"/>
        <w:rPr>
          <w:b w:val="0"/>
          <w:color w:val="000000"/>
          <w:sz w:val="32"/>
          <w:szCs w:val="32"/>
        </w:rPr>
      </w:pPr>
    </w:p>
    <w:p>
      <w:pPr>
        <w:pStyle w:val="2"/>
        <w:widowControl w:val="0"/>
        <w:shd w:val="clear" w:color="auto" w:fill="FFFFFF"/>
        <w:spacing w:before="0" w:beforeAutospacing="0" w:after="0" w:afterAutospacing="0" w:line="580" w:lineRule="exact"/>
        <w:jc w:val="center"/>
        <w:rPr>
          <w:rFonts w:eastAsia="宋体"/>
          <w:b w:val="0"/>
          <w:color w:val="000000"/>
          <w:sz w:val="44"/>
          <w:szCs w:val="44"/>
        </w:rPr>
      </w:pPr>
      <w:r>
        <w:rPr>
          <w:rFonts w:hint="eastAsia" w:eastAsia="宋体"/>
          <w:b w:val="0"/>
          <w:color w:val="000000"/>
          <w:sz w:val="44"/>
          <w:szCs w:val="44"/>
        </w:rPr>
        <w:t>枣庄市优化营商环境条例</w:t>
      </w:r>
    </w:p>
    <w:p>
      <w:pPr>
        <w:pStyle w:val="2"/>
        <w:widowControl w:val="0"/>
        <w:shd w:val="clear" w:color="auto" w:fill="FFFFFF"/>
        <w:spacing w:before="0" w:beforeAutospacing="0" w:after="0" w:afterAutospacing="0" w:line="580" w:lineRule="exact"/>
        <w:jc w:val="center"/>
        <w:rPr>
          <w:b w:val="0"/>
          <w:color w:val="000000"/>
          <w:sz w:val="32"/>
          <w:szCs w:val="32"/>
        </w:rPr>
      </w:pPr>
    </w:p>
    <w:p>
      <w:pPr>
        <w:pStyle w:val="2"/>
        <w:widowControl w:val="0"/>
        <w:shd w:val="clear" w:color="auto" w:fill="FFFFFF"/>
        <w:spacing w:before="0" w:beforeAutospacing="0" w:after="0" w:afterAutospacing="0" w:line="580" w:lineRule="exact"/>
        <w:ind w:left="640" w:leftChars="200" w:right="621" w:rightChars="194"/>
        <w:rPr>
          <w:rFonts w:ascii="楷体_GB2312" w:hAnsi="楷体_GB2312" w:eastAsia="楷体_GB2312" w:cs="楷体_GB2312"/>
          <w:b w:val="0"/>
          <w:color w:val="000000"/>
          <w:sz w:val="32"/>
          <w:szCs w:val="32"/>
        </w:rPr>
      </w:pPr>
      <w:r>
        <w:rPr>
          <w:rFonts w:hint="eastAsia" w:ascii="楷体_GB2312" w:hAnsi="黑体" w:eastAsia="楷体_GB2312" w:cs="楷体_GB2312"/>
          <w:b w:val="0"/>
          <w:color w:val="000000"/>
          <w:sz w:val="32"/>
          <w:szCs w:val="32"/>
        </w:rPr>
        <w:t>（2022年8月30日枣庄市第十七届人民代表大会常务委员会第五次会议通过  2022年9月21日山东省第十三届人民代表大会常务委员会第三十八次会议批准</w:t>
      </w:r>
      <w:r>
        <w:rPr>
          <w:rFonts w:hint="eastAsia" w:ascii="楷体_GB2312" w:hAnsi="楷体_GB2312" w:eastAsia="楷体_GB2312" w:cs="楷体_GB2312"/>
          <w:b w:val="0"/>
          <w:color w:val="000000"/>
          <w:sz w:val="32"/>
          <w:szCs w:val="32"/>
        </w:rPr>
        <w:t>）</w:t>
      </w:r>
    </w:p>
    <w:p>
      <w:pPr>
        <w:pStyle w:val="5"/>
        <w:widowControl w:val="0"/>
        <w:spacing w:before="0" w:beforeAutospacing="0" w:after="0" w:afterAutospacing="0" w:line="540" w:lineRule="exact"/>
        <w:ind w:firstLine="645"/>
        <w:jc w:val="both"/>
        <w:rPr>
          <w:sz w:val="32"/>
        </w:rPr>
      </w:pPr>
    </w:p>
    <w:p>
      <w:pPr>
        <w:spacing w:line="540" w:lineRule="exact"/>
        <w:jc w:val="center"/>
        <w:rPr>
          <w:rStyle w:val="8"/>
          <w:rFonts w:ascii="楷体_GB2312" w:eastAsia="楷体_GB2312" w:cs="Arial"/>
          <w:color w:val="auto"/>
          <w:sz w:val="32"/>
          <w:szCs w:val="32"/>
        </w:rPr>
      </w:pPr>
      <w:r>
        <w:rPr>
          <w:rStyle w:val="8"/>
          <w:rFonts w:hint="eastAsia" w:ascii="楷体_GB2312" w:eastAsia="楷体_GB2312" w:cs="Arial"/>
          <w:color w:val="auto"/>
          <w:sz w:val="32"/>
          <w:szCs w:val="32"/>
        </w:rPr>
        <w:t>目  录</w:t>
      </w:r>
    </w:p>
    <w:p>
      <w:pPr>
        <w:spacing w:line="550" w:lineRule="exact"/>
        <w:ind w:left="989" w:leftChars="309"/>
        <w:rPr>
          <w:rFonts w:ascii="楷体_GB2312" w:hAnsi="Arial" w:eastAsia="楷体_GB2312" w:cs="Arial"/>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fldChar w:fldCharType="separate"/>
      </w:r>
      <w:r>
        <w:rPr>
          <w:rStyle w:val="8"/>
          <w:rFonts w:hint="eastAsia" w:ascii="楷体_GB2312" w:eastAsia="楷体_GB2312" w:cs="Arial"/>
          <w:color w:val="auto"/>
          <w:sz w:val="32"/>
          <w:szCs w:val="32"/>
        </w:rPr>
        <w:t>第一章　总则</w:t>
      </w:r>
      <w:r>
        <w:rPr>
          <w:rStyle w:val="8"/>
          <w:rFonts w:hint="eastAsia" w:ascii="楷体_GB2312" w:eastAsia="楷体_GB2312" w:cs="Arial"/>
          <w:color w:val="auto"/>
          <w:sz w:val="32"/>
          <w:szCs w:val="32"/>
        </w:rPr>
        <w:fldChar w:fldCharType="end"/>
      </w:r>
    </w:p>
    <w:p>
      <w:pPr>
        <w:spacing w:line="550" w:lineRule="exact"/>
        <w:ind w:left="989" w:leftChars="309"/>
        <w:rPr>
          <w:rFonts w:ascii="楷体_GB2312" w:hAnsi="Arial" w:eastAsia="楷体_GB2312" w:cs="Arial"/>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fldChar w:fldCharType="separate"/>
      </w:r>
      <w:r>
        <w:rPr>
          <w:rStyle w:val="8"/>
          <w:rFonts w:hint="eastAsia" w:ascii="楷体_GB2312" w:eastAsia="楷体_GB2312" w:cs="Arial"/>
          <w:color w:val="auto"/>
          <w:sz w:val="32"/>
          <w:szCs w:val="32"/>
        </w:rPr>
        <w:t>第二章　市场环境</w:t>
      </w:r>
      <w:r>
        <w:rPr>
          <w:rStyle w:val="8"/>
          <w:rFonts w:hint="eastAsia" w:ascii="楷体_GB2312" w:eastAsia="楷体_GB2312" w:cs="Arial"/>
          <w:color w:val="auto"/>
          <w:sz w:val="32"/>
          <w:szCs w:val="32"/>
        </w:rPr>
        <w:fldChar w:fldCharType="end"/>
      </w:r>
    </w:p>
    <w:p>
      <w:pPr>
        <w:spacing w:line="550" w:lineRule="exact"/>
        <w:ind w:left="989" w:leftChars="309"/>
        <w:rPr>
          <w:rFonts w:ascii="楷体_GB2312" w:hAnsi="Arial" w:eastAsia="楷体_GB2312" w:cs="Arial"/>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fldChar w:fldCharType="separate"/>
      </w:r>
      <w:r>
        <w:rPr>
          <w:rStyle w:val="8"/>
          <w:rFonts w:hint="eastAsia" w:ascii="楷体_GB2312" w:eastAsia="楷体_GB2312" w:cs="Arial"/>
          <w:color w:val="auto"/>
          <w:sz w:val="32"/>
          <w:szCs w:val="32"/>
        </w:rPr>
        <w:t>第三章　政务服务</w:t>
      </w:r>
      <w:r>
        <w:rPr>
          <w:rStyle w:val="8"/>
          <w:rFonts w:hint="eastAsia" w:ascii="楷体_GB2312" w:eastAsia="楷体_GB2312" w:cs="Arial"/>
          <w:color w:val="auto"/>
          <w:sz w:val="32"/>
          <w:szCs w:val="32"/>
        </w:rPr>
        <w:fldChar w:fldCharType="end"/>
      </w:r>
    </w:p>
    <w:p>
      <w:pPr>
        <w:spacing w:line="550" w:lineRule="exact"/>
        <w:ind w:left="989" w:leftChars="309"/>
        <w:rPr>
          <w:rFonts w:ascii="楷体_GB2312" w:hAnsi="Arial" w:eastAsia="楷体_GB2312" w:cs="Arial"/>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fldChar w:fldCharType="separate"/>
      </w:r>
      <w:r>
        <w:rPr>
          <w:rStyle w:val="8"/>
          <w:rFonts w:hint="eastAsia" w:ascii="楷体_GB2312" w:eastAsia="楷体_GB2312" w:cs="Arial"/>
          <w:color w:val="auto"/>
          <w:sz w:val="32"/>
          <w:szCs w:val="32"/>
        </w:rPr>
        <w:t>第四章　法治环境</w:t>
      </w:r>
      <w:r>
        <w:rPr>
          <w:rStyle w:val="8"/>
          <w:rFonts w:hint="eastAsia" w:ascii="楷体_GB2312" w:eastAsia="楷体_GB2312" w:cs="Arial"/>
          <w:color w:val="auto"/>
          <w:sz w:val="32"/>
          <w:szCs w:val="32"/>
        </w:rPr>
        <w:fldChar w:fldCharType="end"/>
      </w:r>
    </w:p>
    <w:p>
      <w:pPr>
        <w:spacing w:line="550" w:lineRule="exact"/>
        <w:ind w:left="989" w:leftChars="309"/>
        <w:rPr>
          <w:rStyle w:val="8"/>
          <w:rFonts w:ascii="楷体_GB2312" w:eastAsia="楷体_GB2312" w:cs="Arial"/>
          <w:color w:val="auto"/>
          <w:sz w:val="32"/>
          <w:szCs w:val="32"/>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fldChar w:fldCharType="separate"/>
      </w:r>
      <w:r>
        <w:rPr>
          <w:rStyle w:val="8"/>
          <w:rFonts w:hint="eastAsia" w:ascii="楷体_GB2312" w:eastAsia="楷体_GB2312" w:cs="Arial"/>
          <w:color w:val="auto"/>
          <w:sz w:val="32"/>
          <w:szCs w:val="32"/>
        </w:rPr>
        <w:t>第五章　</w:t>
      </w:r>
      <w:r>
        <w:rPr>
          <w:rStyle w:val="8"/>
          <w:rFonts w:hint="eastAsia" w:ascii="楷体_GB2312" w:eastAsia="楷体_GB2312" w:cs="Arial"/>
          <w:color w:val="auto"/>
          <w:sz w:val="32"/>
          <w:szCs w:val="32"/>
        </w:rPr>
        <w:fldChar w:fldCharType="end"/>
      </w:r>
      <w:r>
        <w:rPr>
          <w:rStyle w:val="8"/>
          <w:rFonts w:hint="eastAsia" w:ascii="楷体_GB2312" w:eastAsia="楷体_GB2312" w:cs="Arial"/>
          <w:color w:val="auto"/>
          <w:sz w:val="32"/>
          <w:szCs w:val="32"/>
        </w:rPr>
        <w:t>法律责任</w:t>
      </w:r>
    </w:p>
    <w:p>
      <w:pPr>
        <w:spacing w:line="550" w:lineRule="exact"/>
        <w:ind w:left="989" w:leftChars="309"/>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fldChar w:fldCharType="separate"/>
      </w:r>
      <w:r>
        <w:rPr>
          <w:rStyle w:val="8"/>
          <w:rFonts w:hint="eastAsia" w:ascii="楷体_GB2312" w:eastAsia="楷体_GB2312" w:cs="Arial"/>
          <w:color w:val="auto"/>
          <w:sz w:val="32"/>
          <w:szCs w:val="32"/>
        </w:rPr>
        <w:t>第六章　</w:t>
      </w:r>
      <w:r>
        <w:rPr>
          <w:rStyle w:val="8"/>
          <w:rFonts w:hint="eastAsia" w:ascii="楷体_GB2312" w:eastAsia="楷体_GB2312" w:cs="Arial"/>
          <w:color w:val="auto"/>
          <w:sz w:val="32"/>
          <w:szCs w:val="32"/>
        </w:rPr>
        <w:fldChar w:fldCharType="end"/>
      </w:r>
      <w:r>
        <w:rPr>
          <w:rStyle w:val="8"/>
          <w:rFonts w:hint="eastAsia" w:ascii="楷体_GB2312" w:eastAsia="楷体_GB2312" w:cs="Arial"/>
          <w:color w:val="auto"/>
          <w:sz w:val="32"/>
          <w:szCs w:val="32"/>
        </w:rPr>
        <w:t>附则</w:t>
      </w:r>
    </w:p>
    <w:p>
      <w:pPr>
        <w:tabs>
          <w:tab w:val="left" w:pos="0"/>
        </w:tabs>
        <w:overflowPunct w:val="0"/>
        <w:adjustRightInd w:val="0"/>
        <w:snapToGrid w:val="0"/>
        <w:spacing w:line="550" w:lineRule="exact"/>
        <w:jc w:val="center"/>
        <w:rPr>
          <w:rFonts w:ascii="宋体" w:hAnsi="宋体" w:eastAsia="宋体" w:cs="宋体"/>
        </w:rPr>
      </w:pPr>
    </w:p>
    <w:p>
      <w:pPr>
        <w:tabs>
          <w:tab w:val="left" w:pos="0"/>
        </w:tabs>
        <w:overflowPunct w:val="0"/>
        <w:adjustRightInd w:val="0"/>
        <w:snapToGrid w:val="0"/>
        <w:spacing w:line="550" w:lineRule="exact"/>
        <w:jc w:val="center"/>
      </w:pPr>
      <w:r>
        <w:rPr>
          <w:rFonts w:hint="eastAsia" w:eastAsia="黑体"/>
        </w:rPr>
        <w:t xml:space="preserve">第一章 </w:t>
      </w:r>
      <w:r>
        <w:rPr>
          <w:rFonts w:eastAsia="黑体"/>
        </w:rPr>
        <w:t xml:space="preserve"> 总则</w:t>
      </w:r>
    </w:p>
    <w:p>
      <w:pPr>
        <w:overflowPunct w:val="0"/>
        <w:adjustRightInd w:val="0"/>
        <w:snapToGrid w:val="0"/>
        <w:spacing w:line="550" w:lineRule="exact"/>
        <w:ind w:firstLine="640" w:firstLineChars="200"/>
        <w:rPr>
          <w:rFonts w:eastAsia="黑体"/>
        </w:rPr>
      </w:pPr>
    </w:p>
    <w:p>
      <w:pPr>
        <w:overflowPunct w:val="0"/>
        <w:adjustRightInd w:val="0"/>
        <w:snapToGrid w:val="0"/>
        <w:spacing w:line="520" w:lineRule="exact"/>
        <w:ind w:firstLine="640" w:firstLineChars="200"/>
        <w:rPr>
          <w:rFonts w:ascii="仿宋_GB2312" w:hAnsi="仿宋_GB2312" w:cs="仿宋_GB2312"/>
          <w:bCs/>
        </w:rPr>
      </w:pPr>
      <w:r>
        <w:rPr>
          <w:rFonts w:eastAsia="黑体"/>
        </w:rPr>
        <w:t>第一条</w:t>
      </w:r>
      <w:r>
        <w:t xml:space="preserve">  </w:t>
      </w:r>
      <w:r>
        <w:rPr>
          <w:rFonts w:hint="eastAsia" w:ascii="仿宋_GB2312" w:hAnsi="仿宋_GB2312" w:cs="仿宋_GB2312"/>
          <w:bCs/>
        </w:rPr>
        <w:t>为了持续优化营商环境，维护市场主体合法权益，激发市场主体活力，加快“工业强市、产业兴市”战略实施，推动高质量发展，根据国务院《优化营商环境条例》《山东省优化营商环境条例》等有关法律、法规，结合本市实际，制定本条例。</w:t>
      </w:r>
    </w:p>
    <w:p>
      <w:pPr>
        <w:overflowPunct w:val="0"/>
        <w:adjustRightInd w:val="0"/>
        <w:snapToGrid w:val="0"/>
        <w:spacing w:line="520" w:lineRule="exact"/>
        <w:ind w:firstLine="640" w:firstLineChars="200"/>
        <w:rPr>
          <w:bCs/>
        </w:rPr>
      </w:pPr>
      <w:r>
        <w:rPr>
          <w:rFonts w:eastAsia="黑体"/>
        </w:rPr>
        <w:t>第二条</w:t>
      </w:r>
      <w:r>
        <w:t xml:space="preserve">  </w:t>
      </w:r>
      <w:r>
        <w:rPr>
          <w:bCs/>
        </w:rPr>
        <w:t>本市行政区域内与优化营商环境相关的活动，适用本条例。</w:t>
      </w:r>
    </w:p>
    <w:p>
      <w:pPr>
        <w:overflowPunct w:val="0"/>
        <w:adjustRightInd w:val="0"/>
        <w:snapToGrid w:val="0"/>
        <w:spacing w:line="520" w:lineRule="exact"/>
        <w:ind w:firstLine="640" w:firstLineChars="200"/>
        <w:rPr>
          <w:bCs/>
        </w:rPr>
      </w:pPr>
      <w:r>
        <w:rPr>
          <w:rFonts w:eastAsia="黑体"/>
        </w:rPr>
        <w:t>第三条</w:t>
      </w:r>
      <w:r>
        <w:rPr>
          <w:rFonts w:eastAsia="楷体_GB2312"/>
        </w:rPr>
        <w:t xml:space="preserve">  </w:t>
      </w:r>
      <w:r>
        <w:rPr>
          <w:bCs/>
        </w:rPr>
        <w:t>优化营商环境应当坚持市场化、法治化、国际化原则，以市场主体需求为导向，以政府职能转变为核心，创新体制机制，优化政务服务，强化公正监管，为各类市场主体营造稳定、公平、透明、可预期的发展环境。</w:t>
      </w:r>
    </w:p>
    <w:p>
      <w:pPr>
        <w:pStyle w:val="9"/>
        <w:keepNext w:val="0"/>
        <w:keepLines w:val="0"/>
        <w:pageBreakBefore w:val="0"/>
        <w:widowControl w:val="0"/>
        <w:kinsoku/>
        <w:wordWrap/>
        <w:overflowPunct/>
        <w:topLinePunct w:val="0"/>
        <w:autoSpaceDE/>
        <w:autoSpaceDN/>
        <w:bidi w:val="0"/>
        <w:adjustRightInd w:val="0"/>
        <w:snapToGrid/>
        <w:spacing w:before="0" w:after="0" w:line="520" w:lineRule="exact"/>
        <w:ind w:firstLine="640" w:firstLineChars="200"/>
        <w:jc w:val="both"/>
        <w:textAlignment w:val="auto"/>
        <w:rPr>
          <w:bCs/>
          <w:kern w:val="2"/>
          <w:sz w:val="32"/>
        </w:rPr>
      </w:pPr>
      <w:r>
        <w:rPr>
          <w:rFonts w:hint="eastAsia" w:ascii="黑体" w:hAnsi="黑体" w:eastAsia="黑体" w:cs="黑体"/>
          <w:sz w:val="32"/>
        </w:rPr>
        <w:t xml:space="preserve">第四条  </w:t>
      </w:r>
      <w:r>
        <w:rPr>
          <w:rFonts w:hint="eastAsia"/>
          <w:bCs/>
          <w:kern w:val="2"/>
          <w:sz w:val="32"/>
        </w:rPr>
        <w:t>市、区（市）应当加强对优化营商环境工作的组织领导，建立统筹推进、督促落实优化营商环境工作机制，及时解决优化营商环境工作中的重大问题。</w:t>
      </w:r>
    </w:p>
    <w:p>
      <w:pPr>
        <w:pStyle w:val="9"/>
        <w:keepNext w:val="0"/>
        <w:keepLines w:val="0"/>
        <w:pageBreakBefore w:val="0"/>
        <w:widowControl w:val="0"/>
        <w:kinsoku/>
        <w:wordWrap/>
        <w:overflowPunct/>
        <w:topLinePunct w:val="0"/>
        <w:autoSpaceDE/>
        <w:autoSpaceDN/>
        <w:bidi w:val="0"/>
        <w:adjustRightInd w:val="0"/>
        <w:snapToGrid/>
        <w:spacing w:before="0" w:after="0" w:line="520" w:lineRule="exact"/>
        <w:ind w:firstLine="640" w:firstLineChars="200"/>
        <w:jc w:val="both"/>
        <w:textAlignment w:val="auto"/>
        <w:rPr>
          <w:bCs/>
          <w:kern w:val="2"/>
          <w:sz w:val="32"/>
        </w:rPr>
      </w:pPr>
      <w:r>
        <w:rPr>
          <w:rFonts w:hint="eastAsia"/>
          <w:bCs/>
          <w:kern w:val="2"/>
          <w:sz w:val="32"/>
        </w:rPr>
        <w:t>市、区（市）应当明确主管部门或者机构负责优化营商环境工作。</w:t>
      </w:r>
    </w:p>
    <w:p>
      <w:pPr>
        <w:pStyle w:val="9"/>
        <w:keepNext w:val="0"/>
        <w:keepLines w:val="0"/>
        <w:pageBreakBefore w:val="0"/>
        <w:widowControl w:val="0"/>
        <w:kinsoku/>
        <w:wordWrap/>
        <w:overflowPunct/>
        <w:topLinePunct w:val="0"/>
        <w:autoSpaceDE/>
        <w:autoSpaceDN/>
        <w:bidi w:val="0"/>
        <w:adjustRightInd w:val="0"/>
        <w:snapToGrid/>
        <w:spacing w:before="0" w:after="0" w:line="520" w:lineRule="exact"/>
        <w:ind w:firstLine="640" w:firstLineChars="200"/>
        <w:jc w:val="both"/>
        <w:textAlignment w:val="auto"/>
        <w:rPr>
          <w:rFonts w:ascii="仿宋_GB2312" w:hAnsi="仿宋_GB2312" w:cs="仿宋_GB2312"/>
          <w:sz w:val="32"/>
        </w:rPr>
      </w:pPr>
      <w:r>
        <w:rPr>
          <w:rFonts w:hint="eastAsia"/>
          <w:bCs/>
          <w:kern w:val="2"/>
          <w:sz w:val="32"/>
        </w:rPr>
        <w:t>有关部门、法律法规授权的具有管</w:t>
      </w:r>
      <w:r>
        <w:rPr>
          <w:rFonts w:hint="eastAsia" w:ascii="仿宋_GB2312" w:hAnsi="仿宋_GB2312" w:cs="仿宋_GB2312"/>
          <w:sz w:val="32"/>
        </w:rPr>
        <w:t>理公共事务职能的组织、司法机关、人民团体等按照各自职责，做好优化营商环境相关工作。</w:t>
      </w:r>
      <w:bookmarkStart w:id="0" w:name="_GoBack"/>
      <w:bookmarkEnd w:id="0"/>
    </w:p>
    <w:p>
      <w:pPr>
        <w:overflowPunct w:val="0"/>
        <w:adjustRightInd w:val="0"/>
        <w:snapToGrid w:val="0"/>
        <w:spacing w:line="520" w:lineRule="exact"/>
        <w:ind w:firstLine="640" w:firstLineChars="200"/>
        <w:rPr>
          <w:bCs/>
        </w:rPr>
      </w:pPr>
      <w:r>
        <w:rPr>
          <w:rFonts w:eastAsia="黑体"/>
        </w:rPr>
        <w:t>第五条</w:t>
      </w:r>
      <w:r>
        <w:t xml:space="preserve">  </w:t>
      </w:r>
      <w:r>
        <w:rPr>
          <w:bCs/>
        </w:rPr>
        <w:t>积极融入和服务黄河流域生态保护和高质量发展重大国家战略，加强与鲁南经济圈、淮河生态经济带、淮海经济区相关城市的协同驱动，推动市场规则衔接和政务服务体系协作，构建高效规范、公平竞争的统一开放市场。</w:t>
      </w:r>
    </w:p>
    <w:p>
      <w:pPr>
        <w:overflowPunct w:val="0"/>
        <w:adjustRightInd w:val="0"/>
        <w:snapToGrid w:val="0"/>
        <w:spacing w:line="520" w:lineRule="exact"/>
        <w:ind w:firstLine="640" w:firstLineChars="200"/>
        <w:rPr>
          <w:bCs/>
        </w:rPr>
      </w:pPr>
      <w:r>
        <w:rPr>
          <w:rFonts w:eastAsia="黑体"/>
          <w:lang w:bidi="ar"/>
        </w:rPr>
        <w:t>第</w:t>
      </w:r>
      <w:r>
        <w:rPr>
          <w:rFonts w:hint="eastAsia" w:eastAsia="黑体"/>
          <w:lang w:bidi="ar"/>
        </w:rPr>
        <w:t>六</w:t>
      </w:r>
      <w:r>
        <w:rPr>
          <w:rFonts w:eastAsia="黑体"/>
          <w:lang w:bidi="ar"/>
        </w:rPr>
        <w:t>条</w:t>
      </w:r>
      <w:r>
        <w:t xml:space="preserve">  </w:t>
      </w:r>
      <w:r>
        <w:rPr>
          <w:bCs/>
        </w:rPr>
        <w:t>建立健全政企沟通机制，构建亲清</w:t>
      </w:r>
      <w:r>
        <w:rPr>
          <w:rFonts w:hint="eastAsia"/>
          <w:bCs/>
        </w:rPr>
        <w:t>新型</w:t>
      </w:r>
      <w:r>
        <w:rPr>
          <w:bCs/>
        </w:rPr>
        <w:t>政商关系，营造尊商、重商、亲商、安商的浓厚氛围。激发和弘扬企业家</w:t>
      </w:r>
      <w:r>
        <w:rPr>
          <w:bCs/>
          <w:spacing w:val="-6"/>
        </w:rPr>
        <w:t>精</w:t>
      </w:r>
      <w:r>
        <w:rPr>
          <w:bCs/>
        </w:rPr>
        <w:t>神，关心关爱企业家，按照有关规定对优秀企业家给予表彰奖励。</w:t>
      </w:r>
    </w:p>
    <w:p>
      <w:pPr>
        <w:overflowPunct w:val="0"/>
        <w:adjustRightInd w:val="0"/>
        <w:snapToGrid w:val="0"/>
        <w:spacing w:line="560" w:lineRule="exact"/>
        <w:jc w:val="center"/>
        <w:rPr>
          <w:rFonts w:eastAsia="黑体"/>
        </w:rPr>
      </w:pPr>
    </w:p>
    <w:p>
      <w:pPr>
        <w:overflowPunct w:val="0"/>
        <w:adjustRightInd w:val="0"/>
        <w:snapToGrid w:val="0"/>
        <w:spacing w:line="560" w:lineRule="exact"/>
        <w:jc w:val="center"/>
        <w:rPr>
          <w:rFonts w:eastAsia="黑体"/>
        </w:rPr>
      </w:pPr>
      <w:r>
        <w:rPr>
          <w:rFonts w:hint="eastAsia" w:eastAsia="黑体"/>
        </w:rPr>
        <w:t xml:space="preserve">第二章 </w:t>
      </w:r>
      <w:r>
        <w:rPr>
          <w:rFonts w:eastAsia="黑体"/>
        </w:rPr>
        <w:t xml:space="preserve"> 市场环境</w:t>
      </w:r>
    </w:p>
    <w:p>
      <w:pPr>
        <w:overflowPunct w:val="0"/>
        <w:adjustRightInd w:val="0"/>
        <w:snapToGrid w:val="0"/>
        <w:spacing w:line="540" w:lineRule="exact"/>
        <w:ind w:firstLine="640" w:firstLineChars="200"/>
        <w:rPr>
          <w:rFonts w:eastAsia="黑体"/>
        </w:rPr>
      </w:pPr>
    </w:p>
    <w:p>
      <w:pPr>
        <w:overflowPunct w:val="0"/>
        <w:adjustRightInd w:val="0"/>
        <w:snapToGrid w:val="0"/>
        <w:spacing w:line="540" w:lineRule="exact"/>
        <w:ind w:firstLine="640" w:firstLineChars="200"/>
        <w:rPr>
          <w:bCs/>
        </w:rPr>
      </w:pPr>
      <w:r>
        <w:rPr>
          <w:rFonts w:eastAsia="黑体"/>
        </w:rPr>
        <w:t>第</w:t>
      </w:r>
      <w:r>
        <w:rPr>
          <w:rFonts w:hint="eastAsia" w:eastAsia="黑体"/>
        </w:rPr>
        <w:t>七</w:t>
      </w:r>
      <w:r>
        <w:rPr>
          <w:rFonts w:eastAsia="黑体"/>
        </w:rPr>
        <w:t xml:space="preserve">条  </w:t>
      </w:r>
      <w:r>
        <w:rPr>
          <w:bCs/>
        </w:rPr>
        <w:t>构建覆盖企业全生命周期的服务体系，实施一企（户）一档一码，在企业开办、生产经营、企业退出等方面创造良好环境。</w:t>
      </w:r>
    </w:p>
    <w:p>
      <w:pPr>
        <w:overflowPunct w:val="0"/>
        <w:adjustRightInd w:val="0"/>
        <w:snapToGrid w:val="0"/>
        <w:spacing w:line="540" w:lineRule="exact"/>
        <w:ind w:firstLine="640" w:firstLineChars="200"/>
        <w:rPr>
          <w:bCs/>
        </w:rPr>
      </w:pPr>
      <w:r>
        <w:rPr>
          <w:rFonts w:eastAsia="黑体"/>
        </w:rPr>
        <w:t>第</w:t>
      </w:r>
      <w:r>
        <w:rPr>
          <w:rFonts w:hint="eastAsia" w:eastAsia="黑体"/>
        </w:rPr>
        <w:t>八</w:t>
      </w:r>
      <w:r>
        <w:rPr>
          <w:rFonts w:eastAsia="黑体"/>
        </w:rPr>
        <w:t>条</w:t>
      </w:r>
      <w:r>
        <w:rPr>
          <w:rFonts w:eastAsia="楷体_GB2312"/>
        </w:rPr>
        <w:t xml:space="preserve">  </w:t>
      </w:r>
      <w:r>
        <w:rPr>
          <w:bCs/>
        </w:rPr>
        <w:t>全面落实国家市场准入负面清单制度，国家规定的市场准入负面清单以外的领域，各类市场主体均可以依法平等进入。</w:t>
      </w:r>
    </w:p>
    <w:p>
      <w:pPr>
        <w:overflowPunct w:val="0"/>
        <w:adjustRightInd w:val="0"/>
        <w:snapToGrid w:val="0"/>
        <w:spacing w:line="540" w:lineRule="exact"/>
        <w:ind w:firstLine="640" w:firstLineChars="200"/>
        <w:rPr>
          <w:bCs/>
        </w:rPr>
      </w:pPr>
      <w:r>
        <w:rPr>
          <w:bCs/>
        </w:rPr>
        <w:t>外商投资实施国民待遇加负面清单管理制度。</w:t>
      </w:r>
    </w:p>
    <w:p>
      <w:pPr>
        <w:overflowPunct w:val="0"/>
        <w:adjustRightInd w:val="0"/>
        <w:snapToGrid w:val="0"/>
        <w:spacing w:line="540" w:lineRule="exact"/>
        <w:ind w:firstLine="640" w:firstLineChars="200"/>
        <w:rPr>
          <w:bCs/>
        </w:rPr>
      </w:pPr>
      <w:r>
        <w:rPr>
          <w:rFonts w:eastAsia="黑体"/>
          <w:lang w:bidi="ar"/>
        </w:rPr>
        <w:t>第</w:t>
      </w:r>
      <w:r>
        <w:rPr>
          <w:rFonts w:hint="eastAsia" w:eastAsia="黑体"/>
          <w:lang w:bidi="ar"/>
        </w:rPr>
        <w:t>九</w:t>
      </w:r>
      <w:r>
        <w:rPr>
          <w:rFonts w:eastAsia="黑体"/>
          <w:lang w:bidi="ar"/>
        </w:rPr>
        <w:t>条</w:t>
      </w:r>
      <w:r>
        <w:rPr>
          <w:rFonts w:eastAsia="楷体_GB2312"/>
          <w:lang w:bidi="ar"/>
        </w:rPr>
        <w:t xml:space="preserve">  </w:t>
      </w:r>
      <w:r>
        <w:rPr>
          <w:bCs/>
        </w:rPr>
        <w:t>实行新开办企业营业执照申领、印章刻制、涉税业务办理、预约银行开户、社保登记、住房公积金缴存登记等一网填报、合并申请、一次办理。除依法需要实质审查、前置许可或者涉及金融业务外，开办手续应当在一个工作日内办结。</w:t>
      </w:r>
    </w:p>
    <w:p>
      <w:pPr>
        <w:overflowPunct w:val="0"/>
        <w:adjustRightInd w:val="0"/>
        <w:snapToGrid w:val="0"/>
        <w:spacing w:line="540" w:lineRule="exact"/>
        <w:ind w:firstLine="640" w:firstLineChars="200"/>
        <w:rPr>
          <w:bCs/>
        </w:rPr>
      </w:pPr>
      <w:r>
        <w:rPr>
          <w:rFonts w:eastAsia="黑体"/>
        </w:rPr>
        <w:t>第十条</w:t>
      </w:r>
      <w:r>
        <w:t xml:space="preserve">  </w:t>
      </w:r>
      <w:r>
        <w:rPr>
          <w:bCs/>
        </w:rPr>
        <w:t>推进市场监管、税务、统计、人社、海关、商务等事项年度报告多报合一。年度报告涉及政府有关部门已有的信息，有关部门应当共享，不得要求市场主体重复提交。</w:t>
      </w:r>
    </w:p>
    <w:p>
      <w:pPr>
        <w:overflowPunct w:val="0"/>
        <w:adjustRightInd w:val="0"/>
        <w:snapToGrid w:val="0"/>
        <w:spacing w:line="540" w:lineRule="exact"/>
        <w:ind w:firstLine="640" w:firstLineChars="200"/>
        <w:rPr>
          <w:bCs/>
        </w:rPr>
      </w:pPr>
      <w:r>
        <w:rPr>
          <w:rFonts w:eastAsia="黑体"/>
        </w:rPr>
        <w:t>第十</w:t>
      </w:r>
      <w:r>
        <w:rPr>
          <w:rFonts w:hint="eastAsia" w:eastAsia="黑体"/>
        </w:rPr>
        <w:t>一</w:t>
      </w:r>
      <w:r>
        <w:rPr>
          <w:rFonts w:eastAsia="黑体"/>
        </w:rPr>
        <w:t>条</w:t>
      </w:r>
      <w:r>
        <w:rPr>
          <w:rFonts w:eastAsia="楷体_GB2312"/>
        </w:rPr>
        <w:t xml:space="preserve"> </w:t>
      </w:r>
      <w:r>
        <w:t xml:space="preserve"> </w:t>
      </w:r>
      <w:r>
        <w:rPr>
          <w:bCs/>
        </w:rPr>
        <w:t>对依法设立的涉企行政事业性收费、政府性基金、政府定价的经营服务性收费和涉企保证金，实行目录清单管理，动态调整，定期公布。目录清单之外的</w:t>
      </w:r>
      <w:r>
        <w:rPr>
          <w:rFonts w:hint="eastAsia"/>
          <w:bCs/>
        </w:rPr>
        <w:t>费用</w:t>
      </w:r>
      <w:r>
        <w:rPr>
          <w:bCs/>
        </w:rPr>
        <w:t>，一律不得收取。</w:t>
      </w:r>
    </w:p>
    <w:p>
      <w:pPr>
        <w:overflowPunct w:val="0"/>
        <w:adjustRightInd w:val="0"/>
        <w:snapToGrid w:val="0"/>
        <w:spacing w:line="540" w:lineRule="exact"/>
        <w:ind w:firstLine="640" w:firstLineChars="200"/>
        <w:rPr>
          <w:bCs/>
        </w:rPr>
      </w:pPr>
      <w:r>
        <w:rPr>
          <w:bCs/>
        </w:rPr>
        <w:t>推广以银行保函、保证保险替代现金缴纳涉企保证金。对于信用记录良好的企业，可以按照规定降低涉企保证金比例</w:t>
      </w:r>
      <w:r>
        <w:rPr>
          <w:rFonts w:hint="eastAsia"/>
          <w:bCs/>
        </w:rPr>
        <w:t>或者</w:t>
      </w:r>
      <w:r>
        <w:rPr>
          <w:bCs/>
        </w:rPr>
        <w:t>分期收缴。</w:t>
      </w:r>
    </w:p>
    <w:p>
      <w:pPr>
        <w:overflowPunct w:val="0"/>
        <w:adjustRightInd w:val="0"/>
        <w:snapToGrid w:val="0"/>
        <w:spacing w:line="540" w:lineRule="exact"/>
        <w:ind w:firstLine="640" w:firstLineChars="200"/>
        <w:rPr>
          <w:bCs/>
        </w:rPr>
      </w:pPr>
      <w:r>
        <w:rPr>
          <w:rFonts w:eastAsia="黑体"/>
          <w:lang w:bidi="ar"/>
        </w:rPr>
        <w:t>第十</w:t>
      </w:r>
      <w:r>
        <w:rPr>
          <w:rFonts w:hint="eastAsia" w:eastAsia="黑体"/>
          <w:lang w:bidi="ar"/>
        </w:rPr>
        <w:t>二</w:t>
      </w:r>
      <w:r>
        <w:rPr>
          <w:rFonts w:eastAsia="黑体"/>
          <w:lang w:bidi="ar"/>
        </w:rPr>
        <w:t>条</w:t>
      </w:r>
      <w:r>
        <w:rPr>
          <w:rFonts w:ascii="仿宋_GB2312"/>
          <w:bCs/>
        </w:rPr>
        <w:t xml:space="preserve">  实行</w:t>
      </w:r>
      <w:r>
        <w:rPr>
          <w:bCs/>
        </w:rPr>
        <w:t>公共资源交易目录清单管理，交易目录、规则、结果、监管和信用等信息应当公开透明，市场主体有权获取信息，平等参与交易活动。</w:t>
      </w:r>
    </w:p>
    <w:p>
      <w:pPr>
        <w:overflowPunct w:val="0"/>
        <w:adjustRightInd w:val="0"/>
        <w:snapToGrid w:val="0"/>
        <w:spacing w:line="540" w:lineRule="exact"/>
        <w:ind w:firstLine="640" w:firstLineChars="200"/>
        <w:rPr>
          <w:bCs/>
        </w:rPr>
      </w:pPr>
      <w:r>
        <w:rPr>
          <w:bCs/>
        </w:rPr>
        <w:t>加强公共资源交易综合管理，强化一标一评、标后评估和交易绩效评估等事中事后监管。完善公共资源电子交易平台，推进公共资源交易全流程电子化，推广以电子保函等非现金形式提交投标保证金和履约保证金，降低市场主体交易成本，提高交易效率。</w:t>
      </w:r>
    </w:p>
    <w:p>
      <w:pPr>
        <w:overflowPunct w:val="0"/>
        <w:adjustRightInd w:val="0"/>
        <w:snapToGrid w:val="0"/>
        <w:spacing w:line="540" w:lineRule="exact"/>
        <w:ind w:firstLine="640" w:firstLineChars="200"/>
        <w:rPr>
          <w:bCs/>
        </w:rPr>
      </w:pPr>
      <w:r>
        <w:rPr>
          <w:rFonts w:eastAsia="黑体"/>
          <w:lang w:bidi="ar"/>
        </w:rPr>
        <w:t>第十</w:t>
      </w:r>
      <w:r>
        <w:rPr>
          <w:rFonts w:hint="eastAsia" w:eastAsia="黑体"/>
          <w:lang w:bidi="ar"/>
        </w:rPr>
        <w:t>三</w:t>
      </w:r>
      <w:r>
        <w:rPr>
          <w:rFonts w:eastAsia="黑体"/>
          <w:lang w:bidi="ar"/>
        </w:rPr>
        <w:t>条</w:t>
      </w:r>
      <w:r>
        <w:t xml:space="preserve"> </w:t>
      </w:r>
      <w:r>
        <w:rPr>
          <w:rFonts w:hint="eastAsia"/>
        </w:rPr>
        <w:t xml:space="preserve"> </w:t>
      </w:r>
      <w:r>
        <w:rPr>
          <w:bCs/>
        </w:rPr>
        <w:t>依法保障各类市场主体平等参与招标投标、政府采购等公共资源交易活动的权利，不得限定投标人所在地、所有制形式、组织形式，不得违法设置预选供应商名录，不得对市场主体、商品和服务实施差别对待。</w:t>
      </w:r>
    </w:p>
    <w:p>
      <w:pPr>
        <w:overflowPunct w:val="0"/>
        <w:adjustRightInd w:val="0"/>
        <w:snapToGrid w:val="0"/>
        <w:spacing w:line="540" w:lineRule="exact"/>
        <w:ind w:firstLine="640" w:firstLineChars="200"/>
        <w:rPr>
          <w:bCs/>
        </w:rPr>
      </w:pPr>
      <w:r>
        <w:rPr>
          <w:bCs/>
        </w:rPr>
        <w:t>有关部门应当规范招标投标工作流程，建立招标计划提前发布制度，加快推进招标投标项目业务网上办理，加强对评标专家的监督管理，合理确定招标底价，防止围标串标、恶意低价中标等违法违规行为的发生。</w:t>
      </w:r>
    </w:p>
    <w:p>
      <w:pPr>
        <w:overflowPunct w:val="0"/>
        <w:adjustRightInd w:val="0"/>
        <w:snapToGrid w:val="0"/>
        <w:spacing w:line="540" w:lineRule="exact"/>
        <w:ind w:firstLine="640" w:firstLineChars="200"/>
        <w:rPr>
          <w:bCs/>
        </w:rPr>
      </w:pPr>
      <w:r>
        <w:rPr>
          <w:rFonts w:hint="eastAsia" w:ascii="黑体" w:hAnsi="黑体" w:eastAsia="黑体" w:cs="黑体"/>
        </w:rPr>
        <w:t>第十四条</w:t>
      </w:r>
      <w:r>
        <w:rPr>
          <w:rFonts w:eastAsia="楷体_GB2312"/>
        </w:rPr>
        <w:t xml:space="preserve"> </w:t>
      </w:r>
      <w:r>
        <w:rPr>
          <w:rFonts w:hint="eastAsia" w:eastAsia="楷体_GB2312"/>
        </w:rPr>
        <w:t xml:space="preserve"> </w:t>
      </w:r>
      <w:r>
        <w:rPr>
          <w:bCs/>
        </w:rPr>
        <w:t>健全完善政府性融资担保体系。市、区（市）人民政府应当落实政府性融资担保机构的属地管理责任和出资人职责，各区（市）人民政府可以通过组建本级融资担保机构、入股市级融资担保机构或者开展战略合作等方式完成融资担保体系建设，为符合产业政策、有市场发展潜力的民营企业、中小企业提供融资担保。</w:t>
      </w:r>
    </w:p>
    <w:p>
      <w:pPr>
        <w:overflowPunct w:val="0"/>
        <w:adjustRightInd w:val="0"/>
        <w:snapToGrid w:val="0"/>
        <w:spacing w:line="540" w:lineRule="exact"/>
        <w:ind w:firstLine="640" w:firstLineChars="200"/>
        <w:rPr>
          <w:bCs/>
        </w:rPr>
      </w:pPr>
      <w:r>
        <w:rPr>
          <w:bCs/>
        </w:rPr>
        <w:t>推动政府性融资担保机构增加注册资本，降低担保费率，扩大业务规模，建立健全中小企业融资担保风险补偿机制。</w:t>
      </w:r>
    </w:p>
    <w:p>
      <w:pPr>
        <w:overflowPunct w:val="0"/>
        <w:adjustRightInd w:val="0"/>
        <w:snapToGrid w:val="0"/>
        <w:spacing w:line="540" w:lineRule="exact"/>
        <w:ind w:firstLine="640" w:firstLineChars="200"/>
        <w:rPr>
          <w:bCs/>
        </w:rPr>
      </w:pPr>
      <w:r>
        <w:rPr>
          <w:bCs/>
        </w:rPr>
        <w:t>鼓励、引导金融机构和地方金融组织在依法合规、风险可控的基础上创新金融产品，优化服务流程，拓宽可用作抵（质）押物的范围，合理</w:t>
      </w:r>
      <w:r>
        <w:rPr>
          <w:rFonts w:hint="eastAsia"/>
          <w:bCs/>
        </w:rPr>
        <w:t>确定</w:t>
      </w:r>
      <w:r>
        <w:rPr>
          <w:bCs/>
        </w:rPr>
        <w:t>抵（质）押物的价值，降低企业的融资成本。</w:t>
      </w:r>
    </w:p>
    <w:p>
      <w:pPr>
        <w:overflowPunct w:val="0"/>
        <w:adjustRightInd w:val="0"/>
        <w:snapToGrid w:val="0"/>
        <w:spacing w:line="540" w:lineRule="exact"/>
        <w:ind w:firstLine="640" w:firstLineChars="200"/>
        <w:rPr>
          <w:bCs/>
        </w:rPr>
      </w:pPr>
      <w:r>
        <w:rPr>
          <w:rFonts w:hint="eastAsia" w:ascii="黑体" w:hAnsi="黑体" w:eastAsia="黑体" w:cs="黑体"/>
          <w:bCs/>
        </w:rPr>
        <w:t>第十五条</w:t>
      </w:r>
      <w:r>
        <w:rPr>
          <w:rFonts w:hint="eastAsia"/>
          <w:bCs/>
        </w:rPr>
        <w:t xml:space="preserve">  </w:t>
      </w:r>
      <w:r>
        <w:rPr>
          <w:bCs/>
        </w:rPr>
        <w:t>商业银行等金融机构应当按照国家规定规范收费行为，向社会公开各类服务标准、资费标准和办理时限。不得在授信中设置不合理条件，不得对民营企业、中小企业设置歧视性要求，不得违规向服务对象收取费用。</w:t>
      </w:r>
    </w:p>
    <w:p>
      <w:pPr>
        <w:overflowPunct w:val="0"/>
        <w:adjustRightInd w:val="0"/>
        <w:snapToGrid w:val="0"/>
        <w:spacing w:line="540" w:lineRule="exact"/>
        <w:ind w:firstLine="640" w:firstLineChars="200"/>
        <w:rPr>
          <w:bCs/>
        </w:rPr>
      </w:pPr>
      <w:r>
        <w:rPr>
          <w:bCs/>
        </w:rPr>
        <w:t>鼓励支持符合条件的金融机构在本市设立区域总部或者运营中心，培育产业基金、融资租赁、商业保理等新兴金融业态，发展结构合理、功能互补的金融产业集群。</w:t>
      </w:r>
    </w:p>
    <w:p>
      <w:pPr>
        <w:overflowPunct w:val="0"/>
        <w:adjustRightInd w:val="0"/>
        <w:snapToGrid w:val="0"/>
        <w:spacing w:line="540" w:lineRule="exact"/>
        <w:ind w:firstLine="640" w:firstLineChars="200"/>
        <w:rPr>
          <w:rFonts w:ascii="黑体" w:hAnsi="黑体" w:cs="黑体"/>
          <w:bCs/>
          <w:kern w:val="2"/>
        </w:rPr>
      </w:pPr>
      <w:r>
        <w:rPr>
          <w:rFonts w:eastAsia="黑体"/>
        </w:rPr>
        <w:t>第十</w:t>
      </w:r>
      <w:r>
        <w:rPr>
          <w:rFonts w:hint="eastAsia" w:eastAsia="黑体"/>
        </w:rPr>
        <w:t>六</w:t>
      </w:r>
      <w:r>
        <w:rPr>
          <w:rFonts w:eastAsia="黑体"/>
        </w:rPr>
        <w:t>条</w:t>
      </w:r>
      <w:r>
        <w:rPr>
          <w:rFonts w:eastAsia="楷体_GB2312"/>
        </w:rPr>
        <w:t xml:space="preserve"> </w:t>
      </w:r>
      <w:r>
        <w:rPr>
          <w:rFonts w:hint="eastAsia" w:eastAsia="楷体_GB2312"/>
        </w:rPr>
        <w:t xml:space="preserve"> </w:t>
      </w:r>
      <w:r>
        <w:rPr>
          <w:rFonts w:ascii="黑体" w:hAnsi="黑体" w:cs="黑体"/>
          <w:bCs/>
          <w:kern w:val="2"/>
        </w:rPr>
        <w:t>培育做强基金产业，扩大股权基金融资规模，加大对企业股权投资扶持力度，梯次培育上市后备企业，推动优质企业上市。</w:t>
      </w:r>
    </w:p>
    <w:p>
      <w:pPr>
        <w:overflowPunct w:val="0"/>
        <w:adjustRightInd w:val="0"/>
        <w:snapToGrid w:val="0"/>
        <w:spacing w:line="540" w:lineRule="exact"/>
        <w:ind w:firstLine="640" w:firstLineChars="200"/>
        <w:rPr>
          <w:bCs/>
        </w:rPr>
      </w:pPr>
      <w:r>
        <w:rPr>
          <w:rFonts w:eastAsia="黑体"/>
          <w:lang w:bidi="ar"/>
        </w:rPr>
        <w:t>第十</w:t>
      </w:r>
      <w:r>
        <w:rPr>
          <w:rFonts w:hint="eastAsia" w:eastAsia="黑体"/>
          <w:lang w:bidi="ar"/>
        </w:rPr>
        <w:t>七</w:t>
      </w:r>
      <w:r>
        <w:rPr>
          <w:rFonts w:eastAsia="黑体"/>
          <w:lang w:bidi="ar"/>
        </w:rPr>
        <w:t>条</w:t>
      </w:r>
      <w:r>
        <w:t xml:space="preserve">  </w:t>
      </w:r>
      <w:r>
        <w:rPr>
          <w:rFonts w:ascii="仿宋_GB2312"/>
          <w:bCs/>
        </w:rPr>
        <w:t>供水</w:t>
      </w:r>
      <w:r>
        <w:rPr>
          <w:bCs/>
        </w:rPr>
        <w:t>、供电、供气、供热、通信、排水与污水处理等公用企业，应当向社会公开服务标准、服务流程、办理时限、资费标准、投诉监督电话等信息，简化报装手续，优化办理流程，降低报装成本。不得向市场主体收取公开服务标准以外的任何费用。</w:t>
      </w:r>
      <w:r>
        <w:rPr>
          <w:rFonts w:eastAsia="黑体"/>
          <w:lang w:bidi="ar"/>
        </w:rPr>
        <w:t xml:space="preserve">  </w:t>
      </w:r>
    </w:p>
    <w:p>
      <w:pPr>
        <w:overflowPunct w:val="0"/>
        <w:adjustRightInd w:val="0"/>
        <w:snapToGrid w:val="0"/>
        <w:spacing w:line="540" w:lineRule="exact"/>
        <w:ind w:firstLine="640" w:firstLineChars="200"/>
        <w:rPr>
          <w:bCs/>
        </w:rPr>
      </w:pPr>
      <w:r>
        <w:rPr>
          <w:rFonts w:eastAsia="黑体"/>
          <w:lang w:bidi="ar"/>
        </w:rPr>
        <w:t>第十</w:t>
      </w:r>
      <w:r>
        <w:rPr>
          <w:rFonts w:hint="eastAsia" w:eastAsia="黑体"/>
          <w:lang w:bidi="ar"/>
        </w:rPr>
        <w:t>八</w:t>
      </w:r>
      <w:r>
        <w:rPr>
          <w:rFonts w:eastAsia="黑体"/>
          <w:lang w:bidi="ar"/>
        </w:rPr>
        <w:t>条</w:t>
      </w:r>
      <w:r>
        <w:t xml:space="preserve">  </w:t>
      </w:r>
      <w:r>
        <w:rPr>
          <w:bCs/>
        </w:rPr>
        <w:t>推进铁路物流基地、港口物流枢纽、快递物流园区、大型仓储设施等物流基础设施建设，支持公铁水</w:t>
      </w:r>
      <w:r>
        <w:rPr>
          <w:rFonts w:hint="eastAsia"/>
          <w:bCs/>
        </w:rPr>
        <w:t>空</w:t>
      </w:r>
      <w:r>
        <w:rPr>
          <w:bCs/>
        </w:rPr>
        <w:t>联运发展，规范物流、仓储经营服务性收费，降低货物贸易物流成本，打造区域性物流中心。</w:t>
      </w:r>
    </w:p>
    <w:p>
      <w:pPr>
        <w:overflowPunct w:val="0"/>
        <w:adjustRightInd w:val="0"/>
        <w:snapToGrid w:val="0"/>
        <w:spacing w:line="540" w:lineRule="exact"/>
        <w:ind w:firstLine="640" w:firstLineChars="200"/>
        <w:rPr>
          <w:bCs/>
        </w:rPr>
      </w:pPr>
      <w:r>
        <w:rPr>
          <w:rFonts w:eastAsia="黑体"/>
          <w:lang w:bidi="ar"/>
        </w:rPr>
        <w:t>第</w:t>
      </w:r>
      <w:r>
        <w:rPr>
          <w:rFonts w:hint="eastAsia" w:eastAsia="黑体"/>
          <w:lang w:bidi="ar"/>
        </w:rPr>
        <w:t>十九</w:t>
      </w:r>
      <w:r>
        <w:rPr>
          <w:rFonts w:eastAsia="黑体"/>
          <w:lang w:bidi="ar"/>
        </w:rPr>
        <w:t>条</w:t>
      </w:r>
      <w:r>
        <w:t xml:space="preserve">  </w:t>
      </w:r>
      <w:r>
        <w:rPr>
          <w:bCs/>
        </w:rPr>
        <w:t>支持科技研发资源开放共享，完善研发资源共享服务平台。鼓励企业自主研发和自主创新，加大知识产权投入，提升科技研发能力。通过给予科技金融、创业孵化、技术转移、项目资助等科技服务和政策扶持，促进中小科技企业做大做强。</w:t>
      </w:r>
    </w:p>
    <w:p>
      <w:pPr>
        <w:overflowPunct w:val="0"/>
        <w:adjustRightInd w:val="0"/>
        <w:snapToGrid w:val="0"/>
        <w:spacing w:line="540" w:lineRule="exact"/>
        <w:ind w:firstLine="640" w:firstLineChars="200"/>
        <w:rPr>
          <w:bCs/>
        </w:rPr>
      </w:pPr>
      <w:r>
        <w:rPr>
          <w:bCs/>
        </w:rPr>
        <w:t>培育数字经济新技术、新产业、新业态、新模式，推动数字经济和实体经济深度融合，鼓励企业利用数字技术和互联网平台，加强产业链供应链上下游协同合作，构建数字经济的生态系统。</w:t>
      </w:r>
    </w:p>
    <w:p>
      <w:pPr>
        <w:overflowPunct w:val="0"/>
        <w:adjustRightInd w:val="0"/>
        <w:snapToGrid w:val="0"/>
        <w:spacing w:line="520" w:lineRule="exact"/>
        <w:ind w:firstLine="640" w:firstLineChars="200"/>
        <w:rPr>
          <w:bCs/>
        </w:rPr>
      </w:pPr>
      <w:r>
        <w:rPr>
          <w:rFonts w:eastAsia="黑体"/>
          <w:lang w:bidi="ar"/>
        </w:rPr>
        <w:t>第二十条</w:t>
      </w:r>
      <w:r>
        <w:t xml:space="preserve">  </w:t>
      </w:r>
      <w:r>
        <w:rPr>
          <w:bCs/>
        </w:rPr>
        <w:t>协调推进人才发展体制机制改革和政策创新，健全人才引进、培养、使用、评价、流动、激励机制，实施开放便利的人才引进政策，拓宽招才引智渠道，为高层次人才提供分类认定、待遇落实、创业服务、生活优享等一站式服务。</w:t>
      </w:r>
    </w:p>
    <w:p>
      <w:pPr>
        <w:overflowPunct w:val="0"/>
        <w:adjustRightInd w:val="0"/>
        <w:snapToGrid w:val="0"/>
        <w:spacing w:line="520" w:lineRule="exact"/>
        <w:ind w:firstLine="640" w:firstLineChars="200"/>
        <w:rPr>
          <w:bCs/>
        </w:rPr>
      </w:pPr>
      <w:r>
        <w:rPr>
          <w:rFonts w:hint="eastAsia"/>
          <w:bCs/>
        </w:rPr>
        <w:t>有关部门应当</w:t>
      </w:r>
      <w:r>
        <w:rPr>
          <w:bCs/>
        </w:rPr>
        <w:t>为市场主体提供用工指导、</w:t>
      </w:r>
      <w:r>
        <w:rPr>
          <w:rFonts w:hint="eastAsia"/>
          <w:bCs/>
        </w:rPr>
        <w:t>法律</w:t>
      </w:r>
      <w:r>
        <w:rPr>
          <w:bCs/>
        </w:rPr>
        <w:t>政策咨询、劳动关系协调等服务，维护劳动关系和谐稳定。</w:t>
      </w:r>
    </w:p>
    <w:p>
      <w:pPr>
        <w:overflowPunct w:val="0"/>
        <w:adjustRightInd w:val="0"/>
        <w:snapToGrid w:val="0"/>
        <w:spacing w:line="520" w:lineRule="exact"/>
        <w:ind w:firstLine="640" w:firstLineChars="200"/>
        <w:rPr>
          <w:bCs/>
        </w:rPr>
      </w:pPr>
      <w:r>
        <w:rPr>
          <w:rFonts w:eastAsia="黑体"/>
          <w:lang w:bidi="ar"/>
        </w:rPr>
        <w:t>第二十</w:t>
      </w:r>
      <w:r>
        <w:rPr>
          <w:rFonts w:hint="eastAsia" w:eastAsia="黑体"/>
          <w:lang w:bidi="ar"/>
        </w:rPr>
        <w:t>一</w:t>
      </w:r>
      <w:r>
        <w:rPr>
          <w:rFonts w:eastAsia="黑体"/>
          <w:lang w:bidi="ar"/>
        </w:rPr>
        <w:t>条</w:t>
      </w:r>
      <w:r>
        <w:t xml:space="preserve">  </w:t>
      </w:r>
      <w:r>
        <w:rPr>
          <w:bCs/>
        </w:rPr>
        <w:t>在开发区、工业园区等重点区域，合理设置教育、医疗、养老、托幼、人才公寓、职工公寓、公共交通、停车场等设施，提高公共服务水平。</w:t>
      </w:r>
    </w:p>
    <w:p>
      <w:pPr>
        <w:overflowPunct w:val="0"/>
        <w:adjustRightInd w:val="0"/>
        <w:snapToGrid w:val="0"/>
        <w:spacing w:line="520" w:lineRule="exact"/>
        <w:ind w:firstLine="640" w:firstLineChars="200"/>
        <w:rPr>
          <w:bCs/>
        </w:rPr>
      </w:pPr>
      <w:r>
        <w:rPr>
          <w:rFonts w:eastAsia="黑体"/>
          <w:lang w:bidi="ar"/>
        </w:rPr>
        <w:t>第二十</w:t>
      </w:r>
      <w:r>
        <w:rPr>
          <w:rFonts w:hint="eastAsia" w:eastAsia="黑体"/>
          <w:lang w:bidi="ar"/>
        </w:rPr>
        <w:t>二</w:t>
      </w:r>
      <w:r>
        <w:rPr>
          <w:rFonts w:eastAsia="黑体"/>
          <w:lang w:bidi="ar"/>
        </w:rPr>
        <w:t>条</w:t>
      </w:r>
      <w:r>
        <w:t xml:space="preserve">  </w:t>
      </w:r>
      <w:r>
        <w:rPr>
          <w:bCs/>
        </w:rPr>
        <w:t>培育和规范各类行业协会商会。行业协会商会应当加强行业自律，及时反映行业诉求，参与制定和推广实施符合高质量发展要求的行业标准，为市场主体提供信息咨询、宣传培训、市场拓展、权益保护、纠纷处理以及人才评价等方面的服务。</w:t>
      </w:r>
    </w:p>
    <w:p>
      <w:pPr>
        <w:overflowPunct w:val="0"/>
        <w:adjustRightInd w:val="0"/>
        <w:snapToGrid w:val="0"/>
        <w:spacing w:line="520" w:lineRule="exact"/>
        <w:ind w:firstLine="640" w:firstLineChars="200"/>
        <w:rPr>
          <w:bCs/>
        </w:rPr>
      </w:pPr>
      <w:r>
        <w:rPr>
          <w:rFonts w:eastAsia="黑体"/>
          <w:lang w:bidi="ar"/>
        </w:rPr>
        <w:t>第二十</w:t>
      </w:r>
      <w:r>
        <w:rPr>
          <w:rFonts w:hint="eastAsia" w:eastAsia="黑体"/>
          <w:lang w:bidi="ar"/>
        </w:rPr>
        <w:t>三</w:t>
      </w:r>
      <w:r>
        <w:rPr>
          <w:rFonts w:eastAsia="黑体"/>
          <w:lang w:bidi="ar"/>
        </w:rPr>
        <w:t>条</w:t>
      </w:r>
      <w:r>
        <w:rPr>
          <w:rFonts w:ascii="仿宋_GB2312"/>
          <w:bCs/>
        </w:rPr>
        <w:t xml:space="preserve">  因突发事件造成市场主体普遍性生产经营困难的，市、区（市）人民</w:t>
      </w:r>
      <w:r>
        <w:rPr>
          <w:bCs/>
        </w:rPr>
        <w:t>政府应当依法采取救助、补偿、减免等帮扶措施，支持市场主体正常开展生产经营，促进经济社会平稳健康发展。</w:t>
      </w:r>
    </w:p>
    <w:p>
      <w:pPr>
        <w:overflowPunct w:val="0"/>
        <w:adjustRightInd w:val="0"/>
        <w:snapToGrid w:val="0"/>
        <w:spacing w:line="520" w:lineRule="exact"/>
        <w:ind w:firstLine="640" w:firstLineChars="200"/>
        <w:rPr>
          <w:bCs/>
        </w:rPr>
      </w:pPr>
      <w:r>
        <w:rPr>
          <w:rFonts w:eastAsia="黑体"/>
          <w:lang w:bidi="ar"/>
        </w:rPr>
        <w:t>第二十</w:t>
      </w:r>
      <w:r>
        <w:rPr>
          <w:rFonts w:hint="eastAsia" w:eastAsia="黑体"/>
          <w:lang w:bidi="ar"/>
        </w:rPr>
        <w:t>四</w:t>
      </w:r>
      <w:r>
        <w:rPr>
          <w:rFonts w:eastAsia="黑体"/>
          <w:lang w:bidi="ar"/>
        </w:rPr>
        <w:t>条</w:t>
      </w:r>
      <w:r>
        <w:rPr>
          <w:rFonts w:ascii="仿宋_GB2312"/>
          <w:bCs/>
        </w:rPr>
        <w:t xml:space="preserve">  </w:t>
      </w:r>
      <w:r>
        <w:rPr>
          <w:rFonts w:hint="eastAsia" w:ascii="仿宋_GB2312" w:hAnsi="仿宋_GB2312" w:cs="仿宋_GB2312"/>
          <w:shd w:val="clear" w:color="auto" w:fill="FFFFFF"/>
          <w:lang w:bidi="ar"/>
        </w:rPr>
        <w:t>国家机关、事业单位</w:t>
      </w:r>
      <w:r>
        <w:rPr>
          <w:bCs/>
        </w:rPr>
        <w:t>不得违反合同约定拖欠市场主体的货物、工程、服务等账款，国有企业、大型企业不得利用优势地位拖欠民营企业、中小企业账款。</w:t>
      </w:r>
    </w:p>
    <w:p>
      <w:pPr>
        <w:overflowPunct w:val="0"/>
        <w:adjustRightInd w:val="0"/>
        <w:snapToGrid w:val="0"/>
        <w:spacing w:line="520" w:lineRule="exact"/>
        <w:ind w:firstLine="640" w:firstLineChars="200"/>
        <w:rPr>
          <w:bCs/>
        </w:rPr>
      </w:pPr>
      <w:r>
        <w:rPr>
          <w:rFonts w:hint="eastAsia"/>
          <w:bCs/>
        </w:rPr>
        <w:t>市、区（市）</w:t>
      </w:r>
      <w:r>
        <w:rPr>
          <w:bCs/>
        </w:rPr>
        <w:t>人民政府及其有关部门应当加大对国家机关、事业单位拖欠市场主体账款的清理力度，并通过加强预算管理、严格责任追究等措施，建立防范和治理国家机关、事业单位拖欠市场主体账款的长效机制和约束惩戒机制。</w:t>
      </w:r>
    </w:p>
    <w:p>
      <w:pPr>
        <w:overflowPunct w:val="0"/>
        <w:adjustRightInd w:val="0"/>
        <w:snapToGrid w:val="0"/>
        <w:spacing w:line="520" w:lineRule="exact"/>
        <w:ind w:firstLine="640" w:firstLineChars="200"/>
        <w:rPr>
          <w:bCs/>
        </w:rPr>
      </w:pPr>
      <w:r>
        <w:rPr>
          <w:rFonts w:eastAsia="黑体"/>
          <w:lang w:bidi="ar"/>
        </w:rPr>
        <w:t>第二十</w:t>
      </w:r>
      <w:r>
        <w:rPr>
          <w:rFonts w:hint="eastAsia" w:eastAsia="黑体"/>
          <w:lang w:bidi="ar"/>
        </w:rPr>
        <w:t>五</w:t>
      </w:r>
      <w:r>
        <w:rPr>
          <w:rFonts w:eastAsia="黑体"/>
          <w:lang w:bidi="ar"/>
        </w:rPr>
        <w:t>条</w:t>
      </w:r>
      <w:r>
        <w:t xml:space="preserve">  </w:t>
      </w:r>
      <w:r>
        <w:rPr>
          <w:bCs/>
        </w:rPr>
        <w:t>优化市场主体退出流程，推进涉企注销登记业务协同，实现办理进度和结果实时共享。探索建立营业执照与许可证同步注销机制，构建便捷高效的市场退出制度。</w:t>
      </w:r>
    </w:p>
    <w:p>
      <w:pPr>
        <w:overflowPunct w:val="0"/>
        <w:adjustRightInd w:val="0"/>
        <w:snapToGrid w:val="0"/>
        <w:spacing w:line="520" w:lineRule="exact"/>
        <w:ind w:firstLine="640" w:firstLineChars="200"/>
        <w:rPr>
          <w:rFonts w:ascii="仿宋_GB2312" w:hAnsi="仿宋_GB2312" w:cs="仿宋_GB2312"/>
          <w:bCs/>
        </w:rPr>
      </w:pPr>
      <w:r>
        <w:rPr>
          <w:rFonts w:eastAsia="黑体"/>
          <w:lang w:bidi="ar"/>
        </w:rPr>
        <w:t>第二十</w:t>
      </w:r>
      <w:r>
        <w:rPr>
          <w:rFonts w:hint="eastAsia" w:eastAsia="黑体"/>
          <w:lang w:bidi="ar"/>
        </w:rPr>
        <w:t>六</w:t>
      </w:r>
      <w:r>
        <w:rPr>
          <w:rFonts w:eastAsia="黑体"/>
          <w:lang w:bidi="ar"/>
        </w:rPr>
        <w:t>条</w:t>
      </w:r>
      <w:r>
        <w:t xml:space="preserve">  </w:t>
      </w:r>
      <w:r>
        <w:rPr>
          <w:rFonts w:hint="eastAsia" w:ascii="仿宋_GB2312" w:hAnsi="仿宋_GB2312" w:cs="仿宋_GB2312"/>
          <w:bCs/>
        </w:rPr>
        <w:t>市、区（市）人民政府和人民法院应当建立健全破产审判府院联动机制，协调解决企业破产启动、职工安置、资产处置、信用修复、涉税事项处理等问题，提高审判效率。</w:t>
      </w:r>
    </w:p>
    <w:p>
      <w:pPr>
        <w:overflowPunct w:val="0"/>
        <w:adjustRightInd w:val="0"/>
        <w:snapToGrid w:val="0"/>
        <w:spacing w:line="520" w:lineRule="exact"/>
        <w:ind w:firstLine="640" w:firstLineChars="200"/>
        <w:rPr>
          <w:bCs/>
        </w:rPr>
      </w:pPr>
      <w:r>
        <w:rPr>
          <w:rFonts w:hint="eastAsia" w:ascii="仿宋_GB2312" w:hAnsi="仿宋_GB2312" w:cs="仿宋_GB2312"/>
          <w:bCs/>
        </w:rPr>
        <w:t>人民法院应当健全“执转破”工作机制，推进预重整、重整识别，完善市场主体救治和退出机制。优化破产案件办理流程，加强破产审判专业化建设。建立破产企业动态资产信息化处理机制，</w:t>
      </w:r>
      <w:r>
        <w:rPr>
          <w:bCs/>
        </w:rPr>
        <w:t>引导投资人参与破产重整和资产变现。</w:t>
      </w:r>
    </w:p>
    <w:p>
      <w:pPr>
        <w:tabs>
          <w:tab w:val="left" w:pos="0"/>
        </w:tabs>
        <w:overflowPunct w:val="0"/>
        <w:adjustRightInd w:val="0"/>
        <w:snapToGrid w:val="0"/>
        <w:spacing w:line="520" w:lineRule="exact"/>
        <w:rPr>
          <w:rFonts w:eastAsia="黑体"/>
        </w:rPr>
      </w:pPr>
    </w:p>
    <w:p>
      <w:pPr>
        <w:tabs>
          <w:tab w:val="left" w:pos="0"/>
        </w:tabs>
        <w:overflowPunct w:val="0"/>
        <w:adjustRightInd w:val="0"/>
        <w:snapToGrid w:val="0"/>
        <w:spacing w:line="520" w:lineRule="exact"/>
        <w:jc w:val="center"/>
        <w:rPr>
          <w:rFonts w:eastAsia="黑体"/>
        </w:rPr>
      </w:pPr>
      <w:r>
        <w:rPr>
          <w:rFonts w:eastAsia="黑体"/>
        </w:rPr>
        <w:t>第三章  政务服务</w:t>
      </w:r>
    </w:p>
    <w:p>
      <w:pPr>
        <w:overflowPunct w:val="0"/>
        <w:adjustRightInd w:val="0"/>
        <w:snapToGrid w:val="0"/>
        <w:spacing w:line="520" w:lineRule="exact"/>
        <w:ind w:firstLine="640" w:firstLineChars="200"/>
        <w:rPr>
          <w:rFonts w:eastAsia="黑体"/>
          <w:lang w:bidi="ar"/>
        </w:rPr>
      </w:pPr>
    </w:p>
    <w:p>
      <w:pPr>
        <w:overflowPunct w:val="0"/>
        <w:adjustRightInd w:val="0"/>
        <w:snapToGrid w:val="0"/>
        <w:spacing w:line="540" w:lineRule="exact"/>
        <w:ind w:firstLine="640" w:firstLineChars="200"/>
        <w:rPr>
          <w:rFonts w:ascii="仿宋_GB2312" w:hAnsi="仿宋_GB2312" w:cs="仿宋_GB2312"/>
          <w:bCs/>
        </w:rPr>
      </w:pPr>
      <w:r>
        <w:rPr>
          <w:rFonts w:eastAsia="黑体"/>
          <w:lang w:bidi="ar"/>
        </w:rPr>
        <w:t>第</w:t>
      </w:r>
      <w:r>
        <w:rPr>
          <w:rFonts w:hint="eastAsia" w:eastAsia="黑体"/>
          <w:lang w:bidi="ar"/>
        </w:rPr>
        <w:t>二十七</w:t>
      </w:r>
      <w:r>
        <w:rPr>
          <w:rFonts w:eastAsia="黑体"/>
          <w:lang w:bidi="ar"/>
        </w:rPr>
        <w:t>条</w:t>
      </w:r>
      <w:r>
        <w:rPr>
          <w:rFonts w:eastAsia="楷体_GB2312"/>
        </w:rPr>
        <w:t xml:space="preserve">  </w:t>
      </w:r>
      <w:r>
        <w:rPr>
          <w:rFonts w:hint="eastAsia" w:ascii="仿宋_GB2312" w:hAnsi="仿宋_GB2312" w:cs="仿宋_GB2312"/>
          <w:bCs/>
        </w:rPr>
        <w:t>市、区（市）人民政府应当加强服务型政府建设，设立统一的政务服务中心，实行政务服务事项综合受理、集中办理、帮办服务。镇人民政府、街道办事处应当设立</w:t>
      </w:r>
      <w:r>
        <w:fldChar w:fldCharType="begin"/>
      </w:r>
      <w:r>
        <w:instrText xml:space="preserve"> HYPERLINK "https://baike.baidu.com/item/便民服务中心/10717428" \l "_blank" </w:instrText>
      </w:r>
      <w:r>
        <w:fldChar w:fldCharType="separate"/>
      </w:r>
      <w:r>
        <w:rPr>
          <w:rFonts w:hint="eastAsia" w:ascii="仿宋_GB2312" w:hAnsi="仿宋_GB2312" w:cs="仿宋_GB2312"/>
          <w:bCs/>
        </w:rPr>
        <w:t>便民服务中心</w:t>
      </w:r>
      <w:r>
        <w:rPr>
          <w:rFonts w:hint="eastAsia" w:ascii="仿宋_GB2312" w:hAnsi="仿宋_GB2312" w:cs="仿宋_GB2312"/>
          <w:bCs/>
        </w:rPr>
        <w:fldChar w:fldCharType="end"/>
      </w:r>
      <w:r>
        <w:rPr>
          <w:rFonts w:hint="eastAsia" w:ascii="仿宋_GB2312" w:hAnsi="仿宋_GB2312" w:cs="仿宋_GB2312"/>
          <w:bCs/>
        </w:rPr>
        <w:t>，村、社区应当设立便民服务站，提供政务服务事项办理延伸服务。推动建设集智慧办事、宣教互动、公益服务等功能于一体的现代政务综合体。</w:t>
      </w:r>
    </w:p>
    <w:p>
      <w:pPr>
        <w:overflowPunct w:val="0"/>
        <w:adjustRightInd w:val="0"/>
        <w:snapToGrid w:val="0"/>
        <w:spacing w:line="540" w:lineRule="exact"/>
        <w:ind w:firstLine="640" w:firstLineChars="200"/>
      </w:pPr>
      <w:r>
        <w:rPr>
          <w:rFonts w:hint="eastAsia" w:ascii="仿宋_GB2312" w:hAnsi="仿宋_GB2312" w:cs="仿宋_GB2312"/>
        </w:rPr>
        <w:t>各类政务服务事项应当进驻政务服务中心、便民服务中心办理，法律、法规另有规定或者对场地有特殊要求的除外。</w:t>
      </w:r>
    </w:p>
    <w:p>
      <w:pPr>
        <w:overflowPunct w:val="0"/>
        <w:adjustRightInd w:val="0"/>
        <w:snapToGrid w:val="0"/>
        <w:spacing w:line="540" w:lineRule="exact"/>
        <w:ind w:firstLine="640" w:firstLineChars="200"/>
        <w:rPr>
          <w:rFonts w:ascii="仿宋_GB2312"/>
          <w:bCs/>
        </w:rPr>
      </w:pPr>
      <w:r>
        <w:rPr>
          <w:rFonts w:eastAsia="黑体"/>
          <w:lang w:bidi="ar"/>
        </w:rPr>
        <w:t>第</w:t>
      </w:r>
      <w:r>
        <w:rPr>
          <w:rFonts w:hint="eastAsia" w:eastAsia="黑体"/>
          <w:lang w:bidi="ar"/>
        </w:rPr>
        <w:t>二十八</w:t>
      </w:r>
      <w:r>
        <w:rPr>
          <w:rFonts w:eastAsia="黑体"/>
          <w:lang w:bidi="ar"/>
        </w:rPr>
        <w:t>条</w:t>
      </w:r>
      <w:r>
        <w:rPr>
          <w:rFonts w:hint="eastAsia" w:eastAsia="黑体"/>
          <w:lang w:bidi="ar"/>
        </w:rPr>
        <w:t xml:space="preserve">  </w:t>
      </w:r>
      <w:r>
        <w:rPr>
          <w:rFonts w:hint="eastAsia" w:ascii="仿宋_GB2312" w:hAnsi="仿宋_GB2312" w:cs="仿宋_GB2312"/>
          <w:bCs/>
        </w:rPr>
        <w:t>打造“枣办好”政务服务品牌。政务服务中心、</w:t>
      </w:r>
      <w:r>
        <w:fldChar w:fldCharType="begin"/>
      </w:r>
      <w:r>
        <w:instrText xml:space="preserve"> HYPERLINK "https://baike.baidu.com/item/便民服务中心/10717428" \l "_blank" </w:instrText>
      </w:r>
      <w:r>
        <w:fldChar w:fldCharType="separate"/>
      </w:r>
      <w:r>
        <w:rPr>
          <w:rFonts w:hint="eastAsia" w:ascii="仿宋_GB2312" w:hAnsi="仿宋_GB2312" w:cs="仿宋_GB2312"/>
          <w:bCs/>
        </w:rPr>
        <w:t>便民服务中心</w:t>
      </w:r>
      <w:r>
        <w:rPr>
          <w:rFonts w:hint="eastAsia" w:ascii="仿宋_GB2312" w:hAnsi="仿宋_GB2312" w:cs="仿宋_GB2312"/>
          <w:bCs/>
        </w:rPr>
        <w:fldChar w:fldCharType="end"/>
      </w:r>
      <w:r>
        <w:rPr>
          <w:rFonts w:hint="eastAsia" w:ascii="仿宋_GB2312" w:hAnsi="仿宋_GB2312" w:cs="仿宋_GB2312"/>
          <w:bCs/>
        </w:rPr>
        <w:t>推行“午间不断档·全年不打烊”等错时、延时、预约服务。推进政务服务网上办、掌上办、自助办、智能办，为市场主体快速办事、随时办事</w:t>
      </w:r>
      <w:r>
        <w:rPr>
          <w:rFonts w:hint="eastAsia" w:ascii="仿宋_GB2312"/>
          <w:bCs/>
        </w:rPr>
        <w:t>提供便利。对老年人、残疾人等特殊群体提供业务帮办、上门服务等个性化服务。</w:t>
      </w:r>
    </w:p>
    <w:p>
      <w:pPr>
        <w:overflowPunct w:val="0"/>
        <w:adjustRightInd w:val="0"/>
        <w:snapToGrid w:val="0"/>
        <w:spacing w:line="540" w:lineRule="exact"/>
        <w:ind w:firstLine="640" w:firstLineChars="200"/>
        <w:rPr>
          <w:rFonts w:ascii="仿宋_GB2312" w:hAnsi="仿宋_GB2312" w:cs="仿宋_GB2312"/>
        </w:rPr>
      </w:pPr>
      <w:r>
        <w:rPr>
          <w:rFonts w:eastAsia="黑体"/>
          <w:lang w:bidi="ar"/>
        </w:rPr>
        <w:t>第</w:t>
      </w:r>
      <w:r>
        <w:rPr>
          <w:rFonts w:hint="eastAsia" w:eastAsia="黑体"/>
          <w:lang w:bidi="ar"/>
        </w:rPr>
        <w:t>二十九</w:t>
      </w:r>
      <w:r>
        <w:rPr>
          <w:rFonts w:eastAsia="黑体"/>
          <w:lang w:bidi="ar"/>
        </w:rPr>
        <w:t>条</w:t>
      </w:r>
      <w:r>
        <w:t xml:space="preserve">  </w:t>
      </w:r>
      <w:r>
        <w:rPr>
          <w:rFonts w:hint="eastAsia" w:ascii="仿宋_GB2312" w:hAnsi="仿宋_GB2312" w:cs="仿宋_GB2312"/>
        </w:rPr>
        <w:t>市、区（市）人民政府应当公布“最多跑一次”事项清单，优化办事流程，精简办事环节，实现当场办结、一次办结。需要进行现场踏勘、现场核查、技术审查、听证论证等不能当场办结的，应当限时办结。</w:t>
      </w:r>
    </w:p>
    <w:p>
      <w:pPr>
        <w:overflowPunct w:val="0"/>
        <w:adjustRightInd w:val="0"/>
        <w:snapToGrid w:val="0"/>
        <w:spacing w:line="540" w:lineRule="exact"/>
        <w:ind w:firstLine="640" w:firstLineChars="200"/>
      </w:pPr>
      <w:r>
        <w:rPr>
          <w:rFonts w:hint="eastAsia" w:ascii="仿宋_GB2312" w:hAnsi="仿宋_GB2312" w:cs="仿宋_GB2312"/>
        </w:rPr>
        <w:t>完善告知承诺和容缺受理工作机制，公布告知承诺、容缺受理事项清单。</w:t>
      </w:r>
    </w:p>
    <w:p>
      <w:pPr>
        <w:overflowPunct w:val="0"/>
        <w:adjustRightInd w:val="0"/>
        <w:snapToGrid w:val="0"/>
        <w:spacing w:line="540" w:lineRule="exact"/>
        <w:ind w:firstLine="640" w:firstLineChars="200"/>
        <w:rPr>
          <w:bCs/>
        </w:rPr>
      </w:pPr>
      <w:r>
        <w:rPr>
          <w:rFonts w:eastAsia="黑体"/>
          <w:lang w:bidi="ar"/>
        </w:rPr>
        <w:t>第</w:t>
      </w:r>
      <w:r>
        <w:rPr>
          <w:rFonts w:hint="eastAsia" w:eastAsia="黑体"/>
          <w:lang w:bidi="ar"/>
        </w:rPr>
        <w:t>三十</w:t>
      </w:r>
      <w:r>
        <w:rPr>
          <w:rFonts w:eastAsia="黑体"/>
          <w:lang w:bidi="ar"/>
        </w:rPr>
        <w:t>条</w:t>
      </w:r>
      <w:r>
        <w:t xml:space="preserve">  </w:t>
      </w:r>
      <w:r>
        <w:rPr>
          <w:bCs/>
        </w:rPr>
        <w:t>大数据</w:t>
      </w:r>
      <w:r>
        <w:rPr>
          <w:rFonts w:hint="eastAsia"/>
          <w:bCs/>
        </w:rPr>
        <w:t>等</w:t>
      </w:r>
      <w:r>
        <w:rPr>
          <w:bCs/>
        </w:rPr>
        <w:t>部门应当归集人口、法人单位、空间地理、电子证照、社会信用等相关数据，做好本级一体化大数据平台建设的运行和维护，推动跨区域、跨部门、跨层级政务数据共享交换和业务协同。</w:t>
      </w:r>
    </w:p>
    <w:p>
      <w:pPr>
        <w:overflowPunct w:val="0"/>
        <w:adjustRightInd w:val="0"/>
        <w:snapToGrid w:val="0"/>
        <w:spacing w:line="540" w:lineRule="exact"/>
        <w:ind w:firstLine="640" w:firstLineChars="200"/>
        <w:rPr>
          <w:bCs/>
        </w:rPr>
      </w:pPr>
      <w:r>
        <w:rPr>
          <w:bCs/>
        </w:rPr>
        <w:t>市、区（市）人民政府有关部门应当按照职责，准确、及时、完整地向政务服务平台汇集政务信息，促进数据共享，实现数据赋能增值。</w:t>
      </w:r>
    </w:p>
    <w:p>
      <w:pPr>
        <w:overflowPunct w:val="0"/>
        <w:adjustRightInd w:val="0"/>
        <w:snapToGrid w:val="0"/>
        <w:spacing w:line="540" w:lineRule="exact"/>
        <w:ind w:firstLine="640" w:firstLineChars="200"/>
        <w:rPr>
          <w:rFonts w:ascii="仿宋_GB2312" w:hAnsi="仿宋_GB2312" w:cs="仿宋_GB2312"/>
          <w:bCs/>
        </w:rPr>
      </w:pPr>
      <w:r>
        <w:rPr>
          <w:rFonts w:eastAsia="黑体"/>
          <w:lang w:bidi="ar"/>
        </w:rPr>
        <w:t>第三十</w:t>
      </w:r>
      <w:r>
        <w:rPr>
          <w:rFonts w:hint="eastAsia" w:eastAsia="黑体"/>
          <w:lang w:bidi="ar"/>
        </w:rPr>
        <w:t>一</w:t>
      </w:r>
      <w:r>
        <w:rPr>
          <w:rFonts w:eastAsia="黑体"/>
          <w:lang w:bidi="ar"/>
        </w:rPr>
        <w:t>条</w:t>
      </w:r>
      <w:r>
        <w:rPr>
          <w:rFonts w:ascii="仿宋_GB2312"/>
          <w:bCs/>
        </w:rPr>
        <w:t xml:space="preserve">  </w:t>
      </w:r>
      <w:r>
        <w:rPr>
          <w:rFonts w:hint="eastAsia" w:ascii="仿宋_GB2312"/>
          <w:bCs/>
        </w:rPr>
        <w:t>建立</w:t>
      </w:r>
      <w:r>
        <w:rPr>
          <w:rFonts w:hint="eastAsia" w:ascii="仿宋_GB2312" w:hAnsi="仿宋_GB2312" w:cs="仿宋_GB2312"/>
          <w:bCs/>
        </w:rPr>
        <w:t>完善一体化在线政务服务平台，推动政务服务事项一网通办。</w:t>
      </w:r>
    </w:p>
    <w:p>
      <w:pPr>
        <w:overflowPunct w:val="0"/>
        <w:adjustRightInd w:val="0"/>
        <w:snapToGrid w:val="0"/>
        <w:spacing w:line="540" w:lineRule="exact"/>
        <w:ind w:firstLine="640" w:firstLineChars="200"/>
        <w:rPr>
          <w:bCs/>
        </w:rPr>
      </w:pPr>
      <w:r>
        <w:rPr>
          <w:bCs/>
        </w:rPr>
        <w:t>行政审批</w:t>
      </w:r>
      <w:r>
        <w:rPr>
          <w:rFonts w:hint="eastAsia"/>
          <w:bCs/>
        </w:rPr>
        <w:t>服务</w:t>
      </w:r>
      <w:r>
        <w:rPr>
          <w:bCs/>
        </w:rPr>
        <w:t>等有关部门应当推动政务服务事项网上填报、提交和审查，对各级人民政府及其有关部门核发的可实现共享的材料免予提交，能够提供电子证照的免予提交实体证照，前端流程已经收取的材料不得要求重复提交。</w:t>
      </w:r>
    </w:p>
    <w:p>
      <w:pPr>
        <w:overflowPunct w:val="0"/>
        <w:adjustRightInd w:val="0"/>
        <w:snapToGrid w:val="0"/>
        <w:spacing w:line="540" w:lineRule="exact"/>
        <w:ind w:firstLine="640" w:firstLineChars="200"/>
        <w:rPr>
          <w:bCs/>
        </w:rPr>
      </w:pPr>
      <w:r>
        <w:rPr>
          <w:bCs/>
        </w:rPr>
        <w:t>有关部门应当对与市场主体密切相关的重点领域和办件量较大的高频事项，推动跨部门、跨行业、跨层级办理，在政务服务平台设置网上办事入口，实现一口申报、数据共享、协同办理、统一出件。</w:t>
      </w:r>
    </w:p>
    <w:p>
      <w:pPr>
        <w:overflowPunct w:val="0"/>
        <w:adjustRightInd w:val="0"/>
        <w:snapToGrid w:val="0"/>
        <w:spacing w:line="540" w:lineRule="exact"/>
        <w:ind w:firstLine="640" w:firstLineChars="200"/>
        <w:rPr>
          <w:bCs/>
        </w:rPr>
      </w:pPr>
      <w:r>
        <w:rPr>
          <w:rFonts w:eastAsia="黑体"/>
          <w:lang w:bidi="ar"/>
        </w:rPr>
        <w:t>第三十</w:t>
      </w:r>
      <w:r>
        <w:rPr>
          <w:rFonts w:hint="eastAsia" w:eastAsia="黑体"/>
          <w:lang w:bidi="ar"/>
        </w:rPr>
        <w:t>二</w:t>
      </w:r>
      <w:r>
        <w:rPr>
          <w:rFonts w:eastAsia="黑体"/>
          <w:lang w:bidi="ar"/>
        </w:rPr>
        <w:t xml:space="preserve">条  </w:t>
      </w:r>
      <w:r>
        <w:rPr>
          <w:rFonts w:hint="eastAsia"/>
          <w:bCs/>
        </w:rPr>
        <w:t>市、区（市）</w:t>
      </w:r>
      <w:r>
        <w:rPr>
          <w:bCs/>
        </w:rPr>
        <w:t>人民政府及其有关部门应当推进工程建设项目审批制度改革，精简审批环节和事项，压减审批时间，推行工程建设项目分级分类管理和全流程监管。健全工程建设项目联审机制，提升一窗受理、并联审批、联合审图、联合验收等审批效率。</w:t>
      </w:r>
    </w:p>
    <w:p>
      <w:pPr>
        <w:overflowPunct w:val="0"/>
        <w:adjustRightInd w:val="0"/>
        <w:snapToGrid w:val="0"/>
        <w:spacing w:line="540" w:lineRule="exact"/>
        <w:ind w:firstLine="640" w:firstLineChars="200"/>
        <w:rPr>
          <w:bCs/>
        </w:rPr>
      </w:pPr>
      <w:r>
        <w:rPr>
          <w:bCs/>
        </w:rPr>
        <w:t>推进公用企业信息化平台与政务服务平台、工程建设项目审批管理系统互联互通。健全接入工程并联审批机制，对符合条件的公用基础设施接入工程实行告知承诺制、备案制、限时办结制，推行接入工程联合施工。</w:t>
      </w:r>
      <w:r>
        <w:rPr>
          <w:rFonts w:eastAsia="楷体_GB2312"/>
        </w:rPr>
        <w:t xml:space="preserve"> </w:t>
      </w:r>
    </w:p>
    <w:p>
      <w:pPr>
        <w:overflowPunct w:val="0"/>
        <w:adjustRightInd w:val="0"/>
        <w:snapToGrid w:val="0"/>
        <w:spacing w:line="540" w:lineRule="exact"/>
        <w:ind w:firstLine="640" w:firstLineChars="200"/>
        <w:rPr>
          <w:bCs/>
        </w:rPr>
      </w:pPr>
      <w:r>
        <w:rPr>
          <w:rFonts w:eastAsia="黑体"/>
          <w:lang w:bidi="ar"/>
        </w:rPr>
        <w:t>第三十</w:t>
      </w:r>
      <w:r>
        <w:rPr>
          <w:rFonts w:hint="eastAsia" w:eastAsia="黑体"/>
          <w:lang w:bidi="ar"/>
        </w:rPr>
        <w:t>三</w:t>
      </w:r>
      <w:r>
        <w:rPr>
          <w:rFonts w:eastAsia="黑体"/>
          <w:lang w:bidi="ar"/>
        </w:rPr>
        <w:t>条</w:t>
      </w:r>
      <w:r>
        <w:t xml:space="preserve">  </w:t>
      </w:r>
      <w:r>
        <w:rPr>
          <w:bCs/>
        </w:rPr>
        <w:t>税务机关应当优化办税缴费流程，依法推进相关税费综合申报，压减纳税缴费次数和时间</w:t>
      </w:r>
      <w:r>
        <w:rPr>
          <w:rFonts w:hint="eastAsia"/>
          <w:bCs/>
        </w:rPr>
        <w:t>，</w:t>
      </w:r>
      <w:r>
        <w:rPr>
          <w:bCs/>
        </w:rPr>
        <w:t>减轻办税缴费负担。推动税费业务智能化服务</w:t>
      </w:r>
      <w:r>
        <w:rPr>
          <w:rFonts w:hint="eastAsia"/>
          <w:bCs/>
        </w:rPr>
        <w:t>，</w:t>
      </w:r>
      <w:r>
        <w:rPr>
          <w:bCs/>
        </w:rPr>
        <w:t>拓展网上、移动、邮寄、自助等服务方式，推广使用电子发票和全程网上办税。</w:t>
      </w:r>
    </w:p>
    <w:p>
      <w:pPr>
        <w:overflowPunct w:val="0"/>
        <w:adjustRightInd w:val="0"/>
        <w:snapToGrid w:val="0"/>
        <w:spacing w:line="540" w:lineRule="exact"/>
        <w:ind w:firstLine="640" w:firstLineChars="200"/>
        <w:rPr>
          <w:rFonts w:ascii="仿宋_GB2312" w:hAnsi="仿宋_GB2312" w:cs="仿宋_GB2312"/>
          <w:lang w:bidi="ar"/>
        </w:rPr>
      </w:pPr>
      <w:r>
        <w:rPr>
          <w:rFonts w:eastAsia="黑体"/>
          <w:lang w:bidi="ar"/>
        </w:rPr>
        <w:t>第三十</w:t>
      </w:r>
      <w:r>
        <w:rPr>
          <w:rFonts w:hint="eastAsia" w:eastAsia="黑体"/>
          <w:lang w:bidi="ar"/>
        </w:rPr>
        <w:t>四</w:t>
      </w:r>
      <w:r>
        <w:rPr>
          <w:rFonts w:eastAsia="黑体"/>
          <w:lang w:bidi="ar"/>
        </w:rPr>
        <w:t>条</w:t>
      </w:r>
      <w:r>
        <w:t xml:space="preserve">  </w:t>
      </w:r>
      <w:r>
        <w:rPr>
          <w:rFonts w:hint="eastAsia" w:ascii="仿宋_GB2312" w:hAnsi="仿宋_GB2312" w:cs="仿宋_GB2312"/>
          <w:shd w:val="clear" w:color="auto" w:fill="FFFFFF"/>
          <w:lang w:bidi="ar"/>
        </w:rPr>
        <w:t>市、区（市）人民政府应当根据产业发展需要积极开展招商引资，规范工作程序，优化招商服务，提高招商引资工作效能。</w:t>
      </w:r>
    </w:p>
    <w:p>
      <w:pPr>
        <w:overflowPunct w:val="0"/>
        <w:adjustRightInd w:val="0"/>
        <w:snapToGrid w:val="0"/>
        <w:spacing w:line="540" w:lineRule="exact"/>
        <w:ind w:firstLine="640" w:firstLineChars="200"/>
        <w:rPr>
          <w:bCs/>
        </w:rPr>
      </w:pPr>
      <w:r>
        <w:rPr>
          <w:rFonts w:eastAsia="黑体"/>
          <w:lang w:bidi="ar"/>
        </w:rPr>
        <w:t>第三十</w:t>
      </w:r>
      <w:r>
        <w:rPr>
          <w:rFonts w:hint="eastAsia" w:eastAsia="黑体"/>
          <w:lang w:bidi="ar"/>
        </w:rPr>
        <w:t>五</w:t>
      </w:r>
      <w:r>
        <w:rPr>
          <w:rFonts w:eastAsia="黑体"/>
          <w:lang w:bidi="ar"/>
        </w:rPr>
        <w:t>条</w:t>
      </w:r>
      <w:r>
        <w:t xml:space="preserve">  </w:t>
      </w:r>
      <w:r>
        <w:rPr>
          <w:bCs/>
        </w:rPr>
        <w:t>对符合本市产业发展规划的项目、企业，市、区（市）人民政府应当在人才、住房、员工落户、家属随迁、子女入学等方面提供政策支持。</w:t>
      </w:r>
    </w:p>
    <w:p>
      <w:pPr>
        <w:overflowPunct w:val="0"/>
        <w:adjustRightInd w:val="0"/>
        <w:snapToGrid w:val="0"/>
        <w:spacing w:line="540" w:lineRule="exact"/>
        <w:ind w:firstLine="640" w:firstLineChars="200"/>
        <w:rPr>
          <w:bCs/>
        </w:rPr>
      </w:pPr>
      <w:r>
        <w:rPr>
          <w:rFonts w:eastAsia="黑体"/>
          <w:lang w:bidi="ar"/>
        </w:rPr>
        <w:t>第三十</w:t>
      </w:r>
      <w:r>
        <w:rPr>
          <w:rFonts w:hint="eastAsia" w:eastAsia="黑体"/>
          <w:lang w:bidi="ar"/>
        </w:rPr>
        <w:t>六</w:t>
      </w:r>
      <w:r>
        <w:rPr>
          <w:rFonts w:eastAsia="黑体"/>
          <w:lang w:bidi="ar"/>
        </w:rPr>
        <w:t>条</w:t>
      </w:r>
      <w:r>
        <w:rPr>
          <w:rFonts w:ascii="仿宋_GB2312"/>
          <w:bCs/>
        </w:rPr>
        <w:t xml:space="preserve">  实</w:t>
      </w:r>
      <w:r>
        <w:rPr>
          <w:bCs/>
        </w:rPr>
        <w:t>行涉企政策集成服务模式，统筹政策制定、集成公开、落实兑现、监督保障和效能评估工作。编制并公开涉企政策清单，完善政策发布、解读机制，推进涉企政策精准推送。</w:t>
      </w:r>
    </w:p>
    <w:p>
      <w:pPr>
        <w:overflowPunct w:val="0"/>
        <w:adjustRightInd w:val="0"/>
        <w:snapToGrid w:val="0"/>
        <w:spacing w:line="540" w:lineRule="exact"/>
        <w:ind w:firstLine="640" w:firstLineChars="200"/>
        <w:rPr>
          <w:rFonts w:ascii="仿宋_GB2312" w:hAnsi="仿宋_GB2312" w:cs="仿宋_GB2312"/>
          <w:bCs/>
        </w:rPr>
      </w:pPr>
      <w:r>
        <w:rPr>
          <w:rFonts w:hint="eastAsia" w:ascii="仿宋_GB2312" w:hAnsi="仿宋_GB2312" w:cs="仿宋_GB2312"/>
          <w:bCs/>
        </w:rPr>
        <w:t>推行“枣惠达”财政奖补等涉企优惠政策免申即享，通过信息共享等方式，实现符合条件的企业免予申报，直接享受政策。</w:t>
      </w:r>
    </w:p>
    <w:p>
      <w:pPr>
        <w:overflowPunct w:val="0"/>
        <w:adjustRightInd w:val="0"/>
        <w:snapToGrid w:val="0"/>
        <w:spacing w:line="540" w:lineRule="exact"/>
        <w:ind w:firstLine="640" w:firstLineChars="200"/>
        <w:rPr>
          <w:bCs/>
        </w:rPr>
      </w:pPr>
      <w:r>
        <w:rPr>
          <w:rFonts w:eastAsia="黑体"/>
          <w:lang w:bidi="ar"/>
        </w:rPr>
        <w:t>第</w:t>
      </w:r>
      <w:r>
        <w:rPr>
          <w:rFonts w:hint="eastAsia" w:eastAsia="黑体"/>
          <w:lang w:bidi="ar"/>
        </w:rPr>
        <w:t>三十七</w:t>
      </w:r>
      <w:r>
        <w:rPr>
          <w:rFonts w:eastAsia="黑体"/>
          <w:lang w:bidi="ar"/>
        </w:rPr>
        <w:t>条</w:t>
      </w:r>
      <w:r>
        <w:rPr>
          <w:rFonts w:ascii="仿宋_GB2312"/>
          <w:bCs/>
        </w:rPr>
        <w:t xml:space="preserve">  </w:t>
      </w:r>
      <w:r>
        <w:rPr>
          <w:rFonts w:hint="eastAsia" w:ascii="仿宋_GB2312"/>
          <w:bCs/>
        </w:rPr>
        <w:t>政府及其部门</w:t>
      </w:r>
      <w:r>
        <w:rPr>
          <w:bCs/>
        </w:rPr>
        <w:t>应当履行向市场主体依法作出的政策承诺以及依法订立的各类合同，不得以行政区划调整、政府换届、机构或者职能调整以及相关责任人更替等为由，不履行、不完全履行或者迟延履行约定义务。因国家利益、</w:t>
      </w:r>
      <w:r>
        <w:rPr>
          <w:rFonts w:hint="eastAsia"/>
          <w:bCs/>
        </w:rPr>
        <w:t>社会</w:t>
      </w:r>
      <w:r>
        <w:rPr>
          <w:bCs/>
        </w:rPr>
        <w:t>公共利益需要改变政策承诺、合同约定的，应当依照法定权限和程序进行；给市场主体造成损失的，应当依法予以补偿。</w:t>
      </w:r>
    </w:p>
    <w:p>
      <w:pPr>
        <w:overflowPunct w:val="0"/>
        <w:adjustRightInd w:val="0"/>
        <w:snapToGrid w:val="0"/>
        <w:spacing w:line="540" w:lineRule="exact"/>
        <w:ind w:firstLine="640" w:firstLineChars="200"/>
        <w:rPr>
          <w:bCs/>
        </w:rPr>
      </w:pPr>
      <w:r>
        <w:rPr>
          <w:rFonts w:eastAsia="黑体"/>
          <w:lang w:bidi="ar"/>
        </w:rPr>
        <w:t>第</w:t>
      </w:r>
      <w:r>
        <w:rPr>
          <w:rFonts w:hint="eastAsia" w:eastAsia="黑体"/>
          <w:lang w:bidi="ar"/>
        </w:rPr>
        <w:t>三十八</w:t>
      </w:r>
      <w:r>
        <w:rPr>
          <w:rFonts w:eastAsia="黑体"/>
          <w:lang w:bidi="ar"/>
        </w:rPr>
        <w:t>条</w:t>
      </w:r>
      <w:r>
        <w:t xml:space="preserve">  </w:t>
      </w:r>
      <w:r>
        <w:rPr>
          <w:bCs/>
        </w:rPr>
        <w:t>实施重点项目全生命周期管理服务制度和重大项目建设联席会议制度，开展专员帮包，强化要素保障，及时协调解决各类项目建设中存在的困难问题，加快项目开工建设、</w:t>
      </w:r>
      <w:r>
        <w:rPr>
          <w:rFonts w:hint="eastAsia"/>
          <w:bCs/>
        </w:rPr>
        <w:t>投产</w:t>
      </w:r>
      <w:r>
        <w:rPr>
          <w:bCs/>
        </w:rPr>
        <w:t>达效。</w:t>
      </w:r>
    </w:p>
    <w:p>
      <w:pPr>
        <w:overflowPunct w:val="0"/>
        <w:adjustRightInd w:val="0"/>
        <w:snapToGrid w:val="0"/>
        <w:spacing w:line="540" w:lineRule="exact"/>
        <w:ind w:firstLine="640" w:firstLineChars="200"/>
        <w:rPr>
          <w:rFonts w:ascii="仿宋_GB2312" w:hAnsi="仿宋_GB2312" w:cs="仿宋_GB2312"/>
          <w:bCs/>
        </w:rPr>
      </w:pPr>
      <w:r>
        <w:rPr>
          <w:rFonts w:eastAsia="黑体"/>
          <w:lang w:bidi="ar"/>
        </w:rPr>
        <w:t>第</w:t>
      </w:r>
      <w:r>
        <w:rPr>
          <w:rFonts w:hint="eastAsia" w:eastAsia="黑体"/>
          <w:lang w:bidi="ar"/>
        </w:rPr>
        <w:t>三十九</w:t>
      </w:r>
      <w:r>
        <w:rPr>
          <w:rFonts w:eastAsia="黑体"/>
          <w:lang w:bidi="ar"/>
        </w:rPr>
        <w:t>条</w:t>
      </w:r>
      <w:r>
        <w:rPr>
          <w:rFonts w:ascii="仿宋_GB2312"/>
          <w:bCs/>
        </w:rPr>
        <w:t xml:space="preserve">  </w:t>
      </w:r>
      <w:r>
        <w:rPr>
          <w:rFonts w:hint="eastAsia" w:ascii="仿宋_GB2312"/>
          <w:bCs/>
        </w:rPr>
        <w:t>依</w:t>
      </w:r>
      <w:r>
        <w:rPr>
          <w:rFonts w:hint="eastAsia" w:ascii="仿宋_GB2312" w:hAnsi="仿宋_GB2312" w:cs="仿宋_GB2312"/>
          <w:bCs/>
        </w:rPr>
        <w:t>托</w:t>
      </w:r>
      <w:r>
        <w:rPr>
          <w:rFonts w:hint="eastAsia" w:ascii="仿宋_GB2312" w:hAnsi="黑体" w:cs="仿宋_GB2312"/>
          <w:bCs/>
        </w:rPr>
        <w:t>12345</w:t>
      </w:r>
      <w:r>
        <w:rPr>
          <w:rFonts w:hint="eastAsia" w:ascii="仿宋_GB2312" w:hAnsi="仿宋_GB2312" w:cs="仿宋_GB2312"/>
          <w:bCs/>
        </w:rPr>
        <w:t>政务服务便民热线，构建“企呼枣（早）应、接诉即办”平台，受理企业和群众反映营商环境方面的问题和投诉举报。承办单位应当在一个工作日内与反映人沟通联系，五个工作日内办理完毕；对于特别复杂的，经承办单位负责人批准可以延长十五日。法律、法规对办理时限另有规定的，从其规定。</w:t>
      </w:r>
    </w:p>
    <w:p>
      <w:pPr>
        <w:overflowPunct w:val="0"/>
        <w:adjustRightInd w:val="0"/>
        <w:snapToGrid w:val="0"/>
        <w:spacing w:line="540" w:lineRule="exact"/>
        <w:ind w:firstLine="640" w:firstLineChars="200"/>
        <w:rPr>
          <w:rFonts w:ascii="仿宋_GB2312" w:hAnsi="仿宋_GB2312" w:cs="仿宋_GB2312"/>
          <w:bCs/>
        </w:rPr>
      </w:pPr>
      <w:r>
        <w:rPr>
          <w:rFonts w:eastAsia="黑体"/>
          <w:lang w:bidi="ar"/>
        </w:rPr>
        <w:t>第</w:t>
      </w:r>
      <w:r>
        <w:rPr>
          <w:rFonts w:hint="eastAsia" w:eastAsia="黑体"/>
          <w:lang w:bidi="ar"/>
        </w:rPr>
        <w:t>四十</w:t>
      </w:r>
      <w:r>
        <w:rPr>
          <w:rFonts w:eastAsia="黑体"/>
          <w:lang w:bidi="ar"/>
        </w:rPr>
        <w:t>条</w:t>
      </w:r>
      <w:r>
        <w:rPr>
          <w:rFonts w:eastAsia="楷体_GB2312"/>
          <w:shd w:val="clear" w:color="auto" w:fill="FFFFFF"/>
          <w:lang w:bidi="ar"/>
        </w:rPr>
        <w:t xml:space="preserve">  </w:t>
      </w:r>
      <w:r>
        <w:rPr>
          <w:rFonts w:hint="eastAsia" w:ascii="仿宋_GB2312" w:hAnsi="仿宋_GB2312" w:cs="仿宋_GB2312"/>
          <w:bCs/>
        </w:rPr>
        <w:t>市、区（市）优化营商环境主管部门或者机构应当组织实施政务服务“好差评”制度，对政务服务质量进行评价，健全评价、反馈、整改、监督工作机制，强化评价数据综合分析和结果应用。</w:t>
      </w:r>
    </w:p>
    <w:p>
      <w:pPr>
        <w:overflowPunct w:val="0"/>
        <w:adjustRightInd w:val="0"/>
        <w:snapToGrid w:val="0"/>
        <w:spacing w:line="540" w:lineRule="exact"/>
        <w:ind w:firstLine="640" w:firstLineChars="200"/>
        <w:rPr>
          <w:rFonts w:ascii="仿宋_GB2312" w:hAnsi="仿宋_GB2312" w:cs="仿宋_GB2312"/>
          <w:bCs/>
        </w:rPr>
      </w:pPr>
    </w:p>
    <w:p>
      <w:pPr>
        <w:overflowPunct w:val="0"/>
        <w:adjustRightInd w:val="0"/>
        <w:snapToGrid w:val="0"/>
        <w:spacing w:line="540" w:lineRule="exact"/>
        <w:jc w:val="center"/>
        <w:rPr>
          <w:rFonts w:eastAsia="黑体"/>
        </w:rPr>
      </w:pPr>
      <w:r>
        <w:rPr>
          <w:rFonts w:eastAsia="黑体"/>
        </w:rPr>
        <w:t xml:space="preserve">第四章  </w:t>
      </w:r>
      <w:r>
        <w:rPr>
          <w:rFonts w:hint="eastAsia" w:eastAsia="黑体"/>
        </w:rPr>
        <w:t>法治环境</w:t>
      </w:r>
    </w:p>
    <w:p>
      <w:pPr>
        <w:overflowPunct w:val="0"/>
        <w:adjustRightInd w:val="0"/>
        <w:snapToGrid w:val="0"/>
        <w:spacing w:line="540" w:lineRule="exact"/>
        <w:ind w:firstLine="640" w:firstLineChars="200"/>
        <w:rPr>
          <w:rFonts w:eastAsia="黑体"/>
          <w:lang w:bidi="ar"/>
        </w:rPr>
      </w:pPr>
    </w:p>
    <w:p>
      <w:pPr>
        <w:overflowPunct w:val="0"/>
        <w:adjustRightInd w:val="0"/>
        <w:snapToGrid w:val="0"/>
        <w:spacing w:line="540" w:lineRule="exact"/>
        <w:ind w:firstLine="640" w:firstLineChars="200"/>
        <w:rPr>
          <w:rFonts w:ascii="仿宋_GB2312" w:hAnsi="仿宋_GB2312" w:cs="仿宋_GB2312"/>
          <w:bCs/>
        </w:rPr>
      </w:pPr>
      <w:r>
        <w:rPr>
          <w:rFonts w:eastAsia="黑体"/>
          <w:lang w:bidi="ar"/>
        </w:rPr>
        <w:t>第</w:t>
      </w:r>
      <w:r>
        <w:rPr>
          <w:rFonts w:hint="eastAsia" w:eastAsia="黑体"/>
          <w:lang w:bidi="ar"/>
        </w:rPr>
        <w:t>四十一</w:t>
      </w:r>
      <w:r>
        <w:rPr>
          <w:rFonts w:eastAsia="黑体"/>
          <w:lang w:bidi="ar"/>
        </w:rPr>
        <w:t>条</w:t>
      </w:r>
      <w:r>
        <w:rPr>
          <w:rFonts w:ascii="仿宋_GB2312"/>
          <w:bCs/>
        </w:rPr>
        <w:t xml:space="preserve">  </w:t>
      </w:r>
      <w:r>
        <w:rPr>
          <w:rFonts w:hint="eastAsia" w:ascii="仿宋_GB2312"/>
          <w:bCs/>
        </w:rPr>
        <w:t>建</w:t>
      </w:r>
      <w:r>
        <w:rPr>
          <w:rFonts w:hint="eastAsia" w:ascii="仿宋_GB2312" w:hAnsi="仿宋_GB2312" w:cs="仿宋_GB2312"/>
          <w:bCs/>
        </w:rPr>
        <w:t>立健全以守信激励、失信惩戒为基础的信用监管机制。推广应用国家企业信用信息公示系统和信用信息共享平台，加强信用信息归集、披露、使用和管理，构建覆盖市场主体全生命周期的闭环信用监管体系，让“事事讲诚信、厚道枣庄人”成为最鲜明的地域品质。</w:t>
      </w:r>
    </w:p>
    <w:p>
      <w:pPr>
        <w:overflowPunct w:val="0"/>
        <w:adjustRightInd w:val="0"/>
        <w:snapToGrid w:val="0"/>
        <w:spacing w:line="540" w:lineRule="exact"/>
        <w:ind w:firstLine="640" w:firstLineChars="200"/>
        <w:rPr>
          <w:bCs/>
        </w:rPr>
      </w:pPr>
      <w:r>
        <w:rPr>
          <w:rFonts w:eastAsia="黑体"/>
          <w:lang w:bidi="ar"/>
        </w:rPr>
        <w:t>第四十</w:t>
      </w:r>
      <w:r>
        <w:rPr>
          <w:rFonts w:hint="eastAsia" w:eastAsia="黑体"/>
          <w:lang w:bidi="ar"/>
        </w:rPr>
        <w:t>二</w:t>
      </w:r>
      <w:r>
        <w:rPr>
          <w:rFonts w:eastAsia="黑体"/>
          <w:lang w:bidi="ar"/>
        </w:rPr>
        <w:t>条</w:t>
      </w:r>
      <w:r>
        <w:rPr>
          <w:rFonts w:ascii="仿宋_GB2312"/>
          <w:bCs/>
        </w:rPr>
        <w:t xml:space="preserve">  全</w:t>
      </w:r>
      <w:r>
        <w:rPr>
          <w:bCs/>
        </w:rPr>
        <w:t>面实施信用风险分类管理，建立企业信用状况综合评价体系，对不同信用状况的市场主体，在法定权限内采取差异化管理措施，提高监管的精准性和有效性。</w:t>
      </w:r>
    </w:p>
    <w:p>
      <w:pPr>
        <w:overflowPunct w:val="0"/>
        <w:adjustRightInd w:val="0"/>
        <w:snapToGrid w:val="0"/>
        <w:spacing w:line="540" w:lineRule="exact"/>
        <w:ind w:firstLine="640" w:firstLineChars="200"/>
        <w:rPr>
          <w:bCs/>
        </w:rPr>
      </w:pPr>
      <w:r>
        <w:rPr>
          <w:rFonts w:eastAsia="黑体"/>
          <w:lang w:bidi="ar"/>
        </w:rPr>
        <w:t>第四十</w:t>
      </w:r>
      <w:r>
        <w:rPr>
          <w:rFonts w:hint="eastAsia" w:eastAsia="黑体"/>
          <w:lang w:bidi="ar"/>
        </w:rPr>
        <w:t>三</w:t>
      </w:r>
      <w:r>
        <w:rPr>
          <w:rFonts w:eastAsia="黑体"/>
          <w:lang w:bidi="ar"/>
        </w:rPr>
        <w:t>条</w:t>
      </w:r>
      <w:r>
        <w:rPr>
          <w:rFonts w:ascii="仿宋_GB2312"/>
          <w:bCs/>
        </w:rPr>
        <w:t xml:space="preserve">  </w:t>
      </w:r>
      <w:r>
        <w:rPr>
          <w:rFonts w:hint="eastAsia" w:ascii="仿宋_GB2312"/>
          <w:bCs/>
        </w:rPr>
        <w:t>完善</w:t>
      </w:r>
      <w:r>
        <w:rPr>
          <w:rFonts w:hint="eastAsia" w:ascii="仿宋_GB2312" w:hAnsi="仿宋_GB2312" w:cs="仿宋_GB2312"/>
          <w:bCs/>
        </w:rPr>
        <w:t>“双随机、一公开”监管。除直接涉及公共</w:t>
      </w:r>
      <w:r>
        <w:rPr>
          <w:bCs/>
        </w:rPr>
        <w:t>安全和人民群众生命健康等特殊行业、重点领域外，市场监管领域的行政检查应当通过随机抽取检查对象、随机选派执法检查人员、抽查事项及查处结果及时向社会公开的方式进行。针对同一检查对象的多个检查事项，应当尽可能合并或者纳入跨部门联合抽查范围，提高跨部门、跨领域联合执法效能。</w:t>
      </w:r>
    </w:p>
    <w:p>
      <w:pPr>
        <w:overflowPunct w:val="0"/>
        <w:adjustRightInd w:val="0"/>
        <w:snapToGrid w:val="0"/>
        <w:spacing w:line="540" w:lineRule="exact"/>
        <w:ind w:firstLine="640" w:firstLineChars="200"/>
        <w:rPr>
          <w:bCs/>
        </w:rPr>
      </w:pPr>
      <w:r>
        <w:rPr>
          <w:rFonts w:eastAsia="黑体"/>
          <w:lang w:bidi="ar"/>
        </w:rPr>
        <w:t>第四十</w:t>
      </w:r>
      <w:r>
        <w:rPr>
          <w:rFonts w:hint="eastAsia" w:eastAsia="黑体"/>
          <w:lang w:bidi="ar"/>
        </w:rPr>
        <w:t>四</w:t>
      </w:r>
      <w:r>
        <w:rPr>
          <w:rFonts w:eastAsia="黑体"/>
          <w:lang w:bidi="ar"/>
        </w:rPr>
        <w:t>条</w:t>
      </w:r>
      <w:r>
        <w:rPr>
          <w:rFonts w:ascii="仿宋_GB2312"/>
          <w:bCs/>
        </w:rPr>
        <w:t xml:space="preserve">  实施</w:t>
      </w:r>
      <w:r>
        <w:rPr>
          <w:bCs/>
        </w:rPr>
        <w:t>审批和监管分离的事项，行政审批</w:t>
      </w:r>
      <w:r>
        <w:rPr>
          <w:rFonts w:hint="eastAsia"/>
          <w:bCs/>
        </w:rPr>
        <w:t>服务</w:t>
      </w:r>
      <w:r>
        <w:rPr>
          <w:bCs/>
        </w:rPr>
        <w:t>部门负责将有关许可信息告知相应的监管部门，配合做好事中事后监管。行政审批</w:t>
      </w:r>
      <w:r>
        <w:rPr>
          <w:rFonts w:hint="eastAsia"/>
          <w:bCs/>
        </w:rPr>
        <w:t>服务</w:t>
      </w:r>
      <w:r>
        <w:rPr>
          <w:bCs/>
        </w:rPr>
        <w:t>部门发现被许可人存在违法行为的，应当及时告知监管部门。监管部门应当将与行政审批相关的检查、行政处罚等监管信息及时告知行政审批</w:t>
      </w:r>
      <w:r>
        <w:rPr>
          <w:rFonts w:hint="eastAsia"/>
          <w:bCs/>
        </w:rPr>
        <w:t>服务</w:t>
      </w:r>
      <w:r>
        <w:rPr>
          <w:bCs/>
        </w:rPr>
        <w:t>部门。</w:t>
      </w:r>
    </w:p>
    <w:p>
      <w:pPr>
        <w:overflowPunct w:val="0"/>
        <w:adjustRightInd w:val="0"/>
        <w:snapToGrid w:val="0"/>
        <w:spacing w:line="540" w:lineRule="exact"/>
        <w:ind w:firstLine="640" w:firstLineChars="200"/>
        <w:rPr>
          <w:bCs/>
        </w:rPr>
      </w:pPr>
      <w:r>
        <w:rPr>
          <w:rFonts w:eastAsia="黑体"/>
          <w:lang w:bidi="ar"/>
        </w:rPr>
        <w:t>第四十</w:t>
      </w:r>
      <w:r>
        <w:rPr>
          <w:rFonts w:hint="eastAsia" w:eastAsia="黑体"/>
          <w:lang w:bidi="ar"/>
        </w:rPr>
        <w:t>五</w:t>
      </w:r>
      <w:r>
        <w:rPr>
          <w:rFonts w:eastAsia="黑体"/>
          <w:lang w:bidi="ar"/>
        </w:rPr>
        <w:t>条</w:t>
      </w:r>
      <w:r>
        <w:t xml:space="preserve"> </w:t>
      </w:r>
      <w:r>
        <w:rPr>
          <w:bCs/>
        </w:rPr>
        <w:t xml:space="preserve"> </w:t>
      </w:r>
      <w:r>
        <w:rPr>
          <w:rFonts w:hint="eastAsia"/>
          <w:bCs/>
        </w:rPr>
        <w:t>市、区（市）</w:t>
      </w:r>
      <w:r>
        <w:rPr>
          <w:bCs/>
        </w:rPr>
        <w:t>人民政府</w:t>
      </w:r>
      <w:r>
        <w:rPr>
          <w:rFonts w:hint="eastAsia"/>
          <w:bCs/>
        </w:rPr>
        <w:t>及其有关部门</w:t>
      </w:r>
      <w:r>
        <w:rPr>
          <w:bCs/>
        </w:rPr>
        <w:t>应当按照鼓励创新和发展、确保质量和安全的原则，对新技术、新产业、新业态、新模式等实行包容审慎监管，创新监管方式，不得简单予以禁止或者不予监管。</w:t>
      </w:r>
    </w:p>
    <w:p>
      <w:pPr>
        <w:overflowPunct w:val="0"/>
        <w:adjustRightInd w:val="0"/>
        <w:snapToGrid w:val="0"/>
        <w:spacing w:line="540" w:lineRule="exact"/>
        <w:ind w:firstLine="640" w:firstLineChars="200"/>
        <w:rPr>
          <w:bCs/>
        </w:rPr>
      </w:pPr>
      <w:r>
        <w:rPr>
          <w:rFonts w:eastAsia="黑体"/>
          <w:lang w:bidi="ar"/>
        </w:rPr>
        <w:t>第四十</w:t>
      </w:r>
      <w:r>
        <w:rPr>
          <w:rFonts w:hint="eastAsia" w:eastAsia="黑体"/>
          <w:lang w:bidi="ar"/>
        </w:rPr>
        <w:t>六</w:t>
      </w:r>
      <w:r>
        <w:rPr>
          <w:rFonts w:eastAsia="黑体"/>
          <w:lang w:bidi="ar"/>
        </w:rPr>
        <w:t>条</w:t>
      </w:r>
      <w:r>
        <w:rPr>
          <w:rFonts w:eastAsia="楷体_GB2312"/>
        </w:rPr>
        <w:t xml:space="preserve">  </w:t>
      </w:r>
      <w:r>
        <w:rPr>
          <w:bCs/>
        </w:rPr>
        <w:t>行政机关为实现行政管理目的有多种行政措施可供选择时，应当</w:t>
      </w:r>
      <w:r>
        <w:rPr>
          <w:rFonts w:hint="eastAsia"/>
          <w:bCs/>
        </w:rPr>
        <w:t>依法</w:t>
      </w:r>
      <w:r>
        <w:rPr>
          <w:bCs/>
        </w:rPr>
        <w:t>采用对市场主体权益</w:t>
      </w:r>
      <w:r>
        <w:rPr>
          <w:rFonts w:hint="eastAsia"/>
          <w:bCs/>
        </w:rPr>
        <w:t>影响</w:t>
      </w:r>
      <w:r>
        <w:rPr>
          <w:bCs/>
        </w:rPr>
        <w:t>最小的行政措施。</w:t>
      </w:r>
    </w:p>
    <w:p>
      <w:pPr>
        <w:overflowPunct w:val="0"/>
        <w:adjustRightInd w:val="0"/>
        <w:snapToGrid w:val="0"/>
        <w:spacing w:line="540" w:lineRule="exact"/>
        <w:ind w:firstLine="640" w:firstLineChars="200"/>
        <w:rPr>
          <w:bCs/>
        </w:rPr>
      </w:pPr>
      <w:r>
        <w:rPr>
          <w:bCs/>
        </w:rPr>
        <w:t>市场主体违法行为轻微并及时改正，没有造成危害后果的，不予行政处罚</w:t>
      </w:r>
      <w:r>
        <w:rPr>
          <w:rFonts w:hint="eastAsia"/>
          <w:bCs/>
        </w:rPr>
        <w:t>。</w:t>
      </w:r>
      <w:r>
        <w:rPr>
          <w:bCs/>
        </w:rPr>
        <w:t>初次违法且危害后果轻微并及时改正的，可以不予行政处罚。</w:t>
      </w:r>
    </w:p>
    <w:p>
      <w:pPr>
        <w:overflowPunct w:val="0"/>
        <w:adjustRightInd w:val="0"/>
        <w:snapToGrid w:val="0"/>
        <w:spacing w:line="540" w:lineRule="exact"/>
        <w:ind w:firstLine="640" w:firstLineChars="200"/>
        <w:rPr>
          <w:bCs/>
        </w:rPr>
      </w:pPr>
      <w:r>
        <w:rPr>
          <w:rFonts w:eastAsia="黑体"/>
          <w:lang w:bidi="ar"/>
        </w:rPr>
        <w:t>第</w:t>
      </w:r>
      <w:r>
        <w:rPr>
          <w:rFonts w:hint="eastAsia" w:eastAsia="黑体"/>
          <w:lang w:bidi="ar"/>
        </w:rPr>
        <w:t>四十七</w:t>
      </w:r>
      <w:r>
        <w:rPr>
          <w:rFonts w:eastAsia="黑体"/>
          <w:lang w:bidi="ar"/>
        </w:rPr>
        <w:t>条</w:t>
      </w:r>
      <w:r>
        <w:rPr>
          <w:bCs/>
        </w:rPr>
        <w:t xml:space="preserve">  行政执法机关应当全面落实行政执法公示制度、执法全过程记录制度和重大执法决定法制审核制度，促进严格规范公正文明执法，维护市场主体合法权益。</w:t>
      </w:r>
    </w:p>
    <w:p>
      <w:pPr>
        <w:overflowPunct w:val="0"/>
        <w:adjustRightInd w:val="0"/>
        <w:snapToGrid w:val="0"/>
        <w:spacing w:line="560" w:lineRule="exact"/>
        <w:ind w:firstLine="640" w:firstLineChars="200"/>
        <w:rPr>
          <w:bCs/>
        </w:rPr>
      </w:pPr>
      <w:r>
        <w:rPr>
          <w:rFonts w:eastAsia="黑体"/>
          <w:lang w:bidi="ar"/>
        </w:rPr>
        <w:t>第</w:t>
      </w:r>
      <w:r>
        <w:rPr>
          <w:rFonts w:hint="eastAsia" w:eastAsia="黑体"/>
          <w:lang w:bidi="ar"/>
        </w:rPr>
        <w:t>四十八</w:t>
      </w:r>
      <w:r>
        <w:rPr>
          <w:rFonts w:eastAsia="黑体"/>
          <w:lang w:bidi="ar"/>
        </w:rPr>
        <w:t>条</w:t>
      </w:r>
      <w:r>
        <w:t xml:space="preserve">  </w:t>
      </w:r>
      <w:r>
        <w:rPr>
          <w:bCs/>
        </w:rPr>
        <w:t>建立调解、仲裁、行政裁决、行政复议、诉讼等有机衔接、相互协调的纠纷解决机制，为市场主体化解纠纷提供多元解决方式。</w:t>
      </w:r>
    </w:p>
    <w:p>
      <w:pPr>
        <w:overflowPunct w:val="0"/>
        <w:adjustRightInd w:val="0"/>
        <w:snapToGrid w:val="0"/>
        <w:spacing w:line="560" w:lineRule="exact"/>
        <w:ind w:firstLine="640" w:firstLineChars="200"/>
        <w:rPr>
          <w:bCs/>
        </w:rPr>
      </w:pPr>
      <w:r>
        <w:rPr>
          <w:rFonts w:eastAsia="黑体"/>
          <w:lang w:bidi="ar"/>
        </w:rPr>
        <w:t>第</w:t>
      </w:r>
      <w:r>
        <w:rPr>
          <w:rFonts w:hint="eastAsia" w:eastAsia="黑体"/>
          <w:lang w:bidi="ar"/>
        </w:rPr>
        <w:t>四十九</w:t>
      </w:r>
      <w:r>
        <w:rPr>
          <w:rFonts w:eastAsia="黑体"/>
          <w:lang w:bidi="ar"/>
        </w:rPr>
        <w:t>条</w:t>
      </w:r>
      <w:r>
        <w:t xml:space="preserve">  </w:t>
      </w:r>
      <w:r>
        <w:rPr>
          <w:bCs/>
        </w:rPr>
        <w:t>人民法院应当加强一站式诉讼服务中心建设，完善综合诉讼服务平台，通过开展网上立案、网上开庭、网上执行等方式，为</w:t>
      </w:r>
      <w:r>
        <w:rPr>
          <w:rFonts w:hint="eastAsia"/>
          <w:bCs/>
        </w:rPr>
        <w:t>市场主体</w:t>
      </w:r>
      <w:r>
        <w:rPr>
          <w:bCs/>
        </w:rPr>
        <w:t>提供便捷高效、智能精准的司法服务。</w:t>
      </w:r>
    </w:p>
    <w:p>
      <w:pPr>
        <w:overflowPunct w:val="0"/>
        <w:adjustRightInd w:val="0"/>
        <w:snapToGrid w:val="0"/>
        <w:spacing w:line="560" w:lineRule="exact"/>
        <w:ind w:firstLine="640" w:firstLineChars="200"/>
        <w:rPr>
          <w:bCs/>
        </w:rPr>
      </w:pPr>
      <w:r>
        <w:rPr>
          <w:rFonts w:hint="eastAsia"/>
          <w:bCs/>
        </w:rPr>
        <w:t>人民检察院办理涉企案件时，在依法作出不批准逮捕、不起诉决定或者依法提出轻缓量刑建议的同时，可以要求涉案企业作出合规承诺，并由第三方参与督促企业整改落实，促进企业合规守法经营，减少和预防企业犯罪。</w:t>
      </w:r>
    </w:p>
    <w:p>
      <w:pPr>
        <w:overflowPunct w:val="0"/>
        <w:adjustRightInd w:val="0"/>
        <w:snapToGrid w:val="0"/>
        <w:spacing w:line="560" w:lineRule="exact"/>
        <w:ind w:firstLine="640" w:firstLineChars="200"/>
        <w:rPr>
          <w:bCs/>
        </w:rPr>
      </w:pPr>
      <w:r>
        <w:rPr>
          <w:bCs/>
        </w:rPr>
        <w:t>公安机关应当对干扰市场主体正常生产经营活动，或者侵害生产经营者人身安全、财产安全等违法</w:t>
      </w:r>
      <w:r>
        <w:rPr>
          <w:rFonts w:hint="eastAsia"/>
          <w:bCs/>
        </w:rPr>
        <w:t>犯罪</w:t>
      </w:r>
      <w:r>
        <w:rPr>
          <w:bCs/>
        </w:rPr>
        <w:t>行为，及时依法处置，保障正常生产经营秩序。</w:t>
      </w:r>
    </w:p>
    <w:p>
      <w:pPr>
        <w:overflowPunct w:val="0"/>
        <w:adjustRightInd w:val="0"/>
        <w:snapToGrid w:val="0"/>
        <w:spacing w:line="560" w:lineRule="exact"/>
        <w:ind w:firstLine="640" w:firstLineChars="200"/>
        <w:rPr>
          <w:bCs/>
        </w:rPr>
      </w:pPr>
      <w:r>
        <w:rPr>
          <w:rFonts w:eastAsia="黑体"/>
          <w:lang w:bidi="ar"/>
        </w:rPr>
        <w:t>第</w:t>
      </w:r>
      <w:r>
        <w:rPr>
          <w:rFonts w:hint="eastAsia" w:eastAsia="黑体"/>
          <w:lang w:bidi="ar"/>
        </w:rPr>
        <w:t>五十</w:t>
      </w:r>
      <w:r>
        <w:rPr>
          <w:rFonts w:eastAsia="黑体"/>
          <w:lang w:bidi="ar"/>
        </w:rPr>
        <w:t>条</w:t>
      </w:r>
      <w:r>
        <w:rPr>
          <w:bCs/>
        </w:rPr>
        <w:t xml:space="preserve">  市、区（市）人民政府每年应当向本级人民代表大会常务委员会报告优化营商环境工作情况。</w:t>
      </w:r>
    </w:p>
    <w:p>
      <w:pPr>
        <w:overflowPunct w:val="0"/>
        <w:adjustRightInd w:val="0"/>
        <w:snapToGrid w:val="0"/>
        <w:spacing w:line="560" w:lineRule="exact"/>
        <w:ind w:firstLine="640" w:firstLineChars="200"/>
        <w:rPr>
          <w:bCs/>
        </w:rPr>
      </w:pPr>
      <w:r>
        <w:rPr>
          <w:bCs/>
        </w:rPr>
        <w:t>市、区（市）人民代表大会常务委员会应当采取听取和审议专项工作报告、执法检查、专题询问、质询、特定问题调查、备案审查等方式，加强对优化营商环境工作的监督。</w:t>
      </w:r>
    </w:p>
    <w:p>
      <w:pPr>
        <w:overflowPunct w:val="0"/>
        <w:adjustRightInd w:val="0"/>
        <w:snapToGrid w:val="0"/>
        <w:spacing w:line="560" w:lineRule="exact"/>
        <w:ind w:firstLine="640" w:firstLineChars="200"/>
        <w:rPr>
          <w:bCs/>
        </w:rPr>
      </w:pPr>
      <w:r>
        <w:rPr>
          <w:rFonts w:eastAsia="黑体"/>
          <w:lang w:bidi="ar"/>
        </w:rPr>
        <w:t>第</w:t>
      </w:r>
      <w:r>
        <w:rPr>
          <w:rFonts w:hint="eastAsia" w:eastAsia="黑体"/>
          <w:lang w:bidi="ar"/>
        </w:rPr>
        <w:t>五十一</w:t>
      </w:r>
      <w:r>
        <w:rPr>
          <w:rFonts w:eastAsia="黑体"/>
          <w:lang w:bidi="ar"/>
        </w:rPr>
        <w:t xml:space="preserve">条  </w:t>
      </w:r>
      <w:r>
        <w:rPr>
          <w:bCs/>
        </w:rPr>
        <w:t>加强对公职人员推动优化营商环境工作的监督，畅通问题线索举报渠道，严肃查处违纪违法问题。</w:t>
      </w:r>
    </w:p>
    <w:p>
      <w:pPr>
        <w:overflowPunct w:val="0"/>
        <w:adjustRightInd w:val="0"/>
        <w:snapToGrid w:val="0"/>
        <w:spacing w:line="560" w:lineRule="exact"/>
        <w:ind w:firstLine="640" w:firstLineChars="200"/>
        <w:rPr>
          <w:bCs/>
        </w:rPr>
      </w:pPr>
      <w:r>
        <w:rPr>
          <w:rFonts w:eastAsia="黑体"/>
          <w:lang w:bidi="ar"/>
        </w:rPr>
        <w:t>第五十</w:t>
      </w:r>
      <w:r>
        <w:rPr>
          <w:rFonts w:hint="eastAsia" w:eastAsia="黑体"/>
          <w:lang w:bidi="ar"/>
        </w:rPr>
        <w:t>二</w:t>
      </w:r>
      <w:r>
        <w:rPr>
          <w:rFonts w:eastAsia="黑体"/>
          <w:lang w:bidi="ar"/>
        </w:rPr>
        <w:t>条</w:t>
      </w:r>
      <w:r>
        <w:rPr>
          <w:bCs/>
        </w:rPr>
        <w:t xml:space="preserve">  建立营商环境社会监督员制度</w:t>
      </w:r>
      <w:r>
        <w:rPr>
          <w:rFonts w:hint="eastAsia"/>
          <w:bCs/>
        </w:rPr>
        <w:t>。</w:t>
      </w:r>
      <w:r>
        <w:rPr>
          <w:bCs/>
        </w:rPr>
        <w:t>市、区（市）人民政府可以邀请人大代表、政协委员、民主党派成员、专家学者、企业家代表、媒体记者、行业协会商会负责人和群众代表担任监督员，对营商环境工作进行监督。</w:t>
      </w:r>
    </w:p>
    <w:p>
      <w:pPr>
        <w:overflowPunct w:val="0"/>
        <w:adjustRightInd w:val="0"/>
        <w:snapToGrid w:val="0"/>
        <w:spacing w:line="560" w:lineRule="exact"/>
        <w:jc w:val="center"/>
        <w:rPr>
          <w:bCs/>
        </w:rPr>
      </w:pPr>
    </w:p>
    <w:p>
      <w:pPr>
        <w:numPr>
          <w:ilvl w:val="0"/>
          <w:numId w:val="1"/>
        </w:numPr>
        <w:overflowPunct w:val="0"/>
        <w:adjustRightInd w:val="0"/>
        <w:snapToGrid w:val="0"/>
        <w:spacing w:line="560" w:lineRule="exact"/>
        <w:jc w:val="center"/>
        <w:rPr>
          <w:rFonts w:eastAsia="黑体"/>
        </w:rPr>
      </w:pPr>
      <w:r>
        <w:rPr>
          <w:rFonts w:hint="eastAsia" w:eastAsia="黑体"/>
        </w:rPr>
        <w:t xml:space="preserve"> </w:t>
      </w:r>
      <w:r>
        <w:rPr>
          <w:rFonts w:eastAsia="黑体"/>
        </w:rPr>
        <w:t>法律责任</w:t>
      </w:r>
    </w:p>
    <w:p>
      <w:pPr>
        <w:overflowPunct w:val="0"/>
        <w:adjustRightInd w:val="0"/>
        <w:snapToGrid w:val="0"/>
        <w:spacing w:line="560" w:lineRule="exact"/>
        <w:rPr>
          <w:rFonts w:eastAsia="黑体"/>
          <w:lang w:bidi="ar"/>
        </w:rPr>
      </w:pPr>
    </w:p>
    <w:p>
      <w:pPr>
        <w:overflowPunct w:val="0"/>
        <w:adjustRightInd w:val="0"/>
        <w:snapToGrid w:val="0"/>
        <w:spacing w:line="560" w:lineRule="exact"/>
        <w:ind w:firstLine="640" w:firstLineChars="200"/>
      </w:pPr>
      <w:r>
        <w:rPr>
          <w:rFonts w:eastAsia="黑体"/>
          <w:lang w:bidi="ar"/>
        </w:rPr>
        <w:t>第五十</w:t>
      </w:r>
      <w:r>
        <w:rPr>
          <w:rFonts w:hint="eastAsia" w:eastAsia="黑体"/>
          <w:lang w:bidi="ar"/>
        </w:rPr>
        <w:t>三</w:t>
      </w:r>
      <w:r>
        <w:rPr>
          <w:rFonts w:eastAsia="黑体"/>
          <w:lang w:bidi="ar"/>
        </w:rPr>
        <w:t>条</w:t>
      </w:r>
      <w:r>
        <w:rPr>
          <w:bCs/>
        </w:rPr>
        <w:t xml:space="preserve">  </w:t>
      </w:r>
      <w:r>
        <w:rPr>
          <w:rFonts w:hint="eastAsia" w:ascii="仿宋_GB2312" w:hAnsi="微软雅黑"/>
          <w:color w:val="000000"/>
        </w:rPr>
        <w:t>违反本条例规定的行为，法律、法规已规定法律责任的，从其规定。</w:t>
      </w:r>
    </w:p>
    <w:p>
      <w:pPr>
        <w:overflowPunct w:val="0"/>
        <w:adjustRightInd w:val="0"/>
        <w:snapToGrid w:val="0"/>
        <w:spacing w:line="560" w:lineRule="exact"/>
        <w:ind w:firstLine="640" w:firstLineChars="200"/>
        <w:rPr>
          <w:bCs/>
        </w:rPr>
      </w:pPr>
      <w:r>
        <w:rPr>
          <w:rFonts w:eastAsia="黑体"/>
          <w:lang w:bidi="ar"/>
        </w:rPr>
        <w:t>第五十</w:t>
      </w:r>
      <w:r>
        <w:rPr>
          <w:rFonts w:hint="eastAsia" w:eastAsia="黑体"/>
          <w:lang w:bidi="ar"/>
        </w:rPr>
        <w:t>四</w:t>
      </w:r>
      <w:r>
        <w:rPr>
          <w:rFonts w:eastAsia="黑体"/>
          <w:lang w:bidi="ar"/>
        </w:rPr>
        <w:t>条</w:t>
      </w:r>
      <w:r>
        <w:rPr>
          <w:bCs/>
        </w:rPr>
        <w:t xml:space="preserve">  政府和有关部门及其工作人员有下列情形之一的，约谈其主要负责人，并依法依规追究责任：</w:t>
      </w:r>
    </w:p>
    <w:p>
      <w:pPr>
        <w:overflowPunct w:val="0"/>
        <w:adjustRightInd w:val="0"/>
        <w:snapToGrid w:val="0"/>
        <w:spacing w:line="560" w:lineRule="exact"/>
        <w:ind w:firstLine="640" w:firstLineChars="200"/>
        <w:rPr>
          <w:bCs/>
        </w:rPr>
      </w:pPr>
      <w:r>
        <w:rPr>
          <w:bCs/>
        </w:rPr>
        <w:t>（一）在目录清单之外收取涉企行政事业性收费、政府性基金、涉企保证金；</w:t>
      </w:r>
    </w:p>
    <w:p>
      <w:pPr>
        <w:overflowPunct w:val="0"/>
        <w:adjustRightInd w:val="0"/>
        <w:snapToGrid w:val="0"/>
        <w:spacing w:line="560" w:lineRule="exact"/>
        <w:ind w:firstLine="640" w:firstLineChars="200"/>
        <w:rPr>
          <w:bCs/>
        </w:rPr>
      </w:pPr>
      <w:r>
        <w:rPr>
          <w:bCs/>
        </w:rPr>
        <w:t>（二）违反合同约定拖欠市场主体的货物、工程、服务等账款；</w:t>
      </w:r>
    </w:p>
    <w:p>
      <w:pPr>
        <w:overflowPunct w:val="0"/>
        <w:adjustRightInd w:val="0"/>
        <w:snapToGrid w:val="0"/>
        <w:spacing w:line="560" w:lineRule="exact"/>
        <w:ind w:firstLine="640" w:firstLineChars="200"/>
        <w:rPr>
          <w:bCs/>
        </w:rPr>
      </w:pPr>
      <w:r>
        <w:rPr>
          <w:bCs/>
        </w:rPr>
        <w:t>（</w:t>
      </w:r>
      <w:r>
        <w:rPr>
          <w:rFonts w:hint="eastAsia"/>
          <w:bCs/>
        </w:rPr>
        <w:t>三</w:t>
      </w:r>
      <w:r>
        <w:rPr>
          <w:bCs/>
        </w:rPr>
        <w:t>）不履行向市场主体依法作出的政策承诺以及依法订立的各类合同；</w:t>
      </w:r>
    </w:p>
    <w:p>
      <w:pPr>
        <w:overflowPunct w:val="0"/>
        <w:adjustRightInd w:val="0"/>
        <w:snapToGrid w:val="0"/>
        <w:spacing w:line="560" w:lineRule="exact"/>
        <w:ind w:firstLine="640" w:firstLineChars="200"/>
        <w:rPr>
          <w:bCs/>
        </w:rPr>
      </w:pPr>
      <w:r>
        <w:rPr>
          <w:bCs/>
        </w:rPr>
        <w:t>（</w:t>
      </w:r>
      <w:r>
        <w:rPr>
          <w:rFonts w:hint="eastAsia"/>
          <w:bCs/>
        </w:rPr>
        <w:t>四</w:t>
      </w:r>
      <w:r>
        <w:rPr>
          <w:bCs/>
        </w:rPr>
        <w:t>）其他不履行优化营商环境职责或者损害营商环境的情形。</w:t>
      </w:r>
    </w:p>
    <w:p>
      <w:pPr>
        <w:overflowPunct w:val="0"/>
        <w:adjustRightInd w:val="0"/>
        <w:snapToGrid w:val="0"/>
        <w:spacing w:line="560" w:lineRule="exact"/>
        <w:rPr>
          <w:rFonts w:eastAsia="黑体"/>
        </w:rPr>
      </w:pPr>
    </w:p>
    <w:p>
      <w:pPr>
        <w:overflowPunct w:val="0"/>
        <w:adjustRightInd w:val="0"/>
        <w:snapToGrid w:val="0"/>
        <w:spacing w:line="560" w:lineRule="exact"/>
        <w:jc w:val="center"/>
        <w:rPr>
          <w:rFonts w:eastAsia="黑体"/>
        </w:rPr>
      </w:pPr>
      <w:r>
        <w:rPr>
          <w:rFonts w:eastAsia="黑体"/>
        </w:rPr>
        <w:t>第六章  附则</w:t>
      </w:r>
    </w:p>
    <w:p>
      <w:pPr>
        <w:overflowPunct w:val="0"/>
        <w:adjustRightInd w:val="0"/>
        <w:snapToGrid w:val="0"/>
        <w:spacing w:line="560" w:lineRule="exact"/>
        <w:ind w:firstLine="640" w:firstLineChars="200"/>
        <w:rPr>
          <w:rFonts w:eastAsia="黑体"/>
          <w:lang w:bidi="ar"/>
        </w:rPr>
      </w:pPr>
    </w:p>
    <w:p>
      <w:pPr>
        <w:overflowPunct w:val="0"/>
        <w:adjustRightInd w:val="0"/>
        <w:snapToGrid w:val="0"/>
        <w:spacing w:line="560" w:lineRule="exact"/>
        <w:ind w:firstLine="640" w:firstLineChars="200"/>
        <w:rPr>
          <w:rFonts w:ascii="仿宋_GB2312"/>
          <w:bCs/>
        </w:rPr>
      </w:pPr>
      <w:r>
        <w:rPr>
          <w:rFonts w:eastAsia="黑体"/>
          <w:lang w:bidi="ar"/>
        </w:rPr>
        <w:t>第五十</w:t>
      </w:r>
      <w:r>
        <w:rPr>
          <w:rFonts w:hint="eastAsia" w:eastAsia="黑体"/>
          <w:lang w:bidi="ar"/>
        </w:rPr>
        <w:t>五</w:t>
      </w:r>
      <w:r>
        <w:rPr>
          <w:rFonts w:eastAsia="黑体"/>
          <w:lang w:bidi="ar"/>
        </w:rPr>
        <w:t xml:space="preserve">条  </w:t>
      </w:r>
      <w:r>
        <w:rPr>
          <w:rFonts w:hint="eastAsia" w:ascii="仿宋_GB2312"/>
          <w:bCs/>
        </w:rPr>
        <w:t>本条例自2022年11月1日起施行。</w:t>
      </w:r>
    </w:p>
    <w:p>
      <w:pPr>
        <w:spacing w:line="560" w:lineRule="exact"/>
      </w:pPr>
    </w:p>
    <w:p>
      <w:pPr>
        <w:widowControl/>
        <w:jc w:val="left"/>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67048"/>
    <w:multiLevelType w:val="singleLevel"/>
    <w:tmpl w:val="98367048"/>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C69FDF25"/>
    <w:rsid w:val="64D93389"/>
    <w:rsid w:val="C69FD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z w:val="24"/>
    </w:rPr>
  </w:style>
  <w:style w:type="character" w:styleId="8">
    <w:name w:val="Hyperlink"/>
    <w:qFormat/>
    <w:uiPriority w:val="0"/>
    <w:rPr>
      <w:rFonts w:hint="default" w:ascii="ˎ̥" w:hAnsi="ˎ̥"/>
      <w:color w:val="0404B3"/>
      <w:sz w:val="18"/>
      <w:szCs w:val="18"/>
      <w:u w:val="none"/>
    </w:rPr>
  </w:style>
  <w:style w:type="paragraph" w:customStyle="1" w:styleId="9">
    <w:name w:val="普通(网站)1"/>
    <w:basedOn w:val="1"/>
    <w:qFormat/>
    <w:uiPriority w:val="2"/>
    <w:pPr>
      <w:spacing w:before="100" w:after="100"/>
      <w:jc w:val="left"/>
    </w:pPr>
    <w:rPr>
      <w:rFonts w:ascii="Calibri" w:hAnsi="Calibr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6714</Words>
  <Characters>6730</Characters>
  <Lines>0</Lines>
  <Paragraphs>0</Paragraphs>
  <TotalTime>2</TotalTime>
  <ScaleCrop>false</ScaleCrop>
  <LinksUpToDate>false</LinksUpToDate>
  <CharactersWithSpaces>6864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2022-10-17T15:51:00Z</dcterms:created>
  <dc:creator>user</dc:creator>
  <cp:lastModifiedBy>PC400</cp:lastModifiedBy>
  <dcterms:modified xsi:type="dcterms:W3CDTF">2022-10-28T06:18:05Z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743C9CEE82B5403EB27391AD4A087845</vt:lpwstr>
  </property>
</Properties>
</file>