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exact"/>
        <w:jc w:val="center"/>
        <w:outlineLvl w:val="0"/>
        <w:rPr>
          <w:rFonts w:ascii="宋体" w:hAnsi="宋体"/>
        </w:rPr>
      </w:pPr>
    </w:p>
    <w:p>
      <w:pPr>
        <w:pStyle w:val="3"/>
        <w:widowControl w:val="0"/>
        <w:shd w:val="clear" w:color="auto" w:fill="FFFFFF"/>
        <w:spacing w:before="0" w:beforeAutospacing="0" w:after="0" w:afterAutospacing="0" w:line="580" w:lineRule="exact"/>
        <w:jc w:val="center"/>
        <w:rPr>
          <w:rFonts w:asciiTheme="majorEastAsia" w:hAnsiTheme="majorEastAsia" w:eastAsiaTheme="majorEastAsia"/>
          <w:b w:val="0"/>
          <w:color w:val="000000"/>
          <w:sz w:val="44"/>
          <w:szCs w:val="44"/>
        </w:rPr>
      </w:pPr>
    </w:p>
    <w:p>
      <w:pPr>
        <w:pStyle w:val="3"/>
        <w:widowControl w:val="0"/>
        <w:shd w:val="clear" w:color="auto" w:fill="FFFFFF"/>
        <w:spacing w:before="0" w:beforeAutospacing="0" w:after="0" w:afterAutospacing="0" w:line="580" w:lineRule="exact"/>
        <w:jc w:val="center"/>
        <w:rPr>
          <w:rFonts w:asciiTheme="majorEastAsia" w:hAnsiTheme="majorEastAsia" w:eastAsiaTheme="majorEastAsia"/>
          <w:b w:val="0"/>
          <w:color w:val="000000"/>
          <w:sz w:val="44"/>
          <w:szCs w:val="44"/>
        </w:rPr>
      </w:pPr>
      <w:r>
        <w:rPr>
          <w:rFonts w:hint="eastAsia" w:asciiTheme="majorEastAsia" w:hAnsiTheme="majorEastAsia" w:eastAsiaTheme="majorEastAsia"/>
          <w:b w:val="0"/>
          <w:color w:val="000000"/>
          <w:sz w:val="44"/>
          <w:szCs w:val="44"/>
        </w:rPr>
        <w:t>枣庄市环城绿道管理条例</w:t>
      </w:r>
    </w:p>
    <w:p>
      <w:pPr>
        <w:pStyle w:val="3"/>
        <w:widowControl w:val="0"/>
        <w:shd w:val="clear" w:color="auto" w:fill="FFFFFF"/>
        <w:spacing w:before="0" w:beforeAutospacing="0" w:after="0" w:afterAutospacing="0" w:line="580" w:lineRule="exact"/>
        <w:jc w:val="center"/>
        <w:rPr>
          <w:b w:val="0"/>
          <w:color w:val="000000"/>
          <w:sz w:val="32"/>
          <w:szCs w:val="32"/>
        </w:rPr>
      </w:pPr>
    </w:p>
    <w:p>
      <w:pPr>
        <w:pStyle w:val="3"/>
        <w:widowControl w:val="0"/>
        <w:shd w:val="clear" w:color="auto" w:fill="FFFFFF"/>
        <w:spacing w:before="0" w:beforeAutospacing="0" w:after="0" w:afterAutospacing="0" w:line="580" w:lineRule="exact"/>
        <w:ind w:left="640" w:leftChars="200" w:right="640" w:rightChars="200"/>
        <w:rPr>
          <w:rFonts w:ascii="楷体_GB2312" w:hAnsi="黑体" w:eastAsia="楷体_GB2312" w:cs="楷体_GB2312"/>
          <w:b w:val="0"/>
          <w:color w:val="000000"/>
          <w:sz w:val="32"/>
          <w:szCs w:val="32"/>
        </w:rPr>
      </w:pPr>
      <w:r>
        <w:rPr>
          <w:rFonts w:hint="eastAsia" w:ascii="楷体_GB2312" w:hAnsi="黑体" w:eastAsia="楷体_GB2312" w:cs="楷体_GB2312"/>
          <w:b w:val="0"/>
          <w:color w:val="000000"/>
          <w:sz w:val="32"/>
          <w:szCs w:val="32"/>
        </w:rPr>
        <w:t>（2021年6月30日枣庄市第十六届人民代表大会常务委员会第四十次会议通过  2021年7月29日山东省第十三届人民代表大会常务委员会第二十九次会议批准）</w:t>
      </w:r>
    </w:p>
    <w:p>
      <w:pPr>
        <w:pStyle w:val="6"/>
        <w:widowControl w:val="0"/>
        <w:spacing w:before="0" w:beforeAutospacing="0" w:after="0" w:afterAutospacing="0" w:line="580" w:lineRule="exact"/>
        <w:ind w:firstLine="645"/>
        <w:jc w:val="both"/>
        <w:rPr>
          <w:sz w:val="32"/>
        </w:rPr>
      </w:pPr>
    </w:p>
    <w:p>
      <w:pPr>
        <w:pStyle w:val="6"/>
        <w:widowControl w:val="0"/>
        <w:spacing w:before="0" w:beforeAutospacing="0" w:after="0" w:afterAutospacing="0" w:line="580" w:lineRule="exact"/>
        <w:ind w:firstLine="645"/>
        <w:jc w:val="both"/>
        <w:rPr>
          <w:color w:val="545252"/>
        </w:rPr>
      </w:pPr>
      <w:r>
        <w:rPr>
          <w:rFonts w:hint="eastAsia" w:ascii="黑体" w:hAnsi="黑体" w:eastAsia="黑体"/>
          <w:sz w:val="32"/>
        </w:rPr>
        <w:t>第一条</w:t>
      </w:r>
      <w:r>
        <w:rPr>
          <w:rFonts w:hint="eastAsia"/>
          <w:sz w:val="32"/>
        </w:rPr>
        <w:t> </w:t>
      </w:r>
      <w:r>
        <w:rPr>
          <w:rFonts w:hint="eastAsia" w:ascii="仿宋_GB2312"/>
          <w:sz w:val="32"/>
        </w:rPr>
        <w:t>为了加强枣庄市环城绿道的保护和管理，提升环城绿道的综合功能，促进生态文明建设，根据有关法律、法规，结合本市实际，制定本条例。</w:t>
      </w:r>
    </w:p>
    <w:p>
      <w:pPr>
        <w:pStyle w:val="6"/>
        <w:widowControl w:val="0"/>
        <w:spacing w:before="0" w:beforeAutospacing="0" w:after="0" w:afterAutospacing="0" w:line="580" w:lineRule="exact"/>
        <w:ind w:firstLine="645"/>
        <w:jc w:val="both"/>
        <w:rPr>
          <w:color w:val="545252"/>
        </w:rPr>
      </w:pPr>
      <w:r>
        <w:rPr>
          <w:rFonts w:hint="eastAsia" w:ascii="黑体" w:hAnsi="黑体" w:eastAsia="黑体"/>
          <w:sz w:val="32"/>
        </w:rPr>
        <w:t>第二条</w:t>
      </w:r>
      <w:r>
        <w:rPr>
          <w:rFonts w:hint="eastAsia" w:ascii="仿宋_GB2312"/>
          <w:sz w:val="32"/>
        </w:rPr>
        <w:t> 本市环城绿道的规划、建设、管理、维护和开发利用适用本条例。</w:t>
      </w:r>
    </w:p>
    <w:p>
      <w:pPr>
        <w:pStyle w:val="6"/>
        <w:widowControl w:val="0"/>
        <w:spacing w:before="0" w:beforeAutospacing="0" w:after="0" w:afterAutospacing="0" w:line="580" w:lineRule="exact"/>
        <w:ind w:firstLine="645"/>
        <w:jc w:val="both"/>
        <w:rPr>
          <w:color w:val="545252"/>
        </w:rPr>
      </w:pPr>
      <w:r>
        <w:rPr>
          <w:rFonts w:hint="eastAsia" w:ascii="黑体" w:hAnsi="黑体" w:eastAsia="黑体"/>
          <w:sz w:val="32"/>
        </w:rPr>
        <w:t>第三条</w:t>
      </w:r>
      <w:r>
        <w:rPr>
          <w:rFonts w:hint="eastAsia" w:ascii="仿宋_GB2312"/>
          <w:sz w:val="32"/>
        </w:rPr>
        <w:t> 本条例所称环城绿道，是指串联枣庄环城国家生态公园以及周边景区、景点、居住区，以游憩、健身为主，兼具市民出行等功能的廊道。</w:t>
      </w:r>
    </w:p>
    <w:p>
      <w:pPr>
        <w:pStyle w:val="6"/>
        <w:widowControl w:val="0"/>
        <w:spacing w:before="0" w:beforeAutospacing="0" w:after="0" w:afterAutospacing="0" w:line="580" w:lineRule="exact"/>
        <w:ind w:firstLine="645"/>
        <w:jc w:val="both"/>
        <w:rPr>
          <w:color w:val="545252"/>
        </w:rPr>
      </w:pPr>
      <w:r>
        <w:rPr>
          <w:rFonts w:hint="eastAsia" w:ascii="黑体" w:hAnsi="黑体" w:eastAsia="黑体"/>
          <w:sz w:val="32"/>
        </w:rPr>
        <w:t>第四条</w:t>
      </w:r>
      <w:r>
        <w:rPr>
          <w:rFonts w:hint="eastAsia" w:ascii="仿宋_GB2312"/>
          <w:sz w:val="32"/>
        </w:rPr>
        <w:t> 环城绿道按照目标功能划分为骨干绿道、支线绿道和绿道连接线：</w:t>
      </w:r>
    </w:p>
    <w:p>
      <w:pPr>
        <w:pStyle w:val="6"/>
        <w:widowControl w:val="0"/>
        <w:spacing w:before="0" w:beforeAutospacing="0" w:after="0" w:afterAutospacing="0" w:line="580" w:lineRule="exact"/>
        <w:ind w:firstLine="645"/>
        <w:jc w:val="both"/>
        <w:rPr>
          <w:color w:val="545252"/>
        </w:rPr>
      </w:pPr>
      <w:r>
        <w:rPr>
          <w:rFonts w:hint="eastAsia" w:ascii="仿宋_GB2312"/>
          <w:sz w:val="32"/>
        </w:rPr>
        <w:t>（一）骨干绿道是指环绕枣庄环城国家生态公园，贯穿连通城市和郊野的主要绿道，包括凤凰绿道、榴园绿道、青龙绿道、十字河绿道、仙人洞绿道、刘伶台绿道等主要绿道；</w:t>
      </w:r>
    </w:p>
    <w:p>
      <w:pPr>
        <w:pStyle w:val="6"/>
        <w:widowControl w:val="0"/>
        <w:spacing w:before="0" w:beforeAutospacing="0" w:after="0" w:afterAutospacing="0" w:line="580" w:lineRule="exact"/>
        <w:ind w:firstLine="645"/>
        <w:jc w:val="both"/>
        <w:rPr>
          <w:color w:val="545252"/>
        </w:rPr>
      </w:pPr>
      <w:r>
        <w:rPr>
          <w:rFonts w:hint="eastAsia" w:ascii="仿宋_GB2312"/>
          <w:sz w:val="32"/>
        </w:rPr>
        <w:t>（二）支线绿道是指连接骨干绿道和景区、景点、居住区的绿道；</w:t>
      </w:r>
    </w:p>
    <w:p>
      <w:pPr>
        <w:pStyle w:val="6"/>
        <w:widowControl w:val="0"/>
        <w:spacing w:before="0" w:beforeAutospacing="0" w:after="0" w:afterAutospacing="0" w:line="580" w:lineRule="exact"/>
        <w:ind w:firstLine="645"/>
        <w:jc w:val="both"/>
        <w:rPr>
          <w:color w:val="545252"/>
        </w:rPr>
      </w:pPr>
      <w:r>
        <w:rPr>
          <w:rFonts w:hint="eastAsia" w:ascii="仿宋_GB2312"/>
          <w:sz w:val="32"/>
        </w:rPr>
        <w:t>（三）绿道连接线是指连接不同骨干绿道之间的道路。</w:t>
      </w:r>
    </w:p>
    <w:p>
      <w:pPr>
        <w:pStyle w:val="6"/>
        <w:widowControl w:val="0"/>
        <w:spacing w:before="0" w:beforeAutospacing="0" w:after="0" w:afterAutospacing="0" w:line="580" w:lineRule="exact"/>
        <w:ind w:firstLine="645"/>
        <w:jc w:val="both"/>
        <w:rPr>
          <w:color w:val="545252"/>
        </w:rPr>
      </w:pPr>
      <w:r>
        <w:rPr>
          <w:rFonts w:hint="eastAsia" w:ascii="黑体" w:hAnsi="黑体" w:eastAsia="黑体"/>
          <w:sz w:val="32"/>
        </w:rPr>
        <w:t>第五条</w:t>
      </w:r>
      <w:r>
        <w:rPr>
          <w:rFonts w:hint="eastAsia" w:ascii="仿宋_GB2312"/>
          <w:sz w:val="32"/>
        </w:rPr>
        <w:t> 环城绿道工作应当坚持统一规划、因地制宜、绿色发展的原则。</w:t>
      </w:r>
    </w:p>
    <w:p>
      <w:pPr>
        <w:pStyle w:val="6"/>
        <w:widowControl w:val="0"/>
        <w:spacing w:before="0" w:beforeAutospacing="0" w:after="0" w:afterAutospacing="0" w:line="580" w:lineRule="exact"/>
        <w:ind w:firstLine="645"/>
        <w:jc w:val="both"/>
        <w:rPr>
          <w:color w:val="545252"/>
        </w:rPr>
      </w:pPr>
      <w:r>
        <w:rPr>
          <w:rFonts w:hint="eastAsia" w:ascii="黑体" w:hAnsi="黑体" w:eastAsia="黑体"/>
          <w:sz w:val="32"/>
        </w:rPr>
        <w:t>第六条</w:t>
      </w:r>
      <w:r>
        <w:rPr>
          <w:rFonts w:hint="eastAsia" w:ascii="仿宋_GB2312"/>
          <w:sz w:val="32"/>
        </w:rPr>
        <w:t> 市林业和绿化部门是环城绿道的主管部门，负责</w:t>
      </w:r>
      <w:r>
        <w:rPr>
          <w:rFonts w:hint="eastAsia" w:ascii="仿宋_GB2312"/>
          <w:color w:val="000000"/>
          <w:sz w:val="32"/>
        </w:rPr>
        <w:t>编制环城绿道规划</w:t>
      </w:r>
      <w:r>
        <w:rPr>
          <w:rFonts w:hint="eastAsia" w:ascii="仿宋_GB2312"/>
          <w:sz w:val="32"/>
        </w:rPr>
        <w:t>和</w:t>
      </w:r>
      <w:r>
        <w:rPr>
          <w:rFonts w:hint="eastAsia" w:ascii="仿宋_GB2312"/>
          <w:color w:val="000000"/>
          <w:sz w:val="32"/>
        </w:rPr>
        <w:t>建设计划、制定管护制度、设置统一标识等工作，对环城绿道工作进行统筹协调、指导和监督。</w:t>
      </w:r>
    </w:p>
    <w:p>
      <w:pPr>
        <w:pStyle w:val="6"/>
        <w:widowControl w:val="0"/>
        <w:spacing w:before="0" w:beforeAutospacing="0" w:after="0" w:afterAutospacing="0" w:line="580" w:lineRule="exact"/>
        <w:ind w:firstLine="645"/>
        <w:jc w:val="both"/>
        <w:rPr>
          <w:color w:val="545252"/>
        </w:rPr>
      </w:pPr>
      <w:r>
        <w:rPr>
          <w:rFonts w:hint="eastAsia" w:ascii="仿宋_GB2312"/>
          <w:sz w:val="32"/>
        </w:rPr>
        <w:t>发展改革、自然资源和规划、交通运输、财政、公安、城市管理、审批服务、民政、文化和旅游、体育等部门，按照各自职责共同做好环城绿道相关工作。</w:t>
      </w:r>
    </w:p>
    <w:p>
      <w:pPr>
        <w:pStyle w:val="6"/>
        <w:widowControl w:val="0"/>
        <w:spacing w:before="0" w:beforeAutospacing="0" w:after="0" w:afterAutospacing="0" w:line="580" w:lineRule="exact"/>
        <w:ind w:firstLine="645"/>
        <w:jc w:val="both"/>
        <w:rPr>
          <w:color w:val="545252"/>
        </w:rPr>
      </w:pPr>
      <w:r>
        <w:rPr>
          <w:rFonts w:hint="eastAsia" w:ascii="仿宋_GB2312"/>
          <w:sz w:val="32"/>
        </w:rPr>
        <w:t>区（市）人民政府负责组织实施本辖区内环城绿道相关工作，区（市）林业和绿化主管部门负责牵头推进环城绿道建设、管理、维护和开发利用等工作。</w:t>
      </w:r>
    </w:p>
    <w:p>
      <w:pPr>
        <w:pStyle w:val="6"/>
        <w:widowControl w:val="0"/>
        <w:spacing w:before="0" w:beforeAutospacing="0" w:after="0" w:afterAutospacing="0" w:line="580" w:lineRule="exact"/>
        <w:ind w:firstLine="645"/>
        <w:jc w:val="both"/>
        <w:rPr>
          <w:color w:val="545252"/>
        </w:rPr>
      </w:pPr>
      <w:r>
        <w:rPr>
          <w:rFonts w:hint="eastAsia" w:ascii="仿宋_GB2312"/>
          <w:sz w:val="32"/>
        </w:rPr>
        <w:t>镇人民政府、街道办事处在职责范围内做好本辖区内环城绿道相关工作。</w:t>
      </w:r>
    </w:p>
    <w:p>
      <w:pPr>
        <w:pStyle w:val="6"/>
        <w:widowControl w:val="0"/>
        <w:spacing w:before="0" w:beforeAutospacing="0" w:after="0" w:afterAutospacing="0" w:line="580" w:lineRule="exact"/>
        <w:ind w:firstLine="645"/>
        <w:jc w:val="both"/>
        <w:rPr>
          <w:color w:val="545252"/>
        </w:rPr>
      </w:pPr>
      <w:r>
        <w:rPr>
          <w:rFonts w:hint="eastAsia" w:ascii="仿宋_GB2312"/>
          <w:sz w:val="32"/>
        </w:rPr>
        <w:t>环城绿道借用的农村公路和城市道路，由交通运输、城市管理等部门依据相关法律、法规进行管理，林业和绿化主管部门负责提升借用路段的绿化品质和服务功能。</w:t>
      </w:r>
    </w:p>
    <w:p>
      <w:pPr>
        <w:pStyle w:val="6"/>
        <w:widowControl w:val="0"/>
        <w:spacing w:before="0" w:beforeAutospacing="0" w:after="0" w:afterAutospacing="0" w:line="580" w:lineRule="exact"/>
        <w:ind w:firstLine="645"/>
        <w:jc w:val="both"/>
        <w:rPr>
          <w:color w:val="545252"/>
        </w:rPr>
      </w:pPr>
      <w:r>
        <w:rPr>
          <w:rFonts w:hint="eastAsia" w:ascii="黑体" w:hAnsi="黑体" w:eastAsia="黑体"/>
          <w:sz w:val="32"/>
        </w:rPr>
        <w:t>第七条</w:t>
      </w:r>
      <w:r>
        <w:rPr>
          <w:rFonts w:hint="eastAsia" w:ascii="仿宋_GB2312"/>
          <w:sz w:val="32"/>
        </w:rPr>
        <w:t> 环城绿道的建设、管理和维护费用由区（市）人民政府承担，市人民政府对建设费用给予补助。</w:t>
      </w:r>
    </w:p>
    <w:p>
      <w:pPr>
        <w:pStyle w:val="6"/>
        <w:widowControl w:val="0"/>
        <w:spacing w:before="0" w:beforeAutospacing="0" w:after="0" w:afterAutospacing="0" w:line="580" w:lineRule="exact"/>
        <w:ind w:firstLine="645"/>
        <w:jc w:val="both"/>
        <w:rPr>
          <w:color w:val="545252"/>
        </w:rPr>
      </w:pPr>
      <w:r>
        <w:rPr>
          <w:rFonts w:hint="eastAsia" w:ascii="黑体" w:hAnsi="黑体" w:eastAsia="黑体"/>
          <w:sz w:val="32"/>
        </w:rPr>
        <w:t>第八条</w:t>
      </w:r>
      <w:r>
        <w:rPr>
          <w:rFonts w:hint="eastAsia" w:ascii="仿宋_GB2312"/>
          <w:sz w:val="32"/>
        </w:rPr>
        <w:t> 任何单位和个人都有爱护环城绿道及其配套设施的义务，对破坏环城绿道及其配套设施和影响环城绿道安全的行为有权劝阻和举报。</w:t>
      </w:r>
    </w:p>
    <w:p>
      <w:pPr>
        <w:pStyle w:val="6"/>
        <w:widowControl w:val="0"/>
        <w:spacing w:before="0" w:beforeAutospacing="0" w:after="0" w:afterAutospacing="0" w:line="580" w:lineRule="exact"/>
        <w:ind w:firstLine="645"/>
        <w:jc w:val="both"/>
        <w:rPr>
          <w:color w:val="545252"/>
        </w:rPr>
      </w:pPr>
      <w:r>
        <w:rPr>
          <w:rFonts w:hint="eastAsia" w:ascii="黑体" w:hAnsi="黑体" w:eastAsia="黑体"/>
          <w:sz w:val="32"/>
        </w:rPr>
        <w:t>第九条</w:t>
      </w:r>
      <w:r>
        <w:rPr>
          <w:rFonts w:hint="eastAsia" w:ascii="仿宋_GB2312"/>
          <w:sz w:val="32"/>
        </w:rPr>
        <w:t> 市林业和绿化主管部门会同有关部门编制环城绿道规划，报市人民政府批准后向社会公布。</w:t>
      </w:r>
    </w:p>
    <w:p>
      <w:pPr>
        <w:pStyle w:val="6"/>
        <w:widowControl w:val="0"/>
        <w:spacing w:before="0" w:beforeAutospacing="0" w:after="0" w:afterAutospacing="0" w:line="580" w:lineRule="exact"/>
        <w:ind w:firstLine="645"/>
        <w:jc w:val="both"/>
        <w:rPr>
          <w:color w:val="545252"/>
        </w:rPr>
      </w:pPr>
      <w:r>
        <w:rPr>
          <w:rFonts w:hint="eastAsia" w:ascii="仿宋_GB2312"/>
          <w:sz w:val="32"/>
        </w:rPr>
        <w:t>经批准的环城绿道规划不得随意调整。确需调整的，按照原批准程序报批。</w:t>
      </w:r>
    </w:p>
    <w:p>
      <w:pPr>
        <w:pStyle w:val="6"/>
        <w:widowControl w:val="0"/>
        <w:spacing w:before="0" w:beforeAutospacing="0" w:after="0" w:afterAutospacing="0" w:line="580" w:lineRule="exact"/>
        <w:ind w:firstLine="645"/>
        <w:jc w:val="both"/>
        <w:rPr>
          <w:color w:val="545252"/>
        </w:rPr>
      </w:pPr>
      <w:r>
        <w:rPr>
          <w:rFonts w:hint="eastAsia" w:ascii="仿宋_GB2312"/>
          <w:sz w:val="32"/>
        </w:rPr>
        <w:t>编制、调整环城绿道规划应当征求有关部门的意见，并采取适当方式征求专家和公众的意见。</w:t>
      </w:r>
    </w:p>
    <w:p>
      <w:pPr>
        <w:pStyle w:val="6"/>
        <w:widowControl w:val="0"/>
        <w:spacing w:before="0" w:beforeAutospacing="0" w:after="0" w:afterAutospacing="0" w:line="580" w:lineRule="exact"/>
        <w:ind w:firstLine="645"/>
        <w:jc w:val="both"/>
        <w:rPr>
          <w:color w:val="545252"/>
        </w:rPr>
      </w:pPr>
      <w:r>
        <w:rPr>
          <w:rFonts w:hint="eastAsia" w:ascii="黑体" w:hAnsi="黑体" w:eastAsia="黑体"/>
          <w:sz w:val="32"/>
        </w:rPr>
        <w:t>第十条</w:t>
      </w:r>
      <w:r>
        <w:rPr>
          <w:rFonts w:hint="eastAsia" w:ascii="仿宋_GB2312"/>
          <w:sz w:val="32"/>
        </w:rPr>
        <w:t> 市林业和绿化主管部门应当按照环城绿道规划制定环城绿道建设计划，报市人民政府批准后向社会公布，并由区（市）人民政府负责组织实施。</w:t>
      </w:r>
    </w:p>
    <w:p>
      <w:pPr>
        <w:spacing w:line="580" w:lineRule="exact"/>
        <w:ind w:firstLine="640" w:firstLineChars="200"/>
        <w:rPr>
          <w:rFonts w:ascii="仿宋_GB2312"/>
        </w:rPr>
      </w:pPr>
      <w:r>
        <w:rPr>
          <w:rFonts w:hint="eastAsia" w:ascii="黑体" w:hAnsi="黑体" w:eastAsia="黑体" w:cs="宋体"/>
        </w:rPr>
        <w:t>第十一条</w:t>
      </w:r>
      <w:r>
        <w:rPr>
          <w:rFonts w:hint="eastAsia" w:ascii="仿宋_GB2312"/>
        </w:rPr>
        <w:t> </w:t>
      </w:r>
      <w:r>
        <w:rPr>
          <w:rFonts w:ascii="仿宋_GB2312"/>
        </w:rPr>
        <w:t xml:space="preserve"> </w:t>
      </w:r>
      <w:r>
        <w:rPr>
          <w:rFonts w:hint="eastAsia" w:ascii="仿宋_GB2312"/>
        </w:rPr>
        <w:t>为保障环城绿道的基本生态功能，维护各项设施的正常运转，区（市）人民政府应当在环城绿道路沿外侧划定一定范围作为环城绿道控制区。</w:t>
      </w:r>
    </w:p>
    <w:p>
      <w:pPr>
        <w:pStyle w:val="6"/>
        <w:widowControl w:val="0"/>
        <w:spacing w:before="0" w:beforeAutospacing="0" w:after="0" w:afterAutospacing="0" w:line="580" w:lineRule="exact"/>
        <w:ind w:firstLine="645"/>
        <w:jc w:val="both"/>
        <w:rPr>
          <w:color w:val="545252"/>
        </w:rPr>
      </w:pPr>
      <w:r>
        <w:rPr>
          <w:rFonts w:hint="eastAsia" w:ascii="仿宋_GB2312"/>
          <w:sz w:val="32"/>
        </w:rPr>
        <w:t>环城绿道控制区划定后，应当向社会公布，并在控制区边沿设立固定界桩。</w:t>
      </w:r>
    </w:p>
    <w:p>
      <w:pPr>
        <w:pStyle w:val="6"/>
        <w:widowControl w:val="0"/>
        <w:spacing w:before="0" w:beforeAutospacing="0" w:after="0" w:afterAutospacing="0" w:line="580" w:lineRule="exact"/>
        <w:ind w:firstLine="645"/>
        <w:jc w:val="both"/>
        <w:rPr>
          <w:color w:val="545252"/>
        </w:rPr>
      </w:pPr>
      <w:r>
        <w:rPr>
          <w:rFonts w:hint="eastAsia" w:ascii="黑体" w:hAnsi="黑体" w:eastAsia="黑体"/>
          <w:sz w:val="32"/>
        </w:rPr>
        <w:t>第十二条</w:t>
      </w:r>
      <w:r>
        <w:rPr>
          <w:rFonts w:hint="eastAsia" w:ascii="仿宋_GB2312"/>
          <w:sz w:val="32"/>
        </w:rPr>
        <w:t> 环城绿道及其配套设施建设主要包括以下内容：</w:t>
      </w:r>
    </w:p>
    <w:p>
      <w:pPr>
        <w:pStyle w:val="6"/>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afterAutospacing="0" w:line="580" w:lineRule="exact"/>
        <w:ind w:left="0" w:leftChars="0" w:firstLine="640" w:firstLineChars="200"/>
        <w:jc w:val="both"/>
        <w:textAlignment w:val="auto"/>
        <w:rPr>
          <w:color w:val="545252"/>
        </w:rPr>
      </w:pPr>
      <w:r>
        <w:rPr>
          <w:rFonts w:hint="eastAsia" w:ascii="仿宋_GB2312"/>
          <w:sz w:val="32"/>
        </w:rPr>
        <w:t>绿化保护带和绿化隔离带等绿色生态基底构成的绿廊系统；</w:t>
      </w:r>
    </w:p>
    <w:p>
      <w:pPr>
        <w:pStyle w:val="6"/>
        <w:widowControl w:val="0"/>
        <w:numPr>
          <w:ilvl w:val="0"/>
          <w:numId w:val="1"/>
        </w:numPr>
        <w:spacing w:before="0" w:beforeAutospacing="0" w:after="0" w:afterAutospacing="0" w:line="580" w:lineRule="exact"/>
        <w:ind w:left="0" w:leftChars="0" w:firstLine="640" w:firstLineChars="200"/>
        <w:jc w:val="both"/>
        <w:rPr>
          <w:color w:val="545252"/>
        </w:rPr>
      </w:pPr>
      <w:r>
        <w:rPr>
          <w:rFonts w:hint="eastAsia" w:ascii="仿宋_GB2312"/>
          <w:sz w:val="32"/>
        </w:rPr>
        <w:t>机动车道、自行车道和步行道构成的道路系统；</w:t>
      </w:r>
    </w:p>
    <w:p>
      <w:pPr>
        <w:pStyle w:val="6"/>
        <w:widowControl w:val="0"/>
        <w:numPr>
          <w:ilvl w:val="0"/>
          <w:numId w:val="1"/>
        </w:numPr>
        <w:spacing w:before="0" w:beforeAutospacing="0" w:after="0" w:afterAutospacing="0" w:line="580" w:lineRule="exact"/>
        <w:ind w:left="0" w:leftChars="0" w:firstLine="640" w:firstLineChars="200"/>
        <w:jc w:val="both"/>
        <w:rPr>
          <w:color w:val="545252"/>
        </w:rPr>
      </w:pPr>
      <w:r>
        <w:rPr>
          <w:rFonts w:hint="eastAsia" w:ascii="仿宋_GB2312"/>
          <w:sz w:val="32"/>
        </w:rPr>
        <w:t>停车设施、绿道与其他交通系统的接驳设施等构成的交通衔接系统；</w:t>
      </w:r>
    </w:p>
    <w:p>
      <w:pPr>
        <w:pStyle w:val="6"/>
        <w:widowControl w:val="0"/>
        <w:numPr>
          <w:ilvl w:val="0"/>
          <w:numId w:val="1"/>
        </w:numPr>
        <w:spacing w:before="0" w:beforeAutospacing="0" w:after="0" w:afterAutospacing="0" w:line="580" w:lineRule="exact"/>
        <w:ind w:left="0" w:leftChars="0" w:firstLine="640" w:firstLineChars="200"/>
        <w:jc w:val="both"/>
        <w:rPr>
          <w:color w:val="545252"/>
        </w:rPr>
      </w:pPr>
      <w:r>
        <w:rPr>
          <w:rFonts w:hint="eastAsia" w:ascii="仿宋_GB2312"/>
          <w:sz w:val="32"/>
        </w:rPr>
        <w:t>交通信号和绿道指示标识、解说标识、警示标识等构成的标识系统；</w:t>
      </w:r>
    </w:p>
    <w:p>
      <w:pPr>
        <w:pStyle w:val="6"/>
        <w:widowControl w:val="0"/>
        <w:numPr>
          <w:ilvl w:val="0"/>
          <w:numId w:val="1"/>
        </w:numPr>
        <w:spacing w:before="0" w:beforeAutospacing="0" w:after="0" w:afterAutospacing="0" w:line="580" w:lineRule="exact"/>
        <w:ind w:left="0" w:leftChars="0" w:firstLine="640" w:firstLineChars="200"/>
        <w:jc w:val="both"/>
        <w:rPr>
          <w:color w:val="545252"/>
        </w:rPr>
      </w:pPr>
      <w:r>
        <w:rPr>
          <w:rFonts w:hint="eastAsia" w:ascii="仿宋_GB2312"/>
          <w:sz w:val="32"/>
        </w:rPr>
        <w:t>驿站、管理设施、商业服务设施、安全保障设施、无障碍设施、环境卫生设施等构成的服务设施系统；</w:t>
      </w:r>
    </w:p>
    <w:p>
      <w:pPr>
        <w:pStyle w:val="6"/>
        <w:widowControl w:val="0"/>
        <w:numPr>
          <w:ilvl w:val="0"/>
          <w:numId w:val="1"/>
        </w:numPr>
        <w:spacing w:before="0" w:beforeAutospacing="0" w:after="0" w:afterAutospacing="0" w:line="580" w:lineRule="exact"/>
        <w:ind w:left="0" w:leftChars="0" w:firstLine="640" w:firstLineChars="200"/>
        <w:jc w:val="both"/>
        <w:rPr>
          <w:color w:val="545252"/>
        </w:rPr>
      </w:pPr>
      <w:r>
        <w:rPr>
          <w:rFonts w:hint="eastAsia" w:ascii="仿宋_GB2312"/>
          <w:sz w:val="32"/>
        </w:rPr>
        <w:t>雕塑石刻、文化墙、地面喷涂等构成的文化展示和科普教育系统；</w:t>
      </w:r>
    </w:p>
    <w:p>
      <w:pPr>
        <w:pStyle w:val="6"/>
        <w:widowControl w:val="0"/>
        <w:numPr>
          <w:ilvl w:val="0"/>
          <w:numId w:val="1"/>
        </w:numPr>
        <w:spacing w:before="0" w:beforeAutospacing="0" w:after="0" w:afterAutospacing="0" w:line="580" w:lineRule="exact"/>
        <w:ind w:left="0" w:leftChars="0" w:firstLine="640" w:firstLineChars="200"/>
        <w:jc w:val="both"/>
        <w:rPr>
          <w:color w:val="545252"/>
        </w:rPr>
      </w:pPr>
      <w:r>
        <w:rPr>
          <w:rFonts w:hint="eastAsia" w:ascii="仿宋_GB2312"/>
          <w:sz w:val="32"/>
        </w:rPr>
        <w:t>景观元素、观光游乐设施、健身设施等构成的游憩健身系统。</w:t>
      </w:r>
    </w:p>
    <w:p>
      <w:pPr>
        <w:pStyle w:val="6"/>
        <w:widowControl w:val="0"/>
        <w:spacing w:before="0" w:beforeAutospacing="0" w:after="0" w:afterAutospacing="0" w:line="580" w:lineRule="exact"/>
        <w:ind w:firstLine="645"/>
        <w:jc w:val="both"/>
        <w:rPr>
          <w:color w:val="545252"/>
        </w:rPr>
      </w:pPr>
      <w:r>
        <w:rPr>
          <w:rFonts w:hint="eastAsia" w:ascii="黑体" w:hAnsi="黑体" w:eastAsia="黑体"/>
          <w:sz w:val="32"/>
        </w:rPr>
        <w:t>第十三条</w:t>
      </w:r>
      <w:r>
        <w:rPr>
          <w:rFonts w:hint="eastAsia" w:ascii="仿宋_GB2312"/>
          <w:sz w:val="32"/>
        </w:rPr>
        <w:t> 环城绿道建设应当利用和依托现有设施，与村庄整治、农林水利工程、生态环境修复治理工程、园林绿化工程等相结合，避免对自然生态环境和历史人文资源造成破坏。</w:t>
      </w:r>
    </w:p>
    <w:p>
      <w:pPr>
        <w:pStyle w:val="6"/>
        <w:widowControl w:val="0"/>
        <w:spacing w:before="0" w:beforeAutospacing="0" w:after="0" w:afterAutospacing="0" w:line="580" w:lineRule="exact"/>
        <w:ind w:firstLine="645"/>
        <w:jc w:val="both"/>
        <w:rPr>
          <w:color w:val="545252"/>
        </w:rPr>
      </w:pPr>
      <w:r>
        <w:rPr>
          <w:rFonts w:hint="eastAsia" w:ascii="黑体" w:hAnsi="黑体" w:eastAsia="黑体"/>
          <w:sz w:val="32"/>
        </w:rPr>
        <w:t>第十四条</w:t>
      </w:r>
      <w:r>
        <w:rPr>
          <w:rFonts w:hint="eastAsia" w:ascii="仿宋_GB2312"/>
          <w:sz w:val="32"/>
        </w:rPr>
        <w:t> </w:t>
      </w:r>
      <w:r>
        <w:rPr>
          <w:rFonts w:hint="eastAsia" w:ascii="仿宋_GB2312" w:hAnsi="黑体"/>
          <w:color w:val="000000"/>
          <w:spacing w:val="6"/>
          <w:sz w:val="32"/>
          <w:shd w:val="clear" w:color="auto" w:fill="FFFFFF"/>
        </w:rPr>
        <w:t>市林业和绿化主管部门负责在环城绿道的出入口、驿站等位置，按照规范统一设置具有引导、指示、解说、警示等功能的各类标识。</w:t>
      </w:r>
    </w:p>
    <w:p>
      <w:pPr>
        <w:pStyle w:val="6"/>
        <w:widowControl w:val="0"/>
        <w:spacing w:before="0" w:beforeAutospacing="0" w:after="0" w:afterAutospacing="0" w:line="580" w:lineRule="exact"/>
        <w:ind w:firstLine="640" w:firstLineChars="200"/>
        <w:jc w:val="both"/>
        <w:rPr>
          <w:color w:val="545252"/>
        </w:rPr>
      </w:pPr>
      <w:r>
        <w:rPr>
          <w:rFonts w:hint="eastAsia" w:ascii="黑体" w:hAnsi="黑体" w:eastAsia="黑体"/>
          <w:sz w:val="32"/>
        </w:rPr>
        <w:t>第十五条</w:t>
      </w:r>
      <w:r>
        <w:rPr>
          <w:rFonts w:hint="eastAsia"/>
          <w:sz w:val="32"/>
        </w:rPr>
        <w:t> </w:t>
      </w:r>
      <w:r>
        <w:rPr>
          <w:rFonts w:hint="eastAsia" w:ascii="仿宋_GB2312"/>
          <w:sz w:val="32"/>
        </w:rPr>
        <w:t>环城绿道的维护采用政府监管和市场化运作相结合的方式，可以通过委托或者公开招标等方式确定维护单位。</w:t>
      </w:r>
    </w:p>
    <w:p>
      <w:pPr>
        <w:pStyle w:val="6"/>
        <w:widowControl w:val="0"/>
        <w:spacing w:before="0" w:beforeAutospacing="0" w:after="0" w:afterAutospacing="0" w:line="580" w:lineRule="exact"/>
        <w:ind w:firstLine="645"/>
        <w:jc w:val="both"/>
        <w:rPr>
          <w:color w:val="545252"/>
        </w:rPr>
      </w:pPr>
      <w:r>
        <w:rPr>
          <w:rFonts w:hint="eastAsia" w:ascii="仿宋_GB2312"/>
          <w:sz w:val="32"/>
        </w:rPr>
        <w:t>环城绿道维护单位应当按照相关规定对环城绿道进行维护，及时修复更换破损、陈旧的配套设施。</w:t>
      </w:r>
    </w:p>
    <w:p>
      <w:pPr>
        <w:pStyle w:val="6"/>
        <w:widowControl w:val="0"/>
        <w:spacing w:before="0" w:beforeAutospacing="0" w:after="0" w:afterAutospacing="0" w:line="580" w:lineRule="exact"/>
        <w:ind w:firstLine="645"/>
        <w:jc w:val="both"/>
        <w:rPr>
          <w:color w:val="545252"/>
        </w:rPr>
      </w:pPr>
      <w:r>
        <w:rPr>
          <w:rFonts w:hint="eastAsia" w:ascii="黑体" w:hAnsi="黑体" w:eastAsia="黑体"/>
          <w:sz w:val="32"/>
        </w:rPr>
        <w:t>第十六条</w:t>
      </w:r>
      <w:r>
        <w:rPr>
          <w:rFonts w:hint="eastAsia"/>
          <w:sz w:val="32"/>
        </w:rPr>
        <w:t> </w:t>
      </w:r>
      <w:r>
        <w:rPr>
          <w:rFonts w:hint="eastAsia" w:ascii="仿宋_GB2312"/>
          <w:sz w:val="32"/>
        </w:rPr>
        <w:t>环城绿道及其控制区内禁止下列行为：</w:t>
      </w: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firstLine="420" w:firstLineChars="0"/>
        <w:textAlignment w:val="auto"/>
        <w:rPr>
          <w:rFonts w:ascii="仿宋_GB2312"/>
        </w:rPr>
      </w:pPr>
      <w:r>
        <w:rPr>
          <w:rFonts w:hint="eastAsia" w:ascii="仿宋_GB2312"/>
        </w:rPr>
        <w:t>乱丢垃圾、擅自张贴涂写刻画等破坏环城绿道环境卫生以及整体景观的；</w:t>
      </w:r>
    </w:p>
    <w:p>
      <w:pPr>
        <w:numPr>
          <w:ilvl w:val="0"/>
          <w:numId w:val="2"/>
        </w:numPr>
        <w:spacing w:line="580" w:lineRule="exact"/>
        <w:ind w:left="0" w:leftChars="0" w:firstLine="420" w:firstLineChars="0"/>
        <w:rPr>
          <w:rFonts w:ascii="仿宋_GB2312"/>
        </w:rPr>
      </w:pPr>
      <w:r>
        <w:rPr>
          <w:rFonts w:hint="eastAsia" w:ascii="仿宋_GB2312"/>
        </w:rPr>
        <w:t>占道经营、打场晒粮、堆放杂物等影响环城绿道正常使用的；</w:t>
      </w:r>
    </w:p>
    <w:p>
      <w:pPr>
        <w:pStyle w:val="6"/>
        <w:keepNext w:val="0"/>
        <w:keepLines w:val="0"/>
        <w:pageBreakBefore w:val="0"/>
        <w:widowControl w:val="0"/>
        <w:numPr>
          <w:ilvl w:val="0"/>
          <w:numId w:val="2"/>
        </w:numPr>
        <w:kinsoku/>
        <w:wordWrap/>
        <w:overflowPunct/>
        <w:topLinePunct w:val="0"/>
        <w:autoSpaceDE/>
        <w:autoSpaceDN/>
        <w:bidi w:val="0"/>
        <w:adjustRightInd/>
        <w:snapToGrid/>
        <w:spacing w:before="0" w:beforeAutospacing="0" w:after="0" w:afterAutospacing="0" w:line="580" w:lineRule="exact"/>
        <w:ind w:left="0" w:leftChars="0" w:firstLine="640" w:firstLineChars="200"/>
        <w:jc w:val="both"/>
        <w:textAlignment w:val="auto"/>
        <w:rPr>
          <w:color w:val="545252"/>
        </w:rPr>
      </w:pPr>
      <w:r>
        <w:rPr>
          <w:rFonts w:hint="eastAsia" w:ascii="仿宋_GB2312"/>
          <w:sz w:val="32"/>
        </w:rPr>
        <w:t>违规搭</w:t>
      </w:r>
      <w:bookmarkStart w:id="0" w:name="_GoBack"/>
      <w:bookmarkEnd w:id="0"/>
      <w:r>
        <w:rPr>
          <w:rFonts w:hint="eastAsia" w:ascii="仿宋_GB2312"/>
          <w:sz w:val="32"/>
        </w:rPr>
        <w:t>建临时或者永久设施、建筑物、构筑物，违规建坟立碑的；</w:t>
      </w:r>
    </w:p>
    <w:p>
      <w:pPr>
        <w:pStyle w:val="6"/>
        <w:widowControl w:val="0"/>
        <w:spacing w:before="0" w:beforeAutospacing="0" w:after="0" w:afterAutospacing="0" w:line="580" w:lineRule="exact"/>
        <w:ind w:firstLine="645"/>
        <w:jc w:val="both"/>
        <w:rPr>
          <w:rFonts w:ascii="仿宋_GB2312"/>
          <w:sz w:val="32"/>
        </w:rPr>
      </w:pPr>
      <w:r>
        <w:rPr>
          <w:rFonts w:hint="eastAsia" w:ascii="仿宋_GB2312"/>
          <w:sz w:val="32"/>
        </w:rPr>
        <w:t>（四）损坏花草树木、盗伐林木、滥伐林木的；</w:t>
      </w:r>
    </w:p>
    <w:p>
      <w:pPr>
        <w:pStyle w:val="6"/>
        <w:widowControl w:val="0"/>
        <w:spacing w:before="0" w:beforeAutospacing="0" w:after="0" w:afterAutospacing="0" w:line="580" w:lineRule="exact"/>
        <w:ind w:firstLine="645"/>
        <w:jc w:val="both"/>
        <w:rPr>
          <w:rFonts w:ascii="仿宋_GB2312"/>
          <w:sz w:val="32"/>
        </w:rPr>
      </w:pPr>
      <w:r>
        <w:rPr>
          <w:rFonts w:hint="eastAsia" w:ascii="仿宋_GB2312"/>
          <w:sz w:val="32"/>
        </w:rPr>
        <w:t>（五）破坏环城绿道配套设施的；</w:t>
      </w:r>
    </w:p>
    <w:p>
      <w:pPr>
        <w:pStyle w:val="6"/>
        <w:widowControl w:val="0"/>
        <w:spacing w:before="0" w:beforeAutospacing="0" w:after="0" w:afterAutospacing="0" w:line="580" w:lineRule="exact"/>
        <w:ind w:firstLine="645"/>
        <w:jc w:val="both"/>
        <w:rPr>
          <w:rFonts w:ascii="仿宋_GB2312"/>
          <w:sz w:val="32"/>
        </w:rPr>
      </w:pPr>
      <w:r>
        <w:rPr>
          <w:rFonts w:hint="eastAsia" w:ascii="仿宋_GB2312"/>
          <w:sz w:val="32"/>
        </w:rPr>
        <w:t>（六）擅自野外用火的；</w:t>
      </w:r>
    </w:p>
    <w:p>
      <w:pPr>
        <w:pStyle w:val="6"/>
        <w:widowControl w:val="0"/>
        <w:spacing w:before="0" w:beforeAutospacing="0" w:after="0" w:afterAutospacing="0" w:line="580" w:lineRule="exact"/>
        <w:ind w:firstLine="645"/>
        <w:jc w:val="both"/>
        <w:rPr>
          <w:color w:val="545252"/>
        </w:rPr>
      </w:pPr>
      <w:r>
        <w:rPr>
          <w:rFonts w:hint="eastAsia" w:ascii="仿宋_GB2312"/>
          <w:sz w:val="32"/>
        </w:rPr>
        <w:t>（七）法律、法规禁止的其他行为。</w:t>
      </w:r>
    </w:p>
    <w:p>
      <w:pPr>
        <w:pStyle w:val="6"/>
        <w:widowControl w:val="0"/>
        <w:snapToGrid w:val="0"/>
        <w:spacing w:before="0" w:beforeAutospacing="0" w:after="0" w:afterAutospacing="0" w:line="580" w:lineRule="exact"/>
        <w:ind w:firstLine="645"/>
        <w:jc w:val="both"/>
        <w:rPr>
          <w:color w:val="545252"/>
        </w:rPr>
      </w:pPr>
      <w:r>
        <w:rPr>
          <w:rFonts w:hint="eastAsia" w:ascii="黑体" w:hAnsi="黑体" w:eastAsia="黑体"/>
          <w:sz w:val="32"/>
        </w:rPr>
        <w:t>第十七条</w:t>
      </w:r>
      <w:r>
        <w:rPr>
          <w:rFonts w:hint="eastAsia" w:ascii="仿宋_GB2312"/>
          <w:sz w:val="32"/>
        </w:rPr>
        <w:t> 任何单位和个人不得擅自改变环城绿道控制区内的土地性质和功能。在划定控制区前已经合法修建的建筑物以及重点规划建设项目和规划道路、桥梁、涵洞等交通设施用地可以保留。</w:t>
      </w:r>
    </w:p>
    <w:p>
      <w:pPr>
        <w:pStyle w:val="6"/>
        <w:widowControl w:val="0"/>
        <w:snapToGrid w:val="0"/>
        <w:spacing w:before="0" w:beforeAutospacing="0" w:after="0" w:afterAutospacing="0" w:line="580" w:lineRule="exact"/>
        <w:ind w:firstLine="645"/>
        <w:jc w:val="both"/>
        <w:rPr>
          <w:rFonts w:ascii="仿宋_GB2312"/>
          <w:sz w:val="32"/>
        </w:rPr>
      </w:pPr>
      <w:r>
        <w:rPr>
          <w:rFonts w:hint="eastAsia" w:ascii="黑体" w:hAnsi="黑体" w:eastAsia="黑体"/>
          <w:sz w:val="32"/>
        </w:rPr>
        <w:t xml:space="preserve">第十八条  </w:t>
      </w:r>
      <w:r>
        <w:rPr>
          <w:rFonts w:hint="eastAsia" w:ascii="仿宋_GB2312"/>
          <w:sz w:val="32"/>
        </w:rPr>
        <w:t>任何单位和个人不得擅自占用、挖掘环城绿道。</w:t>
      </w:r>
    </w:p>
    <w:p>
      <w:pPr>
        <w:pStyle w:val="6"/>
        <w:widowControl w:val="0"/>
        <w:snapToGrid w:val="0"/>
        <w:spacing w:before="0" w:beforeAutospacing="0" w:after="0" w:afterAutospacing="0" w:line="580" w:lineRule="exact"/>
        <w:ind w:firstLine="645"/>
        <w:jc w:val="both"/>
        <w:rPr>
          <w:rFonts w:ascii="仿宋_GB2312"/>
          <w:sz w:val="32"/>
        </w:rPr>
      </w:pPr>
      <w:r>
        <w:rPr>
          <w:rFonts w:hint="eastAsia" w:ascii="仿宋_GB2312"/>
          <w:sz w:val="32"/>
        </w:rPr>
        <w:t>建设项目确需占用、挖掘环城绿道的，应当告知林业和绿化主管部门，并按照有关法律、法规办理相关手续；属于农村公路和城市道路的，由交通运输、城市管理等部门依据相关法律、法规办理。临时占用、挖掘环城绿道施工结束后，建设单位应当及时恢复原状。</w:t>
      </w:r>
    </w:p>
    <w:p>
      <w:pPr>
        <w:pStyle w:val="6"/>
        <w:widowControl w:val="0"/>
        <w:spacing w:before="0" w:beforeAutospacing="0" w:after="0" w:afterAutospacing="0" w:line="580" w:lineRule="exact"/>
        <w:ind w:firstLine="645"/>
        <w:jc w:val="both"/>
        <w:rPr>
          <w:color w:val="545252"/>
        </w:rPr>
      </w:pPr>
      <w:r>
        <w:rPr>
          <w:rFonts w:hint="eastAsia" w:ascii="黑体" w:hAnsi="黑体" w:eastAsia="黑体"/>
          <w:sz w:val="32"/>
        </w:rPr>
        <w:t>第十九条</w:t>
      </w:r>
      <w:r>
        <w:rPr>
          <w:rFonts w:hint="eastAsia" w:ascii="仿宋_GB2312"/>
          <w:sz w:val="32"/>
        </w:rPr>
        <w:t> 公安机关交通管理部门会同林业和绿化主管部门根据环城绿道管理需要划定货车禁行路段，禁止货车通行。其他机动车按照限速行驶，注意文明行车，确保行人和自行车优先通行。休闲慢行专用路段和建有观光专用设施的路段，禁止机动车和电动自行车通行。</w:t>
      </w:r>
    </w:p>
    <w:p>
      <w:pPr>
        <w:pStyle w:val="6"/>
        <w:widowControl w:val="0"/>
        <w:spacing w:before="0" w:beforeAutospacing="0" w:after="0" w:afterAutospacing="0" w:line="580" w:lineRule="exact"/>
        <w:ind w:firstLine="645"/>
        <w:jc w:val="both"/>
        <w:rPr>
          <w:color w:val="545252"/>
        </w:rPr>
      </w:pPr>
      <w:r>
        <w:rPr>
          <w:rFonts w:hint="eastAsia" w:ascii="黑体" w:hAnsi="黑体" w:eastAsia="黑体"/>
          <w:sz w:val="32"/>
        </w:rPr>
        <w:t>第二十条</w:t>
      </w:r>
      <w:r>
        <w:rPr>
          <w:rFonts w:hint="eastAsia" w:ascii="仿宋_GB2312"/>
          <w:sz w:val="32"/>
        </w:rPr>
        <w:t> 鼓励自然人、法人和非法人组织通过出资、公益植树、认捐、认养和认管等多种形式，参与环城绿道工作。通过各种方式参与环城绿道工作的，可以在环城绿道配套设施上设置宣传标识标语。</w:t>
      </w:r>
    </w:p>
    <w:p>
      <w:pPr>
        <w:pStyle w:val="6"/>
        <w:widowControl w:val="0"/>
        <w:spacing w:before="0" w:beforeAutospacing="0" w:after="0" w:afterAutospacing="0" w:line="580" w:lineRule="exact"/>
        <w:ind w:firstLine="645"/>
        <w:jc w:val="both"/>
        <w:rPr>
          <w:rFonts w:ascii="仿宋_GB2312"/>
          <w:sz w:val="32"/>
        </w:rPr>
      </w:pPr>
      <w:r>
        <w:rPr>
          <w:rFonts w:hint="eastAsia" w:ascii="黑体" w:hAnsi="黑体" w:eastAsia="黑体"/>
          <w:sz w:val="32"/>
        </w:rPr>
        <w:t>第二十一条</w:t>
      </w:r>
      <w:r>
        <w:rPr>
          <w:rFonts w:hint="eastAsia" w:ascii="仿宋_GB2312"/>
          <w:sz w:val="32"/>
        </w:rPr>
        <w:t> 环城绿道开发利用可以采取公益性与营利性相结合的模式，开展观光旅游、森林康养、休闲农业等项目，促进体育、文创、旅游等多元业态融合发展，提升环城绿道的景观效益和经济效益。</w:t>
      </w:r>
    </w:p>
    <w:p>
      <w:pPr>
        <w:pStyle w:val="6"/>
        <w:widowControl w:val="0"/>
        <w:spacing w:before="0" w:beforeAutospacing="0" w:after="0" w:afterAutospacing="0" w:line="580" w:lineRule="exact"/>
        <w:ind w:firstLine="645"/>
        <w:jc w:val="both"/>
        <w:rPr>
          <w:color w:val="545252"/>
        </w:rPr>
      </w:pPr>
      <w:r>
        <w:rPr>
          <w:rFonts w:hint="eastAsia" w:ascii="仿宋_GB2312"/>
          <w:sz w:val="32"/>
        </w:rPr>
        <w:t>健身、科普教育等公益性设施应当免费向公众开放。鼓励自然人、法人和非法人组织利用环城绿道开展体育健身、文化展示、科普教育以及便民服务等活动。</w:t>
      </w:r>
    </w:p>
    <w:p>
      <w:pPr>
        <w:pStyle w:val="6"/>
        <w:widowControl w:val="0"/>
        <w:spacing w:before="0" w:beforeAutospacing="0" w:after="0" w:afterAutospacing="0" w:line="580" w:lineRule="exact"/>
        <w:ind w:firstLine="645"/>
        <w:jc w:val="both"/>
        <w:rPr>
          <w:color w:val="545252"/>
        </w:rPr>
      </w:pPr>
      <w:r>
        <w:rPr>
          <w:rFonts w:hint="eastAsia" w:ascii="仿宋_GB2312"/>
          <w:sz w:val="32"/>
        </w:rPr>
        <w:t>驿站、售卖点、自行车租赁、餐饮等服务设施实行市场化经营。经营主体不得改变驿站的主题风格和基本用途。</w:t>
      </w:r>
    </w:p>
    <w:p>
      <w:pPr>
        <w:pStyle w:val="6"/>
        <w:widowControl w:val="0"/>
        <w:spacing w:before="0" w:beforeAutospacing="0" w:after="0" w:afterAutospacing="0" w:line="580" w:lineRule="exact"/>
        <w:ind w:firstLine="645"/>
        <w:jc w:val="both"/>
        <w:rPr>
          <w:rFonts w:ascii="仿宋_GB2312"/>
          <w:sz w:val="32"/>
        </w:rPr>
      </w:pPr>
      <w:r>
        <w:rPr>
          <w:rFonts w:hint="eastAsia" w:ascii="黑体" w:hAnsi="黑体" w:eastAsia="黑体"/>
          <w:sz w:val="32"/>
        </w:rPr>
        <w:t>第二十二条</w:t>
      </w:r>
      <w:r>
        <w:rPr>
          <w:rFonts w:hint="eastAsia" w:ascii="仿宋_GB2312"/>
          <w:sz w:val="32"/>
        </w:rPr>
        <w:t> 违反本条例第十六条规定的，由林业和绿化、交通运输、综合行政执法、自然资源和规划、民政、公安等部门依据相关法律、法规进行处罚。</w:t>
      </w:r>
    </w:p>
    <w:p>
      <w:pPr>
        <w:pStyle w:val="6"/>
        <w:widowControl w:val="0"/>
        <w:spacing w:before="0" w:beforeAutospacing="0" w:after="0" w:afterAutospacing="0" w:line="580" w:lineRule="exact"/>
        <w:ind w:firstLine="645"/>
        <w:jc w:val="both"/>
        <w:rPr>
          <w:rFonts w:ascii="仿宋_GB2312"/>
          <w:sz w:val="32"/>
        </w:rPr>
      </w:pPr>
      <w:r>
        <w:rPr>
          <w:rFonts w:hint="eastAsia" w:ascii="黑体" w:hAnsi="黑体" w:eastAsia="黑体"/>
          <w:sz w:val="32"/>
        </w:rPr>
        <w:t>第二十三条</w:t>
      </w:r>
      <w:r>
        <w:rPr>
          <w:rFonts w:hint="eastAsia" w:ascii="仿宋_GB2312"/>
          <w:sz w:val="32"/>
        </w:rPr>
        <w:t xml:space="preserve"> </w:t>
      </w:r>
      <w:r>
        <w:rPr>
          <w:rFonts w:ascii="仿宋_GB2312"/>
          <w:sz w:val="32"/>
        </w:rPr>
        <w:t xml:space="preserve"> </w:t>
      </w:r>
      <w:r>
        <w:rPr>
          <w:rFonts w:hint="eastAsia" w:ascii="仿宋_GB2312"/>
          <w:sz w:val="32"/>
        </w:rPr>
        <w:t>违反本条例第十八条第一款规定的，由林业和绿化主管部门责令限期改正，处五百元以上五千元以下的罚款；情节严重的，处五千元以上一万元以下的罚款。属于农村公路和城市道路的，由交通运输部门、综合行政执法部门按照有关法律、法规进行处罚。</w:t>
      </w:r>
    </w:p>
    <w:p>
      <w:pPr>
        <w:pStyle w:val="6"/>
        <w:widowControl w:val="0"/>
        <w:spacing w:before="0" w:beforeAutospacing="0" w:after="0" w:afterAutospacing="0" w:line="580" w:lineRule="exact"/>
        <w:ind w:firstLine="645"/>
        <w:jc w:val="both"/>
        <w:rPr>
          <w:rFonts w:ascii="仿宋_GB2312"/>
          <w:sz w:val="32"/>
        </w:rPr>
      </w:pPr>
      <w:r>
        <w:rPr>
          <w:rFonts w:hint="eastAsia" w:ascii="黑体" w:hAnsi="黑体" w:eastAsia="黑体"/>
          <w:sz w:val="32"/>
        </w:rPr>
        <w:t>第二十四条</w:t>
      </w:r>
      <w:r>
        <w:rPr>
          <w:rFonts w:hint="eastAsia"/>
          <w:sz w:val="32"/>
        </w:rPr>
        <w:t> </w:t>
      </w:r>
      <w:r>
        <w:rPr>
          <w:rFonts w:hint="eastAsia" w:ascii="仿宋_GB2312"/>
          <w:sz w:val="32"/>
        </w:rPr>
        <w:t>环城绿道管理相关部门及其工作人员违反本条例规定，有下列行为之一的，由所在单位或者上级主管部门依法给予处分；构成犯罪的，依法追究刑事责任：</w:t>
      </w:r>
    </w:p>
    <w:p>
      <w:pPr>
        <w:pStyle w:val="6"/>
        <w:widowControl w:val="0"/>
        <w:spacing w:before="0" w:beforeAutospacing="0" w:after="0" w:afterAutospacing="0" w:line="580" w:lineRule="exact"/>
        <w:ind w:firstLine="645"/>
        <w:jc w:val="both"/>
        <w:rPr>
          <w:rFonts w:ascii="仿宋_GB2312"/>
          <w:sz w:val="32"/>
        </w:rPr>
      </w:pPr>
      <w:r>
        <w:rPr>
          <w:rFonts w:hint="eastAsia" w:ascii="仿宋_GB2312"/>
          <w:sz w:val="32"/>
        </w:rPr>
        <w:t>（一）未依照法定程序和权限编制、调整环城绿道规划的；</w:t>
      </w:r>
    </w:p>
    <w:p>
      <w:pPr>
        <w:pStyle w:val="6"/>
        <w:widowControl w:val="0"/>
        <w:spacing w:before="0" w:beforeAutospacing="0" w:after="0" w:afterAutospacing="0" w:line="580" w:lineRule="exact"/>
        <w:ind w:firstLine="640" w:firstLineChars="200"/>
        <w:jc w:val="both"/>
        <w:rPr>
          <w:color w:val="545252"/>
        </w:rPr>
      </w:pPr>
      <w:r>
        <w:rPr>
          <w:rFonts w:hint="eastAsia" w:ascii="仿宋_GB2312"/>
          <w:sz w:val="32"/>
        </w:rPr>
        <w:t>（二）未依法履行监管职责的；</w:t>
      </w:r>
    </w:p>
    <w:p>
      <w:pPr>
        <w:pStyle w:val="6"/>
        <w:widowControl w:val="0"/>
        <w:spacing w:before="0" w:beforeAutospacing="0" w:after="0" w:afterAutospacing="0" w:line="580" w:lineRule="exact"/>
        <w:ind w:firstLine="640" w:firstLineChars="200"/>
        <w:jc w:val="both"/>
        <w:rPr>
          <w:color w:val="545252"/>
        </w:rPr>
      </w:pPr>
      <w:r>
        <w:rPr>
          <w:rFonts w:hint="eastAsia" w:ascii="仿宋_GB2312"/>
          <w:sz w:val="32"/>
        </w:rPr>
        <w:t>（三）其他滥用职权、徇私舞弊、玩忽职守的行为。</w:t>
      </w:r>
    </w:p>
    <w:p>
      <w:pPr>
        <w:pStyle w:val="6"/>
        <w:widowControl w:val="0"/>
        <w:spacing w:before="0" w:beforeAutospacing="0" w:after="0" w:afterAutospacing="0" w:line="580" w:lineRule="exact"/>
        <w:ind w:firstLine="640" w:firstLineChars="200"/>
        <w:jc w:val="both"/>
        <w:rPr>
          <w:color w:val="545252"/>
        </w:rPr>
      </w:pPr>
      <w:r>
        <w:rPr>
          <w:rFonts w:hint="eastAsia" w:ascii="黑体" w:hAnsi="黑体" w:eastAsia="黑体"/>
          <w:sz w:val="32"/>
        </w:rPr>
        <w:t>第二十五条</w:t>
      </w:r>
      <w:r>
        <w:rPr>
          <w:rFonts w:hint="eastAsia"/>
          <w:sz w:val="32"/>
        </w:rPr>
        <w:t> </w:t>
      </w:r>
      <w:r>
        <w:rPr>
          <w:rFonts w:hint="eastAsia" w:ascii="仿宋_GB2312"/>
          <w:sz w:val="32"/>
        </w:rPr>
        <w:t>违反本条例规定的行为，法律、法规已规定法律责任的，从其规定。</w:t>
      </w:r>
    </w:p>
    <w:p>
      <w:pPr>
        <w:pStyle w:val="6"/>
        <w:widowControl w:val="0"/>
        <w:spacing w:before="0" w:beforeAutospacing="0" w:after="0" w:afterAutospacing="0" w:line="580" w:lineRule="exact"/>
        <w:ind w:firstLine="640" w:firstLineChars="200"/>
        <w:jc w:val="both"/>
        <w:rPr>
          <w:color w:val="545252"/>
        </w:rPr>
      </w:pPr>
      <w:r>
        <w:rPr>
          <w:rFonts w:hint="eastAsia" w:ascii="黑体" w:hAnsi="黑体" w:eastAsia="黑体"/>
          <w:sz w:val="32"/>
        </w:rPr>
        <w:t>第二十六条</w:t>
      </w:r>
      <w:r>
        <w:rPr>
          <w:rFonts w:hint="eastAsia" w:ascii="仿宋_GB2312"/>
          <w:sz w:val="32"/>
        </w:rPr>
        <w:t> 本条例自</w:t>
      </w:r>
      <w:r>
        <w:rPr>
          <w:rFonts w:hint="eastAsia" w:ascii="仿宋_GB2312" w:hAnsi="黑体"/>
          <w:sz w:val="32"/>
        </w:rPr>
        <w:t>2021年10月1</w:t>
      </w:r>
      <w:r>
        <w:rPr>
          <w:rFonts w:ascii="Times New Roman" w:hAnsi="Times New Roman"/>
          <w:sz w:val="32"/>
        </w:rPr>
        <w:t>日</w:t>
      </w:r>
      <w:r>
        <w:rPr>
          <w:rFonts w:hint="eastAsia" w:ascii="仿宋_GB2312"/>
          <w:sz w:val="32"/>
        </w:rPr>
        <w:t>起施行。</w:t>
      </w:r>
    </w:p>
    <w:p>
      <w:pPr>
        <w:tabs>
          <w:tab w:val="left" w:pos="2160"/>
        </w:tabs>
        <w:spacing w:line="580" w:lineRule="exact"/>
        <w:jc w:val="left"/>
        <w:rPr>
          <w:rFonts w:ascii="方正小标宋_GBK" w:hAnsi="仿宋" w:eastAsia="方正小标宋_GBK"/>
          <w:bCs/>
          <w:color w:val="000000"/>
          <w:sz w:val="44"/>
          <w:szCs w:val="44"/>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6783CD"/>
    <w:multiLevelType w:val="singleLevel"/>
    <w:tmpl w:val="416783CD"/>
    <w:lvl w:ilvl="0" w:tentative="0">
      <w:start w:val="1"/>
      <w:numFmt w:val="chineseCounting"/>
      <w:suff w:val="nothing"/>
      <w:lvlText w:val="（%1）"/>
      <w:lvlJc w:val="left"/>
      <w:pPr>
        <w:ind w:left="0" w:firstLine="420"/>
      </w:pPr>
      <w:rPr>
        <w:rFonts w:hint="eastAsia" w:eastAsia="仿宋"/>
        <w:color w:val="000000" w:themeColor="text1"/>
        <w:sz w:val="32"/>
        <w14:textFill>
          <w14:solidFill>
            <w14:schemeClr w14:val="tx1"/>
          </w14:solidFill>
        </w14:textFill>
      </w:rPr>
    </w:lvl>
  </w:abstractNum>
  <w:abstractNum w:abstractNumId="1">
    <w:nsid w:val="77D68FB6"/>
    <w:multiLevelType w:val="singleLevel"/>
    <w:tmpl w:val="77D68FB6"/>
    <w:lvl w:ilvl="0" w:tentative="0">
      <w:start w:val="1"/>
      <w:numFmt w:val="chineseCounting"/>
      <w:suff w:val="nothing"/>
      <w:lvlText w:val="（%1）"/>
      <w:lvlJc w:val="left"/>
      <w:pPr>
        <w:ind w:left="0" w:firstLine="420"/>
      </w:pPr>
      <w:rPr>
        <w:rFonts w:hint="eastAsia" w:eastAsia="仿宋"/>
        <w:color w:val="000000" w:themeColor="text1"/>
        <w:sz w:val="32"/>
        <w14:textFill>
          <w14:solidFill>
            <w14:schemeClr w14:val="tx1"/>
          </w14:solidFill>
        </w14:textFil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E87B57"/>
    <w:rsid w:val="00140CD2"/>
    <w:rsid w:val="23E87B57"/>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3">
    <w:name w:val="heading 2"/>
    <w:basedOn w:val="1"/>
    <w:next w:val="1"/>
    <w:qFormat/>
    <w:uiPriority w:val="0"/>
    <w:pPr>
      <w:widowControl/>
      <w:spacing w:before="100" w:beforeAutospacing="1" w:after="100" w:afterAutospacing="1"/>
      <w:jc w:val="left"/>
      <w:outlineLvl w:val="1"/>
    </w:pPr>
    <w:rPr>
      <w:rFonts w:ascii="宋体" w:hAnsi="宋体" w:cs="宋体"/>
      <w:b/>
      <w:bCs/>
      <w:sz w:val="36"/>
      <w:szCs w:val="36"/>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仿宋_GB2312" w:hAnsi="仿宋_GB2312" w:eastAsia="仿宋_GB2312" w:cs="Times New Roman"/>
      <w:color w:val="000000"/>
      <w:sz w:val="24"/>
      <w:szCs w:val="22"/>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widowControl/>
      <w:spacing w:before="100" w:beforeAutospacing="1" w:after="100" w:afterAutospacing="1"/>
      <w:jc w:val="left"/>
    </w:pPr>
    <w:rPr>
      <w:rFonts w:ascii="宋体" w:hAnsi="宋体"/>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2021-08-19T06:42:00Z</dcterms:created>
  <dc:creator>苏健 }</dc:creator>
  <cp:lastModifiedBy>PC399</cp:lastModifiedBy>
  <dcterms:modified xsi:type="dcterms:W3CDTF">2021-08-26T09:08:42Z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A116FC855A4A4F53854466B4ABBA3A6D</vt:lpwstr>
  </property>
</Properties>
</file>