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ascii="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ascii="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sz w:val="44"/>
          <w:szCs w:val="44"/>
        </w:rPr>
      </w:pPr>
      <w:r>
        <w:rPr>
          <w:rFonts w:hint="eastAsia" w:asciiTheme="minorEastAsia" w:hAnsiTheme="minorEastAsia" w:eastAsiaTheme="minorEastAsia" w:cstheme="minorEastAsia"/>
          <w:sz w:val="44"/>
          <w:szCs w:val="44"/>
        </w:rPr>
        <w:t>泰安市制定地方性法规条例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4" w:leftChars="201" w:right="641" w:rightChars="203" w:hanging="2" w:firstLineChars="0"/>
        <w:textAlignment w:val="auto"/>
        <w:outlineLvl w:val="9"/>
        <w:rPr>
          <w:rFonts w:ascii="楷体_GB2312" w:hAnsi="??" w:eastAsia="楷体_GB2312"/>
          <w:sz w:val="32"/>
          <w:szCs w:val="32"/>
        </w:rPr>
      </w:pPr>
      <w:r>
        <w:rPr>
          <w:rFonts w:hint="eastAsia" w:ascii="楷体_GB2312" w:hAnsi="??" w:eastAsia="楷体_GB2312"/>
          <w:sz w:val="32"/>
          <w:szCs w:val="32"/>
        </w:rPr>
        <w:t>（</w:t>
      </w:r>
      <w:r>
        <w:rPr>
          <w:rFonts w:ascii="楷体_GB2312" w:hAnsi="??" w:eastAsia="楷体_GB2312"/>
          <w:sz w:val="32"/>
          <w:szCs w:val="32"/>
        </w:rPr>
        <w:t>2016</w:t>
      </w:r>
      <w:r>
        <w:rPr>
          <w:rFonts w:hint="eastAsia" w:ascii="楷体_GB2312" w:hAnsi="??" w:eastAsia="楷体_GB2312"/>
          <w:sz w:val="32"/>
          <w:szCs w:val="32"/>
        </w:rPr>
        <w:t>年</w:t>
      </w:r>
      <w:r>
        <w:rPr>
          <w:rFonts w:ascii="楷体_GB2312" w:hAnsi="??" w:eastAsia="楷体_GB2312"/>
          <w:sz w:val="32"/>
          <w:szCs w:val="32"/>
        </w:rPr>
        <w:t>1</w:t>
      </w:r>
      <w:r>
        <w:rPr>
          <w:rFonts w:hint="eastAsia" w:ascii="楷体_GB2312" w:hAnsi="??" w:eastAsia="楷体_GB2312"/>
          <w:sz w:val="32"/>
          <w:szCs w:val="32"/>
        </w:rPr>
        <w:t>月</w:t>
      </w:r>
      <w:r>
        <w:rPr>
          <w:rFonts w:ascii="楷体_GB2312" w:hAnsi="??" w:eastAsia="楷体_GB2312"/>
          <w:sz w:val="32"/>
          <w:szCs w:val="32"/>
        </w:rPr>
        <w:t>21</w:t>
      </w:r>
      <w:r>
        <w:rPr>
          <w:rFonts w:hint="eastAsia" w:ascii="楷体_GB2312" w:hAnsi="??" w:eastAsia="楷体_GB2312"/>
          <w:sz w:val="32"/>
          <w:szCs w:val="32"/>
        </w:rPr>
        <w:t>日泰安市第十六届人民代表大会第五次会议通过</w:t>
      </w:r>
      <w:r>
        <w:rPr>
          <w:rFonts w:hint="eastAsia" w:ascii="楷体_GB2312" w:hAnsi="??" w:eastAsia="楷体_GB2312"/>
          <w:sz w:val="32"/>
          <w:szCs w:val="32"/>
          <w:lang w:val="en-US" w:eastAsia="zh-CN"/>
        </w:rPr>
        <w:t xml:space="preserve">  </w:t>
      </w:r>
      <w:r>
        <w:rPr>
          <w:rFonts w:hint="eastAsia" w:ascii="楷体_GB2312" w:hAnsi="??" w:eastAsia="楷体_GB2312"/>
          <w:sz w:val="32"/>
          <w:szCs w:val="32"/>
        </w:rPr>
        <w:t>2016年3月30日山东省第十二届人民代表大会常务委员会第二十次会议批准</w:t>
      </w:r>
      <w:r>
        <w:rPr>
          <w:rFonts w:hint="eastAsia" w:ascii="楷体_GB2312" w:hAnsi="??" w:eastAsia="楷体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楷体_GB2312" w:hAnsi="黑体" w:eastAsia="楷体_GB2312"/>
          <w:sz w:val="32"/>
          <w:szCs w:val="32"/>
        </w:rPr>
      </w:pPr>
      <w:r>
        <w:rPr>
          <w:rFonts w:hint="eastAsia" w:ascii="楷体_GB2312" w:hAnsi="黑体" w:eastAsia="楷体_GB2312"/>
          <w:sz w:val="32"/>
          <w:szCs w:val="32"/>
          <w:lang w:eastAsia="zh-CN"/>
        </w:rPr>
        <w:t>目</w:t>
      </w:r>
      <w:r>
        <w:rPr>
          <w:rFonts w:hint="eastAsia" w:ascii="楷体_GB2312" w:hAnsi="黑体" w:eastAsia="楷体_GB2312"/>
          <w:sz w:val="32"/>
          <w:szCs w:val="32"/>
          <w:lang w:val="en-US" w:eastAsia="zh-CN"/>
        </w:rPr>
        <w:t xml:space="preserve">    </w:t>
      </w:r>
      <w:r>
        <w:rPr>
          <w:rFonts w:hint="eastAsia" w:ascii="楷体_GB2312" w:hAnsi="黑体" w:eastAsia="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left"/>
        <w:textAlignment w:val="auto"/>
        <w:outlineLvl w:val="9"/>
        <w:rPr>
          <w:rFonts w:hint="eastAsia" w:ascii="宋体" w:hAnsi="宋体" w:eastAsia="宋体" w:cs="宋体"/>
          <w:sz w:val="32"/>
          <w:szCs w:val="32"/>
        </w:rPr>
      </w:pPr>
      <w:r>
        <w:rPr>
          <w:rFonts w:hint="eastAsia" w:ascii="楷体_GB2312" w:hAnsi="??" w:eastAsia="楷体_GB2312"/>
          <w:sz w:val="32"/>
          <w:szCs w:val="32"/>
        </w:rPr>
        <w:t>第一章</w:t>
      </w:r>
      <w:r>
        <w:rPr>
          <w:rFonts w:hint="eastAsia" w:ascii="楷体_GB2312" w:hAnsi="??" w:eastAsia="楷体_GB2312"/>
          <w:sz w:val="32"/>
          <w:szCs w:val="32"/>
          <w:lang w:val="en-US" w:eastAsia="zh-CN"/>
        </w:rPr>
        <w:t xml:space="preserve">  </w:t>
      </w:r>
      <w:r>
        <w:rPr>
          <w:rFonts w:hint="eastAsia" w:ascii="楷体_GB2312" w:hAnsi="楷体_GB2312" w:eastAsia="楷体_GB2312" w:cs="楷体_GB2312"/>
          <w:sz w:val="32"/>
          <w:szCs w:val="32"/>
        </w:rPr>
        <w:t>总则</w:t>
      </w:r>
      <w:r>
        <w:rPr>
          <w:rFonts w:ascii="仿宋_GB2312" w:hAnsi="??" w:eastAsia="仿宋_GB2312"/>
          <w:sz w:val="32"/>
          <w:szCs w:val="32"/>
        </w:rPr>
        <w:t xml:space="preserve"> </w:t>
      </w:r>
      <w:r>
        <w:rPr>
          <w:rFonts w:ascii="仿宋_GB2312" w:hAnsi="??" w:eastAsia="仿宋_GB2312"/>
          <w:sz w:val="32"/>
          <w:szCs w:val="32"/>
        </w:rPr>
        <w:br w:type="textWrapping"/>
      </w:r>
      <w:r>
        <w:rPr>
          <w:rFonts w:hint="eastAsia" w:ascii="宋体" w:hAnsi="宋体" w:eastAsia="宋体" w:cs="宋体"/>
          <w:sz w:val="32"/>
          <w:szCs w:val="32"/>
        </w:rPr>
        <w:t>　　</w:t>
      </w:r>
      <w:r>
        <w:rPr>
          <w:rFonts w:hint="eastAsia" w:ascii="楷体_GB2312" w:hAnsi="??" w:eastAsia="楷体_GB2312"/>
          <w:sz w:val="32"/>
          <w:szCs w:val="32"/>
        </w:rPr>
        <w:t>第二章</w:t>
      </w:r>
      <w:r>
        <w:rPr>
          <w:rFonts w:hint="eastAsia" w:ascii="楷体_GB2312" w:hAnsi="??" w:eastAsia="楷体_GB2312"/>
          <w:sz w:val="32"/>
          <w:szCs w:val="32"/>
          <w:lang w:val="en-US" w:eastAsia="zh-CN"/>
        </w:rPr>
        <w:t xml:space="preserve">  </w:t>
      </w:r>
      <w:r>
        <w:rPr>
          <w:rFonts w:hint="eastAsia" w:ascii="楷体_GB2312" w:hAnsi="楷体_GB2312" w:eastAsia="楷体_GB2312" w:cs="楷体_GB2312"/>
          <w:sz w:val="32"/>
          <w:szCs w:val="32"/>
        </w:rPr>
        <w:t>市人民代表大会立法程序</w:t>
      </w:r>
      <w:r>
        <w:rPr>
          <w:rFonts w:ascii="仿宋_GB2312" w:hAnsi="??" w:eastAsia="仿宋_GB2312"/>
          <w:sz w:val="32"/>
          <w:szCs w:val="32"/>
        </w:rPr>
        <w:br w:type="textWrapping"/>
      </w:r>
      <w:r>
        <w:rPr>
          <w:rFonts w:hint="eastAsia" w:ascii="宋体" w:hAnsi="宋体" w:eastAsia="宋体" w:cs="宋体"/>
          <w:sz w:val="32"/>
          <w:szCs w:val="32"/>
        </w:rPr>
        <w:t>　　</w:t>
      </w:r>
      <w:r>
        <w:rPr>
          <w:rFonts w:hint="eastAsia" w:ascii="楷体_GB2312" w:hAnsi="??" w:eastAsia="楷体_GB2312"/>
          <w:sz w:val="32"/>
          <w:szCs w:val="32"/>
        </w:rPr>
        <w:t>第三章</w:t>
      </w:r>
      <w:r>
        <w:rPr>
          <w:rFonts w:hint="eastAsia" w:ascii="楷体_GB2312" w:hAnsi="??" w:eastAsia="楷体_GB2312"/>
          <w:sz w:val="32"/>
          <w:szCs w:val="32"/>
          <w:lang w:val="en-US" w:eastAsia="zh-CN"/>
        </w:rPr>
        <w:t xml:space="preserve">  </w:t>
      </w:r>
      <w:r>
        <w:rPr>
          <w:rFonts w:hint="eastAsia" w:ascii="楷体_GB2312" w:hAnsi="楷体_GB2312" w:eastAsia="楷体_GB2312" w:cs="楷体_GB2312"/>
          <w:sz w:val="32"/>
          <w:szCs w:val="32"/>
        </w:rPr>
        <w:t>市人民代表大会常务委员会立法程序</w:t>
      </w:r>
      <w:r>
        <w:rPr>
          <w:rFonts w:ascii="仿宋_GB2312" w:hAnsi="??" w:eastAsia="仿宋_GB2312"/>
          <w:sz w:val="32"/>
          <w:szCs w:val="32"/>
        </w:rPr>
        <w:br w:type="textWrapping"/>
      </w:r>
      <w:r>
        <w:rPr>
          <w:rFonts w:hint="eastAsia" w:ascii="宋体" w:hAnsi="宋体" w:eastAsia="宋体" w:cs="宋体"/>
          <w:sz w:val="32"/>
          <w:szCs w:val="32"/>
        </w:rPr>
        <w:t>　　</w:t>
      </w:r>
      <w:r>
        <w:rPr>
          <w:rFonts w:hint="eastAsia" w:ascii="楷体_GB2312" w:hAnsi="??" w:eastAsia="楷体_GB2312"/>
          <w:sz w:val="32"/>
          <w:szCs w:val="32"/>
        </w:rPr>
        <w:t>第四章</w:t>
      </w:r>
      <w:r>
        <w:rPr>
          <w:rFonts w:hint="eastAsia" w:ascii="楷体_GB2312" w:hAnsi="??" w:eastAsia="楷体_GB2312"/>
          <w:sz w:val="32"/>
          <w:szCs w:val="32"/>
          <w:lang w:val="en-US" w:eastAsia="zh-CN"/>
        </w:rPr>
        <w:t xml:space="preserve">  </w:t>
      </w:r>
      <w:r>
        <w:rPr>
          <w:rFonts w:hint="eastAsia" w:ascii="楷体_GB2312" w:hAnsi="楷体_GB2312" w:eastAsia="楷体_GB2312" w:cs="楷体_GB2312"/>
          <w:sz w:val="32"/>
          <w:szCs w:val="32"/>
        </w:rPr>
        <w:t>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left"/>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eastAsia="zh-CN"/>
        </w:rPr>
        <w:t>第一章</w:t>
      </w:r>
      <w:r>
        <w:rPr>
          <w:rFonts w:hint="eastAsia" w:ascii="黑体" w:hAnsi="黑体" w:eastAsia="黑体"/>
          <w:sz w:val="32"/>
          <w:szCs w:val="32"/>
          <w:lang w:val="en-US" w:eastAsia="zh-CN"/>
        </w:rPr>
        <w:t xml:space="preserve">  </w:t>
      </w:r>
      <w:r>
        <w:rPr>
          <w:rFonts w:hint="eastAsia" w:ascii="黑体" w:hAnsi="黑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规范泰安市立法活动，完善程序、提高质量，发挥立法的引领和推动作用，根据《中华人民共和国地方各级人民代表大会和地方各级人民政府组织法》、《中华人民共和国立法法》、《山东省制定和批准地方性法规条例》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黑体" w:eastAsia="黑体"/>
          <w:sz w:val="32"/>
          <w:szCs w:val="32"/>
        </w:rPr>
        <w:t>第二条</w:t>
      </w:r>
      <w:r>
        <w:rPr>
          <w:rFonts w:ascii="仿宋_GB2312" w:eastAsia="仿宋_GB2312"/>
          <w:sz w:val="32"/>
          <w:szCs w:val="32"/>
        </w:rPr>
        <w:t xml:space="preserve">  </w:t>
      </w:r>
      <w:r>
        <w:rPr>
          <w:rFonts w:hint="eastAsia" w:ascii="仿宋_GB2312" w:eastAsia="仿宋_GB2312"/>
          <w:sz w:val="32"/>
          <w:szCs w:val="32"/>
        </w:rPr>
        <w:t>市人民代表大会及其常务委员会制定、修改、废止、解释地方性法规及相关活动，适用本条例。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黑体" w:eastAsia="黑体"/>
          <w:sz w:val="32"/>
          <w:szCs w:val="32"/>
        </w:rPr>
        <w:t>第三条</w:t>
      </w:r>
      <w:r>
        <w:rPr>
          <w:rFonts w:ascii="仿宋_GB2312" w:eastAsia="仿宋_GB2312"/>
          <w:sz w:val="32"/>
          <w:szCs w:val="32"/>
        </w:rPr>
        <w:t xml:space="preserve">  </w:t>
      </w:r>
      <w:r>
        <w:rPr>
          <w:rFonts w:hint="eastAsia" w:ascii="仿宋_GB2312" w:eastAsia="仿宋_GB2312"/>
          <w:sz w:val="32"/>
          <w:szCs w:val="32"/>
        </w:rPr>
        <w:t>制定地方性法规，应遵循宪法的基本原则，依照法定程序和权限，</w:t>
      </w:r>
      <w:r>
        <w:rPr>
          <w:rFonts w:hint="eastAsia" w:ascii="仿宋_GB2312" w:hAnsi="黑体" w:eastAsia="仿宋_GB2312"/>
          <w:sz w:val="32"/>
          <w:szCs w:val="32"/>
        </w:rPr>
        <w:t>立足本市实际、坚持问题导向、注重立法质量、体现地方特色</w:t>
      </w:r>
      <w:r>
        <w:rPr>
          <w:rFonts w:hint="eastAsia" w:ascii="仿宋_GB2312" w:eastAsia="仿宋_GB2312"/>
          <w:sz w:val="32"/>
          <w:szCs w:val="32"/>
        </w:rPr>
        <w:t>，做到不抵触、不重复、可操作、真管用。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（一）不得与宪法、法律、行政法规和山东省地方性法规、规章相抵触；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（二）不重复规定宪法、法律、行政法规和山东省地方性法规相关内容；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（三）注重法规可操作性；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（四）注重法规实效性。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黑体" w:eastAsia="黑体"/>
          <w:sz w:val="32"/>
          <w:szCs w:val="32"/>
        </w:rPr>
        <w:t>第四条</w:t>
      </w:r>
      <w:r>
        <w:rPr>
          <w:rFonts w:ascii="仿宋_GB2312" w:eastAsia="仿宋_GB2312"/>
          <w:sz w:val="32"/>
          <w:szCs w:val="32"/>
        </w:rPr>
        <w:t xml:space="preserve">  </w:t>
      </w:r>
      <w:r>
        <w:rPr>
          <w:rFonts w:hint="eastAsia" w:ascii="仿宋_GB2312" w:eastAsia="仿宋_GB2312"/>
          <w:sz w:val="32"/>
          <w:szCs w:val="32"/>
        </w:rPr>
        <w:t>规定本市行政区域内特别重大事项的地方性法规，由市人民代表大会通过。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市人民代表大会闭会期间，市人民代表大会常务委员会（以下简称常务委员会）可以对市人民代表大会制定的地方性法规进行部分补充和修改，但不得同该法规的基本原则相抵触。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市人民代表大会有权改变或者撤销常务委员会制定的不适当的地方性法规。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黑体" w:eastAsia="黑体"/>
          <w:sz w:val="32"/>
          <w:szCs w:val="32"/>
        </w:rPr>
        <w:t>第五条</w:t>
      </w:r>
      <w:r>
        <w:rPr>
          <w:rFonts w:ascii="仿宋_GB2312" w:eastAsia="仿宋_GB2312"/>
          <w:sz w:val="32"/>
          <w:szCs w:val="32"/>
        </w:rPr>
        <w:t xml:space="preserve">  </w:t>
      </w:r>
      <w:r>
        <w:rPr>
          <w:rFonts w:hint="eastAsia" w:ascii="仿宋_GB2312" w:eastAsia="仿宋_GB2312"/>
          <w:sz w:val="32"/>
          <w:szCs w:val="32"/>
        </w:rPr>
        <w:t>市人民代表大会及其常务委员会可以对本行政区域内的城乡建设与管理、环境保护和历史文化保护等方面的以下事项制定地方性法规：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（一）为执行法律、行政法规和省人大及其常务委员会制定的地方性法规的规定，需要根据本市实际作出具体规定的事项；</w:t>
      </w:r>
      <w:r>
        <w:rPr>
          <w:rFonts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（二）属于本市地方性事务，需要制定地方性法规的事项；</w:t>
      </w:r>
      <w:r>
        <w:rPr>
          <w:rFonts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三）除只能由法律规定的事项外，国家尚未制定法律或者行政法规的，根据本市实际，需要先行制定地方性法规的事项。在国家制定的法律或者行政法规生效后，地方性法规同法律或者行政法规相抵触的规定无效，市人民代表大会或者常务委员会应当及时予以修改或者废止。</w:t>
      </w:r>
      <w:r>
        <w:rPr>
          <w:rFonts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第六条</w:t>
      </w:r>
      <w:r>
        <w:rPr>
          <w:rFonts w:ascii="仿宋_GB2312" w:eastAsia="仿宋_GB2312"/>
          <w:sz w:val="32"/>
          <w:szCs w:val="32"/>
        </w:rPr>
        <w:t xml:space="preserve">  </w:t>
      </w:r>
      <w:r>
        <w:rPr>
          <w:rFonts w:hint="eastAsia" w:ascii="仿宋_GB2312" w:eastAsia="仿宋_GB2312"/>
          <w:sz w:val="32"/>
          <w:szCs w:val="32"/>
        </w:rPr>
        <w:t>地方性法规需报山东省人民代表大会常务委员会批准后，由泰安市人民代表大会常务委员会发布公告予以公布。于公布后十日内在《泰安日报》刊发，并及时在中国人大网、《泰安市人民代表大会常务委员会公报》刊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在常务委员会公报刊发的地方性法规文本为标准文本。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黑体" w:eastAsia="黑体"/>
          <w:sz w:val="32"/>
          <w:szCs w:val="32"/>
        </w:rPr>
        <w:t>第七条</w:t>
      </w:r>
      <w:r>
        <w:rPr>
          <w:rFonts w:ascii="仿宋_GB2312" w:eastAsia="仿宋_GB2312"/>
          <w:sz w:val="32"/>
          <w:szCs w:val="32"/>
        </w:rPr>
        <w:t xml:space="preserve">  </w:t>
      </w:r>
      <w:r>
        <w:rPr>
          <w:rFonts w:hint="eastAsia" w:ascii="仿宋_GB2312" w:eastAsia="仿宋_GB2312"/>
          <w:sz w:val="32"/>
          <w:szCs w:val="32"/>
        </w:rPr>
        <w:t>本市地方性法规立法所需经费，列入市本级财政预算。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第八条</w:t>
      </w:r>
      <w:r>
        <w:rPr>
          <w:rFonts w:hint="eastAsia" w:ascii="仿宋_GB2312" w:eastAsia="仿宋_GB2312"/>
          <w:sz w:val="32"/>
          <w:szCs w:val="32"/>
        </w:rPr>
        <w:t>　根据本市经济社会发展和民主法治建设的实际需要，市人民代表大会常务委员会编制立法规划和年度立法计划，由主任会议通过并向社会公布。</w:t>
      </w:r>
      <w:r>
        <w:rPr>
          <w:rFonts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3"/>
        <w:textAlignment w:val="auto"/>
        <w:outlineLvl w:val="9"/>
        <w:rPr>
          <w:rFonts w:ascii="仿宋_GB2312" w:eastAsia="仿宋_GB2312"/>
          <w:sz w:val="32"/>
          <w:szCs w:val="32"/>
        </w:rPr>
      </w:pPr>
      <w:r>
        <w:rPr>
          <w:rFonts w:hint="eastAsia" w:ascii="黑体" w:eastAsia="黑体"/>
          <w:sz w:val="32"/>
          <w:szCs w:val="32"/>
        </w:rPr>
        <w:t>第九条</w:t>
      </w:r>
      <w:r>
        <w:rPr>
          <w:rFonts w:ascii="仿宋_GB2312" w:eastAsia="仿宋_GB2312"/>
          <w:sz w:val="32"/>
          <w:szCs w:val="32"/>
        </w:rPr>
        <w:t xml:space="preserve">  </w:t>
      </w:r>
      <w:r>
        <w:rPr>
          <w:rFonts w:hint="eastAsia" w:ascii="仿宋_GB2312" w:eastAsia="仿宋_GB2312"/>
          <w:sz w:val="32"/>
          <w:szCs w:val="32"/>
        </w:rPr>
        <w:t>编制立法规划应面向社会公开征求立法项目、立法建议，具体工作由常务委员会法制工作机构负责。</w:t>
      </w:r>
      <w:r>
        <w:rPr>
          <w:rFonts w:ascii="仿宋_GB2312" w:eastAsia="仿宋_GB2312"/>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eastAsia="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lang w:eastAsia="zh-CN"/>
        </w:rPr>
      </w:pPr>
      <w:r>
        <w:rPr>
          <w:rFonts w:hint="eastAsia" w:ascii="黑体" w:eastAsia="黑体"/>
          <w:sz w:val="32"/>
          <w:szCs w:val="32"/>
          <w:lang w:eastAsia="zh-CN"/>
        </w:rPr>
        <w:t>第二章</w:t>
      </w:r>
      <w:r>
        <w:rPr>
          <w:rFonts w:hint="eastAsia" w:ascii="黑体" w:eastAsia="黑体"/>
          <w:sz w:val="32"/>
          <w:szCs w:val="32"/>
          <w:lang w:val="en-US" w:eastAsia="zh-CN"/>
        </w:rPr>
        <w:t xml:space="preserve">  </w:t>
      </w:r>
      <w:r>
        <w:rPr>
          <w:rFonts w:hint="eastAsia" w:ascii="黑体" w:hAnsi="黑体" w:eastAsia="黑体"/>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黑体" w:eastAsia="黑体"/>
          <w:sz w:val="32"/>
          <w:szCs w:val="32"/>
        </w:rPr>
        <w:t>第十条</w:t>
      </w:r>
      <w:r>
        <w:rPr>
          <w:rFonts w:ascii="仿宋_GB2312" w:eastAsia="仿宋_GB2312"/>
          <w:sz w:val="32"/>
          <w:szCs w:val="32"/>
        </w:rPr>
        <w:t xml:space="preserve">  </w:t>
      </w:r>
      <w:r>
        <w:rPr>
          <w:rFonts w:hint="eastAsia" w:ascii="仿宋_GB2312" w:eastAsia="仿宋_GB2312"/>
          <w:sz w:val="32"/>
          <w:szCs w:val="32"/>
        </w:rPr>
        <w:t>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市人民代表大会常务委员会、市人民政府、市人民代表大会各专门委员会可以向市人民代表大会提出地方性法规案，由主席团决定是否列入会议议程。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第十一条</w:t>
      </w:r>
      <w:r>
        <w:rPr>
          <w:rFonts w:ascii="仿宋_GB2312" w:eastAsia="仿宋_GB2312"/>
          <w:sz w:val="32"/>
          <w:szCs w:val="32"/>
        </w:rPr>
        <w:t xml:space="preserve">  </w:t>
      </w:r>
      <w:r>
        <w:rPr>
          <w:rFonts w:hint="eastAsia" w:ascii="仿宋_GB2312" w:eastAsia="仿宋_GB2312"/>
          <w:sz w:val="32"/>
          <w:szCs w:val="32"/>
        </w:rPr>
        <w:t>市人民代表大会代表十人以上联名，可以向市人民代表大会提出地方性法规案，由主席团决定是否列入会议议程，或者先交有关专门委员会审议，提出是否列入会议议程的意见，再决定是否列入会议议程。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专门委员会审议地方性法规案时，可以邀请提案人列席会议，发表意见。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第十二条</w:t>
      </w:r>
      <w:r>
        <w:rPr>
          <w:rFonts w:ascii="仿宋_GB2312" w:eastAsia="仿宋_GB2312"/>
          <w:sz w:val="32"/>
          <w:szCs w:val="32"/>
        </w:rPr>
        <w:t xml:space="preserve">  </w:t>
      </w:r>
      <w:r>
        <w:rPr>
          <w:rFonts w:hint="eastAsia" w:ascii="仿宋_GB2312" w:eastAsia="仿宋_GB2312"/>
          <w:sz w:val="32"/>
          <w:szCs w:val="32"/>
        </w:rPr>
        <w:t>向市人民代表大会提出的地方性法规案，在市人民代表大会闭会期间，可以先向常务委员会提出，经常务委员会会议依照本条例第三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第十三条</w:t>
      </w:r>
      <w:r>
        <w:rPr>
          <w:rFonts w:ascii="仿宋_GB2312" w:eastAsia="仿宋_GB2312"/>
          <w:sz w:val="32"/>
          <w:szCs w:val="32"/>
        </w:rPr>
        <w:t xml:space="preserve">  </w:t>
      </w:r>
      <w:r>
        <w:rPr>
          <w:rFonts w:hint="eastAsia" w:ascii="仿宋_GB2312" w:eastAsia="仿宋_GB2312"/>
          <w:sz w:val="32"/>
          <w:szCs w:val="32"/>
        </w:rPr>
        <w:t>常务委员会决定提请市人民代表大会会议审议的地方性法规案，应当在会议举行的一个月前将地方性法规草案文本和说明，以及有关参考资料发给代表。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第十四条</w:t>
      </w:r>
      <w:r>
        <w:rPr>
          <w:rFonts w:ascii="仿宋_GB2312" w:eastAsia="仿宋_GB2312"/>
          <w:sz w:val="32"/>
          <w:szCs w:val="32"/>
        </w:rPr>
        <w:t xml:space="preserve">  </w:t>
      </w:r>
      <w:r>
        <w:rPr>
          <w:rFonts w:hint="eastAsia" w:ascii="仿宋_GB2312" w:eastAsia="仿宋_GB2312"/>
          <w:sz w:val="32"/>
          <w:szCs w:val="32"/>
        </w:rPr>
        <w:t>市人民代表大会举行会议前，常务委员会认为必要，可以将准备提请会议审议的地方性法规案公布，征求意见，并将意见整理印发会议。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第十五条</w:t>
      </w:r>
      <w:r>
        <w:rPr>
          <w:rFonts w:ascii="仿宋_GB2312" w:eastAsia="仿宋_GB2312"/>
          <w:sz w:val="32"/>
          <w:szCs w:val="32"/>
        </w:rPr>
        <w:t xml:space="preserve">  </w:t>
      </w:r>
      <w:r>
        <w:rPr>
          <w:rFonts w:hint="eastAsia" w:ascii="仿宋_GB2312" w:eastAsia="仿宋_GB2312"/>
          <w:sz w:val="32"/>
          <w:szCs w:val="32"/>
        </w:rPr>
        <w:t>市人民代表大会代表十人以上联名提出的地方性法规案，主席团决定作为议案处理，但不列入本次代表大会会议议程的，可以决定交常务委员会审议，常务委员会依照本条例第三章规定的有关程序审议后，决定提请下次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各代表团审议地方性法规案时，提案人应当派人听取意见，回答询问；根据代表团的要求，有关机关、组织或者有关方面应当派人介绍情况。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第十七条</w:t>
      </w:r>
      <w:r>
        <w:rPr>
          <w:rFonts w:ascii="仿宋_GB2312" w:eastAsia="仿宋_GB2312"/>
          <w:sz w:val="32"/>
          <w:szCs w:val="32"/>
        </w:rPr>
        <w:t xml:space="preserve">  </w:t>
      </w:r>
      <w:r>
        <w:rPr>
          <w:rFonts w:hint="eastAsia" w:ascii="仿宋_GB2312" w:eastAsia="仿宋_GB2312"/>
          <w:sz w:val="32"/>
          <w:szCs w:val="32"/>
        </w:rPr>
        <w:t>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第十八条</w:t>
      </w:r>
      <w:r>
        <w:rPr>
          <w:rFonts w:ascii="仿宋_GB2312" w:eastAsia="仿宋_GB2312"/>
          <w:sz w:val="32"/>
          <w:szCs w:val="32"/>
        </w:rPr>
        <w:t xml:space="preserve">  </w:t>
      </w:r>
      <w:r>
        <w:rPr>
          <w:rFonts w:hint="eastAsia" w:ascii="仿宋_GB2312" w:eastAsia="仿宋_GB2312"/>
          <w:sz w:val="32"/>
          <w:szCs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第十九条</w:t>
      </w:r>
      <w:r>
        <w:rPr>
          <w:rFonts w:ascii="仿宋_GB2312" w:eastAsia="仿宋_GB2312"/>
          <w:sz w:val="32"/>
          <w:szCs w:val="32"/>
        </w:rPr>
        <w:t xml:space="preserve">  </w:t>
      </w:r>
      <w:r>
        <w:rPr>
          <w:rFonts w:hint="eastAsia" w:ascii="仿宋_GB2312" w:eastAsia="仿宋_GB2312"/>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第二十条</w:t>
      </w:r>
      <w:r>
        <w:rPr>
          <w:rFonts w:ascii="仿宋_GB2312" w:eastAsia="仿宋_GB2312"/>
          <w:sz w:val="32"/>
          <w:szCs w:val="32"/>
        </w:rPr>
        <w:t xml:space="preserve">  </w:t>
      </w:r>
      <w:r>
        <w:rPr>
          <w:rFonts w:hint="eastAsia" w:ascii="仿宋_GB2312" w:eastAsia="仿宋_GB2312"/>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第二十一条</w:t>
      </w:r>
      <w:r>
        <w:rPr>
          <w:rFonts w:ascii="仿宋_GB2312" w:eastAsia="仿宋_GB2312"/>
          <w:sz w:val="32"/>
          <w:szCs w:val="32"/>
        </w:rPr>
        <w:t xml:space="preserve">  </w:t>
      </w:r>
      <w:r>
        <w:rPr>
          <w:rFonts w:hint="eastAsia" w:ascii="仿宋_GB2312" w:eastAsia="仿宋_GB2312"/>
          <w:sz w:val="32"/>
          <w:szCs w:val="32"/>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eastAsia="仿宋_GB2312"/>
          <w:sz w:val="32"/>
          <w:szCs w:val="32"/>
        </w:rPr>
      </w:pPr>
      <w:r>
        <w:rPr>
          <w:rFonts w:hint="eastAsia" w:ascii="黑体" w:hAnsi="黑体" w:eastAsia="黑体" w:cs="黑体"/>
          <w:sz w:val="32"/>
          <w:szCs w:val="32"/>
        </w:rPr>
        <w:t>第二十二条</w:t>
      </w:r>
      <w:r>
        <w:rPr>
          <w:rFonts w:ascii="仿宋_GB2312" w:eastAsia="仿宋_GB2312"/>
          <w:sz w:val="32"/>
          <w:szCs w:val="32"/>
        </w:rPr>
        <w:t xml:space="preserve">  </w:t>
      </w:r>
      <w:r>
        <w:rPr>
          <w:rFonts w:hint="eastAsia" w:ascii="仿宋_GB2312" w:eastAsia="仿宋_GB2312"/>
          <w:sz w:val="32"/>
          <w:szCs w:val="32"/>
        </w:rPr>
        <w:t>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eastAsia="zh-CN"/>
        </w:rPr>
        <w:t>第三章</w:t>
      </w:r>
      <w:r>
        <w:rPr>
          <w:rFonts w:hint="eastAsia" w:ascii="黑体" w:hAnsi="黑体" w:eastAsia="黑体"/>
          <w:sz w:val="32"/>
          <w:szCs w:val="32"/>
          <w:lang w:val="en-US" w:eastAsia="zh-CN"/>
        </w:rPr>
        <w:t xml:space="preserve">  </w:t>
      </w:r>
      <w:r>
        <w:rPr>
          <w:rFonts w:hint="eastAsia" w:ascii="黑体" w:hAnsi="黑体" w:eastAsia="黑体"/>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第二十三条</w:t>
      </w:r>
      <w:r>
        <w:rPr>
          <w:rFonts w:ascii="仿宋_GB2312" w:eastAsia="仿宋_GB2312"/>
          <w:sz w:val="32"/>
          <w:szCs w:val="32"/>
        </w:rPr>
        <w:t xml:space="preserve">  </w:t>
      </w:r>
      <w:r>
        <w:rPr>
          <w:rFonts w:hint="eastAsia" w:ascii="仿宋_GB2312" w:eastAsia="仿宋_GB2312"/>
          <w:sz w:val="32"/>
          <w:szCs w:val="32"/>
        </w:rPr>
        <w:t>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第二十四条</w:t>
      </w:r>
      <w:r>
        <w:rPr>
          <w:rFonts w:ascii="仿宋_GB2312" w:eastAsia="仿宋_GB2312"/>
          <w:sz w:val="32"/>
          <w:szCs w:val="32"/>
        </w:rPr>
        <w:t xml:space="preserve">  </w:t>
      </w:r>
      <w:r>
        <w:rPr>
          <w:rFonts w:hint="eastAsia" w:ascii="仿宋_GB2312" w:eastAsia="仿宋_GB2312"/>
          <w:sz w:val="32"/>
          <w:szCs w:val="32"/>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第二十五条</w:t>
      </w:r>
      <w:r>
        <w:rPr>
          <w:rFonts w:ascii="仿宋_GB2312" w:eastAsia="仿宋_GB2312"/>
          <w:sz w:val="32"/>
          <w:szCs w:val="32"/>
        </w:rPr>
        <w:t xml:space="preserve">  </w:t>
      </w:r>
      <w:r>
        <w:rPr>
          <w:rFonts w:hint="eastAsia" w:ascii="仿宋_GB2312" w:eastAsia="仿宋_GB2312"/>
          <w:sz w:val="32"/>
          <w:szCs w:val="32"/>
        </w:rPr>
        <w:t>列入常务委员会会议议程的地方性法规案，提案人应当在会议举行的一个月前，将地方性法规案的议案、地方性法规草案文本和说明，以及有关参考资料，一并送交常务委员会。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未在一个月前送交的，不列入本次常务委员会会议议程。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第二十六条</w:t>
      </w:r>
      <w:r>
        <w:rPr>
          <w:rFonts w:ascii="仿宋_GB2312" w:eastAsia="仿宋_GB2312"/>
          <w:sz w:val="32"/>
          <w:szCs w:val="32"/>
        </w:rPr>
        <w:t xml:space="preserve">  </w:t>
      </w:r>
      <w:r>
        <w:rPr>
          <w:rFonts w:hint="eastAsia" w:ascii="仿宋_GB2312" w:eastAsia="仿宋_GB2312"/>
          <w:sz w:val="32"/>
          <w:szCs w:val="32"/>
        </w:rPr>
        <w:t>列入常务委员会会议议程的市人民政府、常务委员会组成人员五人以上联名提出的地方性法规案，由有关的专门委员会进行审议，提出审议意见，印发常务委员会会议。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有关专门委员会审议地方性法规案时，可以邀请提案人、其他专门委员会成员列席会议，发表意见。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第二十七条</w:t>
      </w:r>
      <w:r>
        <w:rPr>
          <w:rFonts w:ascii="仿宋_GB2312" w:eastAsia="仿宋_GB2312"/>
          <w:sz w:val="32"/>
          <w:szCs w:val="32"/>
        </w:rPr>
        <w:t xml:space="preserve">  </w:t>
      </w:r>
      <w:r>
        <w:rPr>
          <w:rFonts w:hint="eastAsia" w:ascii="仿宋_GB2312" w:eastAsia="仿宋_GB2312"/>
          <w:sz w:val="32"/>
          <w:szCs w:val="32"/>
        </w:rPr>
        <w:t>列入常务委员会会议议程的地方性法规案，一般经两次常务委员会会议审议后再交付表决。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如果各方面意见比较一致，也可以经一次常务委员会会议审议即交付表决；重要的地方性法规案，可以经三次常务委员会会议审议后再交付表决。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第二十八条</w:t>
      </w:r>
      <w:r>
        <w:rPr>
          <w:rFonts w:ascii="仿宋_GB2312" w:eastAsia="仿宋_GB2312"/>
          <w:sz w:val="32"/>
          <w:szCs w:val="32"/>
        </w:rPr>
        <w:t xml:space="preserve">  </w:t>
      </w:r>
      <w:r>
        <w:rPr>
          <w:rFonts w:hint="eastAsia" w:ascii="仿宋_GB2312" w:eastAsia="仿宋_GB2312"/>
          <w:sz w:val="32"/>
          <w:szCs w:val="32"/>
        </w:rPr>
        <w:t>常务委员会会议第一次审议地方性法规案，在全体会议上听取提案人关于地方性法规草案的说明，由分组会议进行初步审议。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常务委员会会议第二次审议地方性法规案，在全体会议上听取法制委员会关于地方性法规草案修改情况和审议结果的报告，由分组会议对地方性法规草案修改稿进行审议。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常务委员会审议地方性法规案时，根据需要，可以召开联组会议或者全体会议对地方性法规案中的主要问题进行讨论。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第二十九条</w:t>
      </w:r>
      <w:r>
        <w:rPr>
          <w:rFonts w:ascii="仿宋_GB2312" w:eastAsia="仿宋_GB2312"/>
          <w:sz w:val="32"/>
          <w:szCs w:val="32"/>
        </w:rPr>
        <w:t xml:space="preserve">  </w:t>
      </w:r>
      <w:r>
        <w:rPr>
          <w:rFonts w:hint="eastAsia" w:ascii="仿宋_GB2312" w:eastAsia="仿宋_GB2312"/>
          <w:sz w:val="32"/>
          <w:szCs w:val="32"/>
        </w:rPr>
        <w:t>常务委员会分组会议审议地方性法规案时，提案人应当派人听取意见，回答询问；根据小组的要求，有关机关、组织应当派人介绍情况。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第三十条</w:t>
      </w:r>
      <w:r>
        <w:rPr>
          <w:rFonts w:ascii="仿宋_GB2312" w:eastAsia="仿宋_GB2312"/>
          <w:sz w:val="32"/>
          <w:szCs w:val="32"/>
        </w:rPr>
        <w:t xml:space="preserve">  </w:t>
      </w:r>
      <w:r>
        <w:rPr>
          <w:rFonts w:hint="eastAsia" w:ascii="仿宋_GB2312" w:eastAsia="仿宋_GB2312"/>
          <w:sz w:val="32"/>
          <w:szCs w:val="32"/>
        </w:rPr>
        <w:t>列入常务委员会会议议程的地方性法规案，法制委员会、有关的专门委员会和常务委员会法制工作机构应当听取各方面的意见。听取意见可以采取座谈会、论证会、听证会等多种形式。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常务委员会法制工作机构应当将地方性法规草案修改稿发送有关机关、组织、专家和省人民代表大会常务委员会法制工作委员会征求意见。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第三十一条</w:t>
      </w:r>
      <w:r>
        <w:rPr>
          <w:rFonts w:ascii="仿宋_GB2312" w:eastAsia="仿宋_GB2312"/>
          <w:sz w:val="32"/>
          <w:szCs w:val="32"/>
        </w:rPr>
        <w:t xml:space="preserve">  </w:t>
      </w:r>
      <w:r>
        <w:rPr>
          <w:rFonts w:hint="eastAsia" w:ascii="仿宋_GB2312" w:eastAsia="仿宋_GB2312"/>
          <w:sz w:val="32"/>
          <w:szCs w:val="32"/>
        </w:rPr>
        <w:t>列入常务委员会会议议程的重要的地方性法规案，经主任会议决定，可以将地方性法规草案修改稿公布，征求意见。各机关、组织和公民提出的意见送常务委员会法制工作机构。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第三十二条</w:t>
      </w:r>
      <w:r>
        <w:rPr>
          <w:rFonts w:ascii="仿宋_GB2312" w:eastAsia="仿宋_GB2312"/>
          <w:sz w:val="32"/>
          <w:szCs w:val="32"/>
        </w:rPr>
        <w:t xml:space="preserve">  </w:t>
      </w:r>
      <w:r>
        <w:rPr>
          <w:rFonts w:hint="eastAsia" w:ascii="仿宋_GB2312" w:eastAsia="仿宋_GB2312"/>
          <w:sz w:val="32"/>
          <w:szCs w:val="32"/>
        </w:rPr>
        <w:t>列入常务委员会会议议程的地方性法规案，常务委员会法制工作机构负责汇总、收集整理常务委员会组成人员的审议意见和各方面提出的意见，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第三十三条</w:t>
      </w:r>
      <w:r>
        <w:rPr>
          <w:rFonts w:ascii="仿宋_GB2312" w:eastAsia="仿宋_GB2312"/>
          <w:sz w:val="32"/>
          <w:szCs w:val="32"/>
        </w:rPr>
        <w:t xml:space="preserve">  </w:t>
      </w:r>
      <w:r>
        <w:rPr>
          <w:rFonts w:hint="eastAsia" w:ascii="仿宋_GB2312" w:eastAsia="仿宋_GB2312"/>
          <w:sz w:val="32"/>
          <w:szCs w:val="32"/>
        </w:rPr>
        <w:t>列入常务委员会会议议程的地方性法规案，由法制委员会根据常务委员会组成人员、有关的专门委员会的审议意见和各方面提出的意见，对地方性法规案进行统一审议，提出修改情况的汇报或者审议结果的报告和地方性法规草案修改稿，对重要的不同意见，应当在汇报或者审议结果的报告中予以说明。对有关的专门委员会的重要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法制委员会审议地方性法规案时，应当邀请有关的专门委员会的成员列席会议，发表意见。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第三十四条</w:t>
      </w:r>
      <w:r>
        <w:rPr>
          <w:rFonts w:ascii="仿宋_GB2312" w:eastAsia="仿宋_GB2312"/>
          <w:sz w:val="32"/>
          <w:szCs w:val="32"/>
        </w:rPr>
        <w:t xml:space="preserve">  </w:t>
      </w:r>
      <w:r>
        <w:rPr>
          <w:rFonts w:hint="eastAsia" w:ascii="仿宋_GB2312" w:eastAsia="仿宋_GB2312"/>
          <w:sz w:val="32"/>
          <w:szCs w:val="32"/>
        </w:rPr>
        <w:t>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第三十五条</w:t>
      </w:r>
      <w:r>
        <w:rPr>
          <w:rFonts w:ascii="仿宋_GB2312" w:eastAsia="仿宋_GB2312"/>
          <w:sz w:val="32"/>
          <w:szCs w:val="32"/>
        </w:rPr>
        <w:t xml:space="preserve">  </w:t>
      </w:r>
      <w:r>
        <w:rPr>
          <w:rFonts w:hint="eastAsia" w:ascii="仿宋_GB2312" w:eastAsia="仿宋_GB2312"/>
          <w:sz w:val="32"/>
          <w:szCs w:val="32"/>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第三十六条</w:t>
      </w:r>
      <w:r>
        <w:rPr>
          <w:rFonts w:ascii="仿宋_GB2312" w:eastAsia="仿宋_GB2312"/>
          <w:sz w:val="32"/>
          <w:szCs w:val="32"/>
        </w:rPr>
        <w:t xml:space="preserve">  </w:t>
      </w:r>
      <w:r>
        <w:rPr>
          <w:rFonts w:hint="eastAsia" w:ascii="仿宋_GB2312" w:eastAsia="仿宋_GB2312"/>
          <w:sz w:val="32"/>
          <w:szCs w:val="32"/>
        </w:rPr>
        <w:t>地方性法规草案修改稿经常务委员会会议审议，由法制委员会根据常务委员会组成人员的审议意见进行修改，提出地方性法规草案表决稿，由主任会议提请常务委员会全体会议表决。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经常务委员会会议一次审议即交付表决的地方性法规案，由法制委员会根据常务委员会组成人员、有关的专门委员会的审议意见和各方面的意见对地方性法规案进行修改，提出地方性法规草案表决稿，由主任会议提请常务委员会全体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80" w:firstLineChars="200"/>
        <w:textAlignment w:val="auto"/>
        <w:outlineLvl w:val="9"/>
        <w:rPr>
          <w:rFonts w:ascii="仿宋_GB2312" w:eastAsia="仿宋_GB2312"/>
          <w:sz w:val="32"/>
          <w:szCs w:val="32"/>
        </w:rPr>
      </w:pPr>
      <w:r>
        <w:rPr>
          <w:rFonts w:hint="eastAsia" w:ascii="仿宋_GB2312" w:eastAsia="仿宋_GB2312"/>
          <w:sz w:val="32"/>
          <w:szCs w:val="32"/>
        </w:rPr>
        <w:t>表决前，应当将地方性法规草案表决稿印发出席会议的常务委员会组成人员。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第三十七条</w:t>
      </w:r>
      <w:r>
        <w:rPr>
          <w:rFonts w:ascii="仿宋_GB2312" w:eastAsia="仿宋_GB2312"/>
          <w:sz w:val="32"/>
          <w:szCs w:val="32"/>
        </w:rPr>
        <w:t xml:space="preserve">  </w:t>
      </w:r>
      <w:r>
        <w:rPr>
          <w:rFonts w:hint="eastAsia" w:ascii="仿宋_GB2312" w:eastAsia="仿宋_GB2312"/>
          <w:sz w:val="32"/>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第三十八条</w:t>
      </w:r>
      <w:r>
        <w:rPr>
          <w:rFonts w:ascii="仿宋_GB2312" w:eastAsia="仿宋_GB2312"/>
          <w:sz w:val="32"/>
          <w:szCs w:val="32"/>
        </w:rPr>
        <w:t xml:space="preserve">  </w:t>
      </w:r>
      <w:r>
        <w:rPr>
          <w:rFonts w:hint="eastAsia" w:ascii="仿宋_GB2312" w:eastAsia="仿宋_GB2312"/>
          <w:sz w:val="32"/>
          <w:szCs w:val="32"/>
        </w:rPr>
        <w:t>列入常务委员会会议议程的地方性法规案，因各方面对制定该法规的必要性、可行性等重大问题存在较大意见分歧搁置审议满两年的，或者暂不交付表决经过两年没有再列入常务委员会会议议程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ascii="仿宋_GB2312" w:eastAsia="仿宋_GB2312"/>
          <w:sz w:val="32"/>
          <w:szCs w:val="32"/>
        </w:rPr>
        <w:t xml:space="preserve"> </w:t>
      </w:r>
      <w:r>
        <w:rPr>
          <w:rFonts w:hint="eastAsia" w:ascii="黑体" w:eastAsia="黑体"/>
          <w:sz w:val="32"/>
          <w:szCs w:val="32"/>
        </w:rPr>
        <w:t>第三十九条</w:t>
      </w:r>
      <w:r>
        <w:rPr>
          <w:rFonts w:ascii="仿宋_GB2312" w:eastAsia="仿宋_GB2312"/>
          <w:sz w:val="32"/>
          <w:szCs w:val="32"/>
        </w:rPr>
        <w:t xml:space="preserve">  </w:t>
      </w:r>
      <w:r>
        <w:rPr>
          <w:rFonts w:hint="eastAsia" w:ascii="仿宋_GB2312" w:eastAsia="仿宋_GB2312"/>
          <w:sz w:val="32"/>
          <w:szCs w:val="32"/>
        </w:rPr>
        <w:t>地方性法规案经常务委员会会议审议后，常务委员会认为有必要提请市人民代表大会审议的，提请市人民代表大会审议。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ascii="黑体" w:hAnsi="黑体" w:eastAsia="黑体"/>
          <w:sz w:val="32"/>
          <w:szCs w:val="32"/>
        </w:rPr>
      </w:pPr>
      <w:r>
        <w:rPr>
          <w:rFonts w:hint="eastAsia" w:ascii="黑体" w:hAnsi="黑体" w:eastAsia="黑体"/>
          <w:sz w:val="32"/>
          <w:szCs w:val="32"/>
        </w:rPr>
        <w:t>第四章</w:t>
      </w:r>
      <w:r>
        <w:rPr>
          <w:rFonts w:hint="eastAsia" w:ascii="黑体" w:hAnsi="黑体" w:eastAsia="黑体"/>
          <w:sz w:val="32"/>
          <w:szCs w:val="32"/>
          <w:lang w:val="en-US" w:eastAsia="zh-CN"/>
        </w:rPr>
        <w:t xml:space="preserve">  </w:t>
      </w:r>
      <w:r>
        <w:rPr>
          <w:rFonts w:hint="eastAsia" w:ascii="黑体" w:hAnsi="黑体" w:eastAsia="黑体"/>
          <w:sz w:val="32"/>
          <w:szCs w:val="32"/>
        </w:rPr>
        <w:t>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第四十条</w:t>
      </w:r>
      <w:r>
        <w:rPr>
          <w:rFonts w:ascii="仿宋_GB2312" w:eastAsia="仿宋_GB2312"/>
          <w:sz w:val="32"/>
          <w:szCs w:val="32"/>
        </w:rPr>
        <w:t xml:space="preserve">  </w:t>
      </w:r>
      <w:r>
        <w:rPr>
          <w:rFonts w:hint="eastAsia" w:ascii="仿宋_GB2312" w:eastAsia="仿宋_GB2312"/>
          <w:sz w:val="32"/>
          <w:szCs w:val="32"/>
        </w:rPr>
        <w:t>提出地方性法规案，应当同时提出地方性法规草案文本及其说明，并提供必要的参阅资料。修改地方性法规的，还应当提交修改前后的对照文本。地方性法规草案的说明应当包括制定或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常务委员会法制工作机构应当将地方性法规草案发送相关领域的市人民代表大会代表、各县（市、区）人民代表大会常务委员会以及有关部门、组织和专家征求意见。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第四十一条</w:t>
      </w:r>
      <w:r>
        <w:rPr>
          <w:rFonts w:ascii="仿宋_GB2312" w:eastAsia="仿宋_GB2312"/>
          <w:sz w:val="32"/>
          <w:szCs w:val="32"/>
        </w:rPr>
        <w:t xml:space="preserve">  </w:t>
      </w:r>
      <w:r>
        <w:rPr>
          <w:rFonts w:hint="eastAsia" w:ascii="仿宋_GB2312" w:eastAsia="仿宋_GB2312"/>
          <w:sz w:val="32"/>
          <w:szCs w:val="32"/>
        </w:rPr>
        <w:t>交付市人民代表大会及其常务委员会全体会议表决未获得通过的地方性法规案，如果提案人认为必须制定该地方性法规，可以按照本条例的程序重新提出，由主席团或者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第四十二条</w:t>
      </w:r>
      <w:r>
        <w:rPr>
          <w:rFonts w:ascii="仿宋_GB2312" w:eastAsia="仿宋_GB2312"/>
          <w:sz w:val="32"/>
          <w:szCs w:val="32"/>
        </w:rPr>
        <w:t xml:space="preserve">  </w:t>
      </w:r>
      <w:r>
        <w:rPr>
          <w:rFonts w:hint="eastAsia" w:ascii="仿宋_GB2312" w:eastAsia="仿宋_GB2312"/>
          <w:sz w:val="32"/>
          <w:szCs w:val="32"/>
        </w:rPr>
        <w:t>地方性法规案有关问题专业性强，需要进行可行性评价的，应当召开论证会，听取有关专家、部门和市人民代表大会代表等方面的意见。论证情况应当向常务委员会报告。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第四十三条</w:t>
      </w:r>
      <w:r>
        <w:rPr>
          <w:rFonts w:ascii="仿宋_GB2312" w:eastAsia="仿宋_GB2312"/>
          <w:sz w:val="32"/>
          <w:szCs w:val="32"/>
        </w:rPr>
        <w:t xml:space="preserve">  </w:t>
      </w:r>
      <w:r>
        <w:rPr>
          <w:rFonts w:hint="eastAsia" w:ascii="仿宋_GB2312" w:eastAsia="仿宋_GB2312"/>
          <w:sz w:val="32"/>
          <w:szCs w:val="32"/>
        </w:rPr>
        <w:t>地方性法规案与其他地方性法规相关规定不一致的，提案人应当予以说明并提出处理意见，必要时应当同时提出修改或者废止其他地方性法规相关规定的议案。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第四十四条</w:t>
      </w:r>
      <w:r>
        <w:rPr>
          <w:rFonts w:ascii="仿宋_GB2312" w:eastAsia="仿宋_GB2312"/>
          <w:sz w:val="32"/>
          <w:szCs w:val="32"/>
        </w:rPr>
        <w:t xml:space="preserve">  </w:t>
      </w:r>
      <w:r>
        <w:rPr>
          <w:rFonts w:hint="eastAsia" w:ascii="仿宋_GB2312" w:eastAsia="仿宋_GB2312"/>
          <w:sz w:val="32"/>
          <w:szCs w:val="32"/>
        </w:rPr>
        <w:t>地方性法规草案经市人民代表大会或者常务委员会通过后，常务委员会法制工作机构应当将报请批准地方性法规的书面报告、地方性法规文本和说明以及审议结果的报告，一并报送省人民代表大会常务委员会。报请批准地方性法规的书面报告，由常务委员会主任签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第四十五条</w:t>
      </w:r>
      <w:r>
        <w:rPr>
          <w:rFonts w:ascii="仿宋_GB2312" w:eastAsia="仿宋_GB2312"/>
          <w:sz w:val="32"/>
          <w:szCs w:val="32"/>
        </w:rPr>
        <w:t xml:space="preserve">  </w:t>
      </w:r>
      <w:r>
        <w:rPr>
          <w:rFonts w:hint="eastAsia" w:ascii="仿宋_GB2312" w:eastAsia="仿宋_GB2312"/>
          <w:sz w:val="32"/>
          <w:szCs w:val="32"/>
        </w:rPr>
        <w:t>市人民代表大会有关的专门委员会、常务委员会法制工作机构可以组织对有关地方性法规或地方性法规中有关规定进行立法后评估。评估情况应当向常务委员会报告。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第四十六条</w:t>
      </w:r>
      <w:r>
        <w:rPr>
          <w:rFonts w:ascii="仿宋_GB2312" w:eastAsia="仿宋_GB2312"/>
          <w:sz w:val="32"/>
          <w:szCs w:val="32"/>
        </w:rPr>
        <w:t xml:space="preserve">  </w:t>
      </w:r>
      <w:r>
        <w:rPr>
          <w:rFonts w:hint="eastAsia" w:ascii="仿宋_GB2312" w:eastAsia="仿宋_GB2312"/>
          <w:sz w:val="32"/>
          <w:szCs w:val="32"/>
        </w:rPr>
        <w:t>地方性法规的修改和废止程序，依照本条例的有关规定执行。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地方性法规部分条文被修改的，必须公布新的法规文本。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eastAsia="仿宋_GB2312"/>
          <w:sz w:val="32"/>
          <w:szCs w:val="32"/>
        </w:rPr>
      </w:pPr>
      <w:r>
        <w:rPr>
          <w:rFonts w:hint="eastAsia" w:ascii="黑体" w:eastAsia="黑体"/>
          <w:sz w:val="32"/>
          <w:szCs w:val="32"/>
        </w:rPr>
        <w:t>第四十七条</w:t>
      </w:r>
      <w:r>
        <w:rPr>
          <w:rFonts w:ascii="仿宋_GB2312" w:eastAsia="仿宋_GB2312"/>
          <w:sz w:val="32"/>
          <w:szCs w:val="32"/>
        </w:rPr>
        <w:t xml:space="preserve">  </w:t>
      </w:r>
      <w:r>
        <w:rPr>
          <w:rFonts w:hint="eastAsia" w:ascii="仿宋_GB2312" w:eastAsia="仿宋_GB2312"/>
          <w:sz w:val="32"/>
          <w:szCs w:val="32"/>
        </w:rPr>
        <w:t>市人民代表大会及其常务委员会制定的地方性法规的解释权属于市人民代表大会常务委员会。解释地方性法规的程序参照《山东省制定和批准地方性法规条例》的有关规定执行。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楷体_GB2312" w:eastAsia="楷体_GB2312"/>
          <w:sz w:val="32"/>
          <w:szCs w:val="32"/>
        </w:rPr>
      </w:pPr>
      <w:r>
        <w:rPr>
          <w:rFonts w:hint="eastAsia" w:ascii="黑体" w:eastAsia="黑体"/>
          <w:sz w:val="32"/>
          <w:szCs w:val="32"/>
        </w:rPr>
        <w:t>第四十八条</w:t>
      </w:r>
      <w:r>
        <w:rPr>
          <w:rFonts w:ascii="仿宋_GB2312" w:eastAsia="仿宋_GB2312"/>
          <w:sz w:val="32"/>
          <w:szCs w:val="32"/>
        </w:rPr>
        <w:t xml:space="preserve">  </w:t>
      </w:r>
      <w:r>
        <w:rPr>
          <w:rFonts w:hint="eastAsia" w:ascii="仿宋_GB2312" w:eastAsia="仿宋_GB2312"/>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849" w:h="16781"/>
      <w:pgMar w:top="2098" w:right="1417" w:bottom="1928" w:left="1588" w:header="2098" w:footer="153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仿宋_GB2312">
    <w:panose1 w:val="02010609030101010101"/>
    <w:charset w:val="86"/>
    <w:family w:val="modern"/>
    <w:pitch w:val="default"/>
    <w:sig w:usb0="00000001" w:usb1="080E0000" w:usb2="00000000"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静蕾简体">
    <w:altName w:val="宋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中楷简">
    <w:altName w:val="楷体_GB2312"/>
    <w:panose1 w:val="02010604000101010101"/>
    <w:charset w:val="86"/>
    <w:family w:val="auto"/>
    <w:pitch w:val="default"/>
    <w:sig w:usb0="00000000" w:usb1="00000000" w:usb2="00000002" w:usb3="00000000" w:csb0="00040000" w:csb1="00000000"/>
  </w:font>
  <w:font w:name="汉仪娃娃篆简">
    <w:altName w:val="宋体"/>
    <w:panose1 w:val="02010604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蝶语体简">
    <w:altName w:val="宋体"/>
    <w:panose1 w:val="02010604000101010101"/>
    <w:charset w:val="86"/>
    <w:family w:val="auto"/>
    <w:pitch w:val="default"/>
    <w:sig w:usb0="00000000" w:usb1="00000000" w:usb2="00000002" w:usb3="00000000" w:csb0="00040000" w:csb1="00000000"/>
  </w:font>
  <w:font w:name="汉鼎简行楷">
    <w:altName w:val="楷体_GB2312"/>
    <w:panose1 w:val="02010609000101010101"/>
    <w:charset w:val="00"/>
    <w:family w:val="auto"/>
    <w:pitch w:val="default"/>
    <w:sig w:usb0="00000000" w:usb1="00000000" w:usb2="00000000" w:usb3="00000000" w:csb0="00000000" w:csb1="00000000"/>
  </w:font>
  <w:font w:name="汉鼎繁中圆">
    <w:altName w:val="Segoe Print"/>
    <w:panose1 w:val="02010609000101010101"/>
    <w:charset w:val="00"/>
    <w:family w:val="auto"/>
    <w:pitch w:val="default"/>
    <w:sig w:usb0="00000000" w:usb1="00000000" w:usb2="00000000" w:usb3="00000000" w:csb0="00000000" w:csb1="00000000"/>
  </w:font>
  <w:font w:name="汉仪雪君体繁">
    <w:altName w:val="宋体"/>
    <w:panose1 w:val="02010604000101010101"/>
    <w:charset w:val="86"/>
    <w:family w:val="auto"/>
    <w:pitch w:val="default"/>
    <w:sig w:usb0="00000000" w:usb1="00000000" w:usb2="00000002" w:usb3="00000000" w:csb0="00040000" w:csb1="00000000"/>
  </w:font>
  <w:font w:name="汉仪雪君体简">
    <w:altName w:val="宋体"/>
    <w:panose1 w:val="02010604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汉仪颜楷繁">
    <w:altName w:val="楷体_GB2312"/>
    <w:panose1 w:val="02010609000101010101"/>
    <w:charset w:val="86"/>
    <w:family w:val="auto"/>
    <w:pitch w:val="default"/>
    <w:sig w:usb0="00000000" w:usb1="00000000" w:usb2="00000002" w:usb3="00000000" w:csb0="00040000" w:csb1="00000000"/>
  </w:font>
  <w:font w:name="汉鼎繁古印">
    <w:altName w:val="Segoe Print"/>
    <w:panose1 w:val="02010609000101010101"/>
    <w:charset w:val="00"/>
    <w:family w:val="auto"/>
    <w:pitch w:val="default"/>
    <w:sig w:usb0="00000000" w:usb1="00000000" w:usb2="00000000" w:usb3="00000000" w:csb0="00000000" w:csb1="00000000"/>
  </w:font>
  <w:font w:name="章草">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文鼎古印体繁">
    <w:altName w:val="Segoe Print"/>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微软简中圆">
    <w:altName w:val="Segoe Print"/>
    <w:panose1 w:val="00000000000000000000"/>
    <w:charset w:val="00"/>
    <w:family w:val="auto"/>
    <w:pitch w:val="default"/>
    <w:sig w:usb0="00000000" w:usb1="00000000" w:usb2="00000000" w:usb3="00000000" w:csb0="00000000" w:csb1="00000000"/>
  </w:font>
  <w:font w:name="微软简行楷">
    <w:altName w:val="楷体_GB2312"/>
    <w:panose1 w:val="00000000000000000000"/>
    <w:charset w:val="00"/>
    <w:family w:val="auto"/>
    <w:pitch w:val="default"/>
    <w:sig w:usb0="00000000" w:usb1="00000000" w:usb2="00000000" w:usb3="00000000" w:csb0="00000000" w:csb1="00000000"/>
  </w:font>
  <w:font w:name="微软简隶书">
    <w:altName w:val="隶书"/>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经典繁行书">
    <w:altName w:val="宋体"/>
    <w:panose1 w:val="02010609010101010101"/>
    <w:charset w:val="86"/>
    <w:family w:val="auto"/>
    <w:pitch w:val="default"/>
    <w:sig w:usb0="00000000" w:usb1="00000000" w:usb2="0000001E" w:usb3="00000000" w:csb0="2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繁启体">
    <w:altName w:val="宋体"/>
    <w:panose1 w:val="03000509000000000000"/>
    <w:charset w:val="86"/>
    <w:family w:val="auto"/>
    <w:pitch w:val="default"/>
    <w:sig w:usb0="00000000" w:usb1="00000000" w:usb2="00000000" w:usb3="00000000" w:csb0="00040000" w:csb1="00000000"/>
  </w:font>
  <w:font w:name="金桥简行楷">
    <w:altName w:val="楷体_GB2312"/>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ˎ̥">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320" w:leftChars="100" w:right="320" w:rightChars="100" w:firstLine="0" w:firstLineChars="0"/>
      <w:jc w:val="left"/>
      <w:textAlignment w:val="auto"/>
      <w:outlineLvl w:val="9"/>
      <w:rPr>
        <w:rStyle w:val="6"/>
        <w:rFonts w:ascii="宋体"/>
        <w:sz w:val="28"/>
        <w:szCs w:val="28"/>
      </w:rPr>
    </w:pPr>
    <w:r>
      <w:rPr>
        <w:rStyle w:val="6"/>
        <w:rFonts w:ascii="宋体" w:hAnsi="宋体"/>
        <w:sz w:val="28"/>
        <w:szCs w:val="28"/>
      </w:rPr>
      <w:t>—</w:t>
    </w:r>
    <w:r>
      <w:rPr>
        <w:rStyle w:val="6"/>
        <w:rFonts w:hint="eastAsia" w:ascii="宋体" w:hAnsi="宋体"/>
        <w:sz w:val="28"/>
        <w:szCs w:val="28"/>
        <w:lang w:val="en-US" w:eastAsia="zh-CN"/>
      </w:rPr>
      <w:t xml:space="preserve"> </w:t>
    </w:r>
    <w:r>
      <w:rPr>
        <w:rStyle w:val="6"/>
        <w:rFonts w:ascii="宋体" w:hAnsi="宋体"/>
        <w:sz w:val="28"/>
        <w:szCs w:val="28"/>
      </w:rPr>
      <w:fldChar w:fldCharType="begin"/>
    </w:r>
    <w:r>
      <w:rPr>
        <w:rStyle w:val="6"/>
        <w:rFonts w:ascii="宋体" w:hAnsi="宋体"/>
        <w:sz w:val="28"/>
        <w:szCs w:val="28"/>
      </w:rPr>
      <w:instrText xml:space="preserve">PAGE  </w:instrText>
    </w:r>
    <w:r>
      <w:rPr>
        <w:rStyle w:val="6"/>
        <w:rFonts w:ascii="宋体" w:hAnsi="宋体"/>
        <w:sz w:val="28"/>
        <w:szCs w:val="28"/>
      </w:rPr>
      <w:fldChar w:fldCharType="separate"/>
    </w:r>
    <w:r>
      <w:rPr>
        <w:rStyle w:val="6"/>
        <w:rFonts w:ascii="宋体" w:hAnsi="宋体"/>
        <w:sz w:val="28"/>
        <w:szCs w:val="28"/>
      </w:rPr>
      <w:t>3</w:t>
    </w:r>
    <w:r>
      <w:rPr>
        <w:rStyle w:val="6"/>
        <w:rFonts w:ascii="宋体" w:hAnsi="宋体"/>
        <w:sz w:val="28"/>
        <w:szCs w:val="28"/>
      </w:rPr>
      <w:fldChar w:fldCharType="end"/>
    </w:r>
    <w:r>
      <w:rPr>
        <w:rStyle w:val="6"/>
        <w:rFonts w:hint="eastAsia" w:ascii="宋体" w:hAnsi="宋体"/>
        <w:sz w:val="28"/>
        <w:szCs w:val="28"/>
        <w:lang w:val="en-US" w:eastAsia="zh-CN"/>
      </w:rPr>
      <w:t xml:space="preserve"> </w:t>
    </w:r>
    <w:r>
      <w:rPr>
        <w:rStyle w:val="6"/>
        <w:rFonts w:ascii="宋体" w:hAnsi="宋体"/>
        <w:sz w:val="28"/>
        <w:szCs w:val="28"/>
      </w:rPr>
      <w:t>—</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7B"/>
    <w:rsid w:val="00000FC2"/>
    <w:rsid w:val="00014606"/>
    <w:rsid w:val="000174EF"/>
    <w:rsid w:val="000252DD"/>
    <w:rsid w:val="0003307E"/>
    <w:rsid w:val="00043021"/>
    <w:rsid w:val="00061FBA"/>
    <w:rsid w:val="00063925"/>
    <w:rsid w:val="00075FF5"/>
    <w:rsid w:val="00094ABE"/>
    <w:rsid w:val="00096D25"/>
    <w:rsid w:val="000A12AC"/>
    <w:rsid w:val="000A3E9F"/>
    <w:rsid w:val="000B3E47"/>
    <w:rsid w:val="000B4804"/>
    <w:rsid w:val="000C512F"/>
    <w:rsid w:val="000D7950"/>
    <w:rsid w:val="000E5EA5"/>
    <w:rsid w:val="00126C5D"/>
    <w:rsid w:val="0012749B"/>
    <w:rsid w:val="001457C0"/>
    <w:rsid w:val="00146F3E"/>
    <w:rsid w:val="00156264"/>
    <w:rsid w:val="00157E5C"/>
    <w:rsid w:val="0018234E"/>
    <w:rsid w:val="0019027F"/>
    <w:rsid w:val="00195B30"/>
    <w:rsid w:val="001B4D8A"/>
    <w:rsid w:val="001C33C5"/>
    <w:rsid w:val="001C66F3"/>
    <w:rsid w:val="001C7F07"/>
    <w:rsid w:val="001D6DC9"/>
    <w:rsid w:val="001E136F"/>
    <w:rsid w:val="001E2F8D"/>
    <w:rsid w:val="001E32E6"/>
    <w:rsid w:val="001E7343"/>
    <w:rsid w:val="00214A43"/>
    <w:rsid w:val="00215342"/>
    <w:rsid w:val="0022044F"/>
    <w:rsid w:val="00223AE8"/>
    <w:rsid w:val="002323DD"/>
    <w:rsid w:val="00233EB6"/>
    <w:rsid w:val="00244728"/>
    <w:rsid w:val="00291064"/>
    <w:rsid w:val="0029379B"/>
    <w:rsid w:val="002A63EB"/>
    <w:rsid w:val="002B5F8A"/>
    <w:rsid w:val="002B681A"/>
    <w:rsid w:val="002C4945"/>
    <w:rsid w:val="002D35DA"/>
    <w:rsid w:val="002F0252"/>
    <w:rsid w:val="00306A0E"/>
    <w:rsid w:val="003119D2"/>
    <w:rsid w:val="0033011B"/>
    <w:rsid w:val="00347414"/>
    <w:rsid w:val="00351125"/>
    <w:rsid w:val="00353364"/>
    <w:rsid w:val="00355C5D"/>
    <w:rsid w:val="00356CE4"/>
    <w:rsid w:val="003661A7"/>
    <w:rsid w:val="003768EB"/>
    <w:rsid w:val="00394EBB"/>
    <w:rsid w:val="0039691E"/>
    <w:rsid w:val="003A58CB"/>
    <w:rsid w:val="003B360E"/>
    <w:rsid w:val="003B3658"/>
    <w:rsid w:val="003B528D"/>
    <w:rsid w:val="003B651F"/>
    <w:rsid w:val="003D52D2"/>
    <w:rsid w:val="003D747E"/>
    <w:rsid w:val="003E498C"/>
    <w:rsid w:val="00400534"/>
    <w:rsid w:val="004015A3"/>
    <w:rsid w:val="00404C45"/>
    <w:rsid w:val="00407422"/>
    <w:rsid w:val="004214D0"/>
    <w:rsid w:val="00421A9F"/>
    <w:rsid w:val="00423E74"/>
    <w:rsid w:val="00430A54"/>
    <w:rsid w:val="00431336"/>
    <w:rsid w:val="0044385E"/>
    <w:rsid w:val="004723D4"/>
    <w:rsid w:val="00475CA4"/>
    <w:rsid w:val="00485B99"/>
    <w:rsid w:val="004B62D2"/>
    <w:rsid w:val="004C1ECB"/>
    <w:rsid w:val="004D29F8"/>
    <w:rsid w:val="004D4AC6"/>
    <w:rsid w:val="004E4CE2"/>
    <w:rsid w:val="004E73CA"/>
    <w:rsid w:val="00500ED3"/>
    <w:rsid w:val="00502F86"/>
    <w:rsid w:val="00522E97"/>
    <w:rsid w:val="005253B0"/>
    <w:rsid w:val="00573BE1"/>
    <w:rsid w:val="0058150D"/>
    <w:rsid w:val="005819C5"/>
    <w:rsid w:val="0059707C"/>
    <w:rsid w:val="005B7939"/>
    <w:rsid w:val="005C2F62"/>
    <w:rsid w:val="005D31E5"/>
    <w:rsid w:val="005E2F00"/>
    <w:rsid w:val="005E5C08"/>
    <w:rsid w:val="005F5838"/>
    <w:rsid w:val="005F7B40"/>
    <w:rsid w:val="006126CA"/>
    <w:rsid w:val="00615259"/>
    <w:rsid w:val="006315F0"/>
    <w:rsid w:val="00633241"/>
    <w:rsid w:val="006732BC"/>
    <w:rsid w:val="00673CBE"/>
    <w:rsid w:val="00682AEB"/>
    <w:rsid w:val="0069681F"/>
    <w:rsid w:val="006A6246"/>
    <w:rsid w:val="006B7F44"/>
    <w:rsid w:val="006D0186"/>
    <w:rsid w:val="006D261D"/>
    <w:rsid w:val="006D2714"/>
    <w:rsid w:val="006D42C0"/>
    <w:rsid w:val="006D6B26"/>
    <w:rsid w:val="006D6BE6"/>
    <w:rsid w:val="006D7CEB"/>
    <w:rsid w:val="006E177B"/>
    <w:rsid w:val="006F2CDE"/>
    <w:rsid w:val="00701FE7"/>
    <w:rsid w:val="00704C07"/>
    <w:rsid w:val="00706F80"/>
    <w:rsid w:val="00722E40"/>
    <w:rsid w:val="00741D1B"/>
    <w:rsid w:val="00751BE3"/>
    <w:rsid w:val="00752F7D"/>
    <w:rsid w:val="00757377"/>
    <w:rsid w:val="00763063"/>
    <w:rsid w:val="00771949"/>
    <w:rsid w:val="0077394F"/>
    <w:rsid w:val="00774696"/>
    <w:rsid w:val="00796190"/>
    <w:rsid w:val="007A17E3"/>
    <w:rsid w:val="007B4659"/>
    <w:rsid w:val="007C1A97"/>
    <w:rsid w:val="007D77EC"/>
    <w:rsid w:val="007E0ED2"/>
    <w:rsid w:val="00802397"/>
    <w:rsid w:val="008051DA"/>
    <w:rsid w:val="008148A6"/>
    <w:rsid w:val="008219F9"/>
    <w:rsid w:val="00825F24"/>
    <w:rsid w:val="00831A57"/>
    <w:rsid w:val="008368AA"/>
    <w:rsid w:val="008453CE"/>
    <w:rsid w:val="008764F1"/>
    <w:rsid w:val="008848E6"/>
    <w:rsid w:val="008850D6"/>
    <w:rsid w:val="008856D8"/>
    <w:rsid w:val="00887491"/>
    <w:rsid w:val="00890484"/>
    <w:rsid w:val="00890E90"/>
    <w:rsid w:val="008C7E77"/>
    <w:rsid w:val="008F5EF2"/>
    <w:rsid w:val="00921D20"/>
    <w:rsid w:val="00923FD4"/>
    <w:rsid w:val="0094205E"/>
    <w:rsid w:val="009534C1"/>
    <w:rsid w:val="0097742B"/>
    <w:rsid w:val="00980982"/>
    <w:rsid w:val="009820FA"/>
    <w:rsid w:val="009A0B10"/>
    <w:rsid w:val="009B0E87"/>
    <w:rsid w:val="009C1173"/>
    <w:rsid w:val="009E7421"/>
    <w:rsid w:val="009F6D4A"/>
    <w:rsid w:val="00A01793"/>
    <w:rsid w:val="00A05048"/>
    <w:rsid w:val="00A0636F"/>
    <w:rsid w:val="00A11B0A"/>
    <w:rsid w:val="00A1555C"/>
    <w:rsid w:val="00A16F96"/>
    <w:rsid w:val="00A25D68"/>
    <w:rsid w:val="00A40B91"/>
    <w:rsid w:val="00A4161D"/>
    <w:rsid w:val="00A526E6"/>
    <w:rsid w:val="00A56A79"/>
    <w:rsid w:val="00A5746D"/>
    <w:rsid w:val="00A62814"/>
    <w:rsid w:val="00A70DE5"/>
    <w:rsid w:val="00A9571A"/>
    <w:rsid w:val="00AA2379"/>
    <w:rsid w:val="00AA40E5"/>
    <w:rsid w:val="00AE14C2"/>
    <w:rsid w:val="00AE532D"/>
    <w:rsid w:val="00AF7708"/>
    <w:rsid w:val="00B00F96"/>
    <w:rsid w:val="00B036BF"/>
    <w:rsid w:val="00B15A10"/>
    <w:rsid w:val="00B1750D"/>
    <w:rsid w:val="00B252DA"/>
    <w:rsid w:val="00B33BF5"/>
    <w:rsid w:val="00B3734A"/>
    <w:rsid w:val="00B46D34"/>
    <w:rsid w:val="00B62D81"/>
    <w:rsid w:val="00B76ADA"/>
    <w:rsid w:val="00B833A2"/>
    <w:rsid w:val="00B84577"/>
    <w:rsid w:val="00BA1D42"/>
    <w:rsid w:val="00BA59FE"/>
    <w:rsid w:val="00BB1C16"/>
    <w:rsid w:val="00BB5F7B"/>
    <w:rsid w:val="00BC18A3"/>
    <w:rsid w:val="00BD2E20"/>
    <w:rsid w:val="00BD4E57"/>
    <w:rsid w:val="00BE0C07"/>
    <w:rsid w:val="00BF5182"/>
    <w:rsid w:val="00C064E8"/>
    <w:rsid w:val="00C065FA"/>
    <w:rsid w:val="00C07474"/>
    <w:rsid w:val="00C11885"/>
    <w:rsid w:val="00C13444"/>
    <w:rsid w:val="00C1491F"/>
    <w:rsid w:val="00C27826"/>
    <w:rsid w:val="00C408FD"/>
    <w:rsid w:val="00C432BA"/>
    <w:rsid w:val="00C54B72"/>
    <w:rsid w:val="00C624B2"/>
    <w:rsid w:val="00C82215"/>
    <w:rsid w:val="00C923BF"/>
    <w:rsid w:val="00C95396"/>
    <w:rsid w:val="00C95D6D"/>
    <w:rsid w:val="00C96340"/>
    <w:rsid w:val="00C964CA"/>
    <w:rsid w:val="00C9713B"/>
    <w:rsid w:val="00CA140F"/>
    <w:rsid w:val="00CB6E86"/>
    <w:rsid w:val="00CC0DBB"/>
    <w:rsid w:val="00CC17AA"/>
    <w:rsid w:val="00CC38C6"/>
    <w:rsid w:val="00CC7EB3"/>
    <w:rsid w:val="00D1054B"/>
    <w:rsid w:val="00D11340"/>
    <w:rsid w:val="00D136A7"/>
    <w:rsid w:val="00D15656"/>
    <w:rsid w:val="00D25D1F"/>
    <w:rsid w:val="00D272DD"/>
    <w:rsid w:val="00D27C01"/>
    <w:rsid w:val="00D329D6"/>
    <w:rsid w:val="00D414EC"/>
    <w:rsid w:val="00D50B7A"/>
    <w:rsid w:val="00D51627"/>
    <w:rsid w:val="00D57B5A"/>
    <w:rsid w:val="00D642A7"/>
    <w:rsid w:val="00D64680"/>
    <w:rsid w:val="00D71360"/>
    <w:rsid w:val="00D753FC"/>
    <w:rsid w:val="00D76583"/>
    <w:rsid w:val="00D85103"/>
    <w:rsid w:val="00D91A02"/>
    <w:rsid w:val="00D97AA7"/>
    <w:rsid w:val="00DA0B09"/>
    <w:rsid w:val="00DA1A8A"/>
    <w:rsid w:val="00DA7BA4"/>
    <w:rsid w:val="00DB063F"/>
    <w:rsid w:val="00DB2317"/>
    <w:rsid w:val="00DB3D6F"/>
    <w:rsid w:val="00DC048D"/>
    <w:rsid w:val="00DC0A03"/>
    <w:rsid w:val="00DD3069"/>
    <w:rsid w:val="00DE0ABD"/>
    <w:rsid w:val="00DE4B3D"/>
    <w:rsid w:val="00DE58FE"/>
    <w:rsid w:val="00DF0652"/>
    <w:rsid w:val="00DF1EE0"/>
    <w:rsid w:val="00DF41C4"/>
    <w:rsid w:val="00E114FD"/>
    <w:rsid w:val="00E14ECE"/>
    <w:rsid w:val="00E23953"/>
    <w:rsid w:val="00E50CE3"/>
    <w:rsid w:val="00E654AD"/>
    <w:rsid w:val="00E80592"/>
    <w:rsid w:val="00E80858"/>
    <w:rsid w:val="00E91F7A"/>
    <w:rsid w:val="00EA0EA7"/>
    <w:rsid w:val="00EA1572"/>
    <w:rsid w:val="00EA3D69"/>
    <w:rsid w:val="00EC6B27"/>
    <w:rsid w:val="00EF448B"/>
    <w:rsid w:val="00EF4ED9"/>
    <w:rsid w:val="00EF7F09"/>
    <w:rsid w:val="00F03F79"/>
    <w:rsid w:val="00F10919"/>
    <w:rsid w:val="00F23B66"/>
    <w:rsid w:val="00F23CC1"/>
    <w:rsid w:val="00F267EE"/>
    <w:rsid w:val="00F42416"/>
    <w:rsid w:val="00F64133"/>
    <w:rsid w:val="00F82ADF"/>
    <w:rsid w:val="00F91B98"/>
    <w:rsid w:val="00F94BD9"/>
    <w:rsid w:val="00F97484"/>
    <w:rsid w:val="00FA1A65"/>
    <w:rsid w:val="00FA567B"/>
    <w:rsid w:val="00FA66D8"/>
    <w:rsid w:val="00FC47BC"/>
    <w:rsid w:val="020277D8"/>
    <w:rsid w:val="091026C6"/>
    <w:rsid w:val="10375982"/>
    <w:rsid w:val="12A1093D"/>
    <w:rsid w:val="268F2CC6"/>
    <w:rsid w:val="2BEE2804"/>
    <w:rsid w:val="2E7B4A46"/>
    <w:rsid w:val="32B82151"/>
    <w:rsid w:val="3DB95F50"/>
    <w:rsid w:val="488111DB"/>
    <w:rsid w:val="4DED7212"/>
    <w:rsid w:val="67802F51"/>
    <w:rsid w:val="67FC6061"/>
    <w:rsid w:val="7BCD0CE6"/>
    <w:rsid w:val="7E0C4C15"/>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2"/>
      <w:lang w:val="en-US" w:eastAsia="zh-CN" w:bidi="ar-SA"/>
    </w:rPr>
  </w:style>
  <w:style w:type="character" w:default="1" w:styleId="5">
    <w:name w:val="Default Paragraph Font"/>
    <w:semiHidden/>
    <w:qFormat/>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qFormat/>
    <w:uiPriority w:val="99"/>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semiHidden/>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customStyle="1" w:styleId="8">
    <w:name w:val="Header Char"/>
    <w:basedOn w:val="5"/>
    <w:link w:val="4"/>
    <w:semiHidden/>
    <w:qFormat/>
    <w:locked/>
    <w:uiPriority w:val="99"/>
    <w:rPr>
      <w:rFonts w:cs="Times New Roman"/>
      <w:sz w:val="18"/>
      <w:szCs w:val="18"/>
    </w:rPr>
  </w:style>
  <w:style w:type="character" w:customStyle="1" w:styleId="9">
    <w:name w:val="Footer Char"/>
    <w:basedOn w:val="5"/>
    <w:link w:val="3"/>
    <w:qFormat/>
    <w:locked/>
    <w:uiPriority w:val="99"/>
    <w:rPr>
      <w:rFonts w:cs="Times New Roman"/>
      <w:sz w:val="18"/>
      <w:szCs w:val="18"/>
    </w:rPr>
  </w:style>
  <w:style w:type="character" w:customStyle="1" w:styleId="10">
    <w:name w:val="Balloon Text Char"/>
    <w:basedOn w:val="5"/>
    <w:link w:val="2"/>
    <w:semiHidden/>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13</Pages>
  <Words>906</Words>
  <Characters>5170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2016-06-01T07:07:00Z</dcterms:created>
  <dc:creator>Administrator</dc:creator>
  <cp:lastModifiedBy>user</cp:lastModifiedBy>
  <cp:lastPrinted>2016-01-11T06:49:00Z</cp:lastPrinted>
  <dcterms:modified xsi:type="dcterms:W3CDTF">2017-01-26T03:15:32Z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