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rPr>
          <w:rFonts w:hint="eastAsia" w:ascii="宋体" w:hAnsi="宋体" w:eastAsia="方正小标宋简体" w:cs="宋体"/>
        </w:rPr>
      </w:pPr>
    </w:p>
    <w:p>
      <w:pPr>
        <w:adjustRightInd w:val="0"/>
        <w:snapToGrid w:val="0"/>
        <w:spacing w:line="560" w:lineRule="exact"/>
        <w:rPr>
          <w:rFonts w:hint="eastAsia" w:ascii="宋体" w:hAnsi="宋体" w:eastAsia="方正小标宋简体" w:cs="宋体"/>
          <w:sz w:val="44"/>
          <w:szCs w:val="44"/>
        </w:rPr>
      </w:pPr>
    </w:p>
    <w:p>
      <w:pPr>
        <w:adjustRightInd w:val="0"/>
        <w:snapToGrid w:val="0"/>
        <w:spacing w:line="560" w:lineRule="exact"/>
        <w:jc w:val="center"/>
        <w:rPr>
          <w:rFonts w:hint="eastAsia" w:ascii="宋体" w:hAnsi="宋体" w:cs="宋体"/>
          <w:sz w:val="44"/>
          <w:szCs w:val="44"/>
        </w:rPr>
      </w:pPr>
      <w:bookmarkStart w:id="0" w:name="_GoBack"/>
      <w:r>
        <w:rPr>
          <w:rFonts w:hint="eastAsia" w:ascii="宋体" w:hAnsi="宋体" w:cs="宋体"/>
          <w:kern w:val="0"/>
          <w:sz w:val="44"/>
          <w:szCs w:val="44"/>
          <w:lang w:bidi="ar"/>
        </w:rPr>
        <w:t>济南市绩效管理条例</w:t>
      </w:r>
      <w:bookmarkEnd w:id="0"/>
    </w:p>
    <w:p>
      <w:pPr>
        <w:adjustRightInd w:val="0"/>
        <w:snapToGrid w:val="0"/>
        <w:spacing w:line="560" w:lineRule="exact"/>
        <w:jc w:val="center"/>
        <w:rPr>
          <w:rFonts w:hint="eastAsia" w:ascii="宋体" w:hAnsi="宋体" w:cs="宋体"/>
        </w:rPr>
      </w:pPr>
    </w:p>
    <w:p>
      <w:pPr>
        <w:adjustRightInd w:val="0"/>
        <w:snapToGrid w:val="0"/>
        <w:spacing w:line="560" w:lineRule="exact"/>
        <w:ind w:firstLine="480" w:firstLineChars="150"/>
        <w:jc w:val="left"/>
        <w:rPr>
          <w:rFonts w:ascii="楷体_GB2312" w:hAnsi="宋体" w:eastAsia="楷体_GB2312" w:cs="楷体_GB2312"/>
          <w:kern w:val="0"/>
          <w:sz w:val="32"/>
          <w:szCs w:val="32"/>
          <w:lang w:bidi="ar"/>
        </w:rPr>
      </w:pPr>
      <w:r>
        <w:rPr>
          <w:rFonts w:hint="eastAsia" w:ascii="楷体_GB2312" w:hAnsi="宋体" w:eastAsia="楷体_GB2312" w:cs="楷体_GB2312"/>
          <w:kern w:val="0"/>
          <w:sz w:val="32"/>
          <w:szCs w:val="32"/>
          <w:lang w:bidi="ar"/>
        </w:rPr>
        <w:t>（2018年11月1日济南市第十六届人民代表大会常务</w:t>
      </w:r>
    </w:p>
    <w:p>
      <w:pPr>
        <w:adjustRightInd w:val="0"/>
        <w:snapToGrid w:val="0"/>
        <w:spacing w:line="560" w:lineRule="exact"/>
        <w:ind w:firstLine="480" w:firstLineChars="150"/>
        <w:jc w:val="left"/>
        <w:rPr>
          <w:rFonts w:ascii="楷体_GB2312" w:hAnsi="宋体" w:eastAsia="楷体_GB2312" w:cs="楷体_GB2312"/>
          <w:kern w:val="0"/>
          <w:sz w:val="32"/>
          <w:szCs w:val="32"/>
          <w:lang w:bidi="ar"/>
        </w:rPr>
      </w:pPr>
      <w:r>
        <w:rPr>
          <w:rFonts w:hint="eastAsia" w:ascii="楷体_GB2312" w:hAnsi="宋体" w:eastAsia="楷体_GB2312" w:cs="楷体_GB2312"/>
          <w:kern w:val="0"/>
          <w:sz w:val="32"/>
          <w:szCs w:val="32"/>
          <w:lang w:bidi="ar"/>
        </w:rPr>
        <w:t xml:space="preserve">委员会第十九次会议通过  </w:t>
      </w:r>
      <w:r>
        <w:rPr>
          <w:rFonts w:ascii="楷体_GB2312" w:hAnsi="宋体" w:eastAsia="楷体_GB2312" w:cs="楷体_GB2312"/>
          <w:kern w:val="0"/>
          <w:sz w:val="32"/>
          <w:szCs w:val="32"/>
          <w:lang w:bidi="ar"/>
        </w:rPr>
        <w:t xml:space="preserve"> </w:t>
      </w:r>
      <w:r>
        <w:rPr>
          <w:rFonts w:hint="eastAsia" w:ascii="楷体_GB2312" w:hAnsi="宋体" w:eastAsia="楷体_GB2312" w:cs="楷体_GB2312"/>
          <w:kern w:val="0"/>
          <w:sz w:val="32"/>
          <w:szCs w:val="32"/>
          <w:lang w:bidi="ar"/>
        </w:rPr>
        <w:t>2018年11月30日山东省</w:t>
      </w:r>
    </w:p>
    <w:p>
      <w:pPr>
        <w:adjustRightInd w:val="0"/>
        <w:snapToGrid w:val="0"/>
        <w:spacing w:line="560" w:lineRule="exact"/>
        <w:ind w:firstLine="480" w:firstLineChars="150"/>
        <w:jc w:val="left"/>
        <w:rPr>
          <w:rFonts w:hint="eastAsia" w:ascii="楷体_GB2312" w:hAnsi="宋体" w:eastAsia="楷体_GB2312" w:cs="楷体_GB2312"/>
          <w:kern w:val="0"/>
          <w:sz w:val="32"/>
          <w:szCs w:val="32"/>
          <w:lang w:bidi="ar"/>
        </w:rPr>
      </w:pPr>
      <w:r>
        <w:rPr>
          <w:rFonts w:hint="eastAsia" w:ascii="楷体_GB2312" w:hAnsi="宋体" w:eastAsia="楷体_GB2312" w:cs="楷体_GB2312"/>
          <w:kern w:val="0"/>
          <w:sz w:val="32"/>
          <w:szCs w:val="32"/>
          <w:lang w:bidi="ar"/>
        </w:rPr>
        <w:t>第十三届人民代表大会常务委员会第七次会议批准）</w:t>
      </w:r>
    </w:p>
    <w:p>
      <w:pPr>
        <w:adjustRightInd w:val="0"/>
        <w:snapToGrid w:val="0"/>
        <w:spacing w:line="560" w:lineRule="exact"/>
        <w:jc w:val="left"/>
        <w:rPr>
          <w:rFonts w:hint="eastAsia" w:ascii="宋体" w:hAnsi="宋体" w:cs="宋体"/>
        </w:rPr>
      </w:pPr>
    </w:p>
    <w:p>
      <w:pPr>
        <w:adjustRightInd w:val="0"/>
        <w:snapToGrid w:val="0"/>
        <w:spacing w:line="560" w:lineRule="exact"/>
        <w:jc w:val="center"/>
        <w:rPr>
          <w:rFonts w:hint="eastAsia" w:ascii="楷体_GB2312" w:hAnsi="宋体" w:eastAsia="楷体_GB2312" w:cs="楷体_GB2312"/>
        </w:rPr>
      </w:pPr>
      <w:r>
        <w:rPr>
          <w:rFonts w:hint="eastAsia" w:ascii="楷体_GB2312" w:hAnsi="宋体" w:eastAsia="楷体_GB2312" w:cs="楷体_GB2312"/>
          <w:kern w:val="0"/>
          <w:sz w:val="32"/>
          <w:szCs w:val="32"/>
          <w:lang w:bidi="ar"/>
        </w:rPr>
        <w:t>目  录</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第一章  总则</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第二章  绩效目标</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第三章  过程管理</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第四章  绩效考核</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第五章  结果运用</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第六章  绩效问责</w:t>
      </w:r>
    </w:p>
    <w:p>
      <w:pPr>
        <w:adjustRightInd w:val="0"/>
        <w:snapToGrid w:val="0"/>
        <w:spacing w:line="560" w:lineRule="exact"/>
        <w:ind w:firstLine="640" w:firstLineChars="200"/>
        <w:rPr>
          <w:rFonts w:hint="eastAsia" w:ascii="楷体_GB2312" w:hAnsi="宋体" w:eastAsia="楷体_GB2312" w:cs="楷体_GB2312"/>
        </w:rPr>
      </w:pPr>
      <w:r>
        <w:rPr>
          <w:rFonts w:hint="eastAsia" w:ascii="楷体_GB2312" w:hAnsi="宋体" w:eastAsia="楷体_GB2312" w:cs="楷体_GB2312"/>
          <w:kern w:val="0"/>
          <w:sz w:val="32"/>
          <w:szCs w:val="32"/>
          <w:lang w:bidi="ar"/>
        </w:rPr>
        <w:t>第七章  附则</w:t>
      </w:r>
    </w:p>
    <w:p>
      <w:pPr>
        <w:adjustRightInd w:val="0"/>
        <w:snapToGrid w:val="0"/>
        <w:spacing w:line="560" w:lineRule="exact"/>
        <w:jc w:val="center"/>
        <w:rPr>
          <w:rFonts w:hint="eastAsia" w:ascii="宋体" w:hAnsi="宋体" w:eastAsia="黑体" w:cs="宋体"/>
        </w:rPr>
      </w:pPr>
    </w:p>
    <w:p>
      <w:pPr>
        <w:numPr>
          <w:ilvl w:val="0"/>
          <w:numId w:val="1"/>
        </w:numPr>
        <w:adjustRightInd w:val="0"/>
        <w:snapToGrid w:val="0"/>
        <w:spacing w:line="560" w:lineRule="exact"/>
        <w:jc w:val="center"/>
        <w:rPr>
          <w:rFonts w:ascii="宋体" w:hAnsi="宋体" w:eastAsia="黑体" w:cs="黑体"/>
          <w:kern w:val="0"/>
          <w:sz w:val="32"/>
          <w:szCs w:val="32"/>
          <w:lang w:bidi="ar"/>
        </w:rPr>
      </w:pPr>
      <w:r>
        <w:rPr>
          <w:rFonts w:hint="eastAsia" w:ascii="宋体" w:hAnsi="宋体" w:eastAsia="黑体" w:cs="黑体"/>
          <w:kern w:val="0"/>
          <w:sz w:val="32"/>
          <w:szCs w:val="32"/>
          <w:lang w:bidi="ar"/>
        </w:rPr>
        <w:t>总则</w:t>
      </w:r>
    </w:p>
    <w:p>
      <w:pPr>
        <w:adjustRightInd w:val="0"/>
        <w:snapToGrid w:val="0"/>
        <w:spacing w:line="560" w:lineRule="exact"/>
        <w:ind w:left="1275"/>
        <w:rPr>
          <w:rFonts w:hint="eastAsia" w:ascii="宋体" w:hAnsi="宋体" w:eastAsia="黑体" w:cs="黑体"/>
          <w:kern w:val="0"/>
          <w:sz w:val="32"/>
          <w:szCs w:val="32"/>
          <w:lang w:bidi="ar"/>
        </w:rPr>
      </w:pP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第一条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为了建立健全绩效管理制度，规范绩效考核工作，提高政府行政效能，提升公共管理水平，激励干事创业、担当作为、争先创优，根据宪法和法律法规有关规定，结合本市实际，制定本条例。</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市人民政府各部门、市人民政府派出机构、区县人民政府及其各部门、镇人民政府和街道办事处（以下统称</w:t>
      </w:r>
      <w:r>
        <w:rPr>
          <w:rFonts w:hint="eastAsia" w:ascii="宋体" w:hAnsi="宋体" w:eastAsia="仿宋_GB2312" w:cs="仿宋_GB2312"/>
          <w:color w:val="000000"/>
          <w:kern w:val="0"/>
          <w:sz w:val="32"/>
          <w:szCs w:val="32"/>
          <w:lang w:bidi="ar"/>
        </w:rPr>
        <w:t>绩效责任单位</w:t>
      </w:r>
      <w:r>
        <w:rPr>
          <w:rFonts w:hint="eastAsia" w:ascii="宋体" w:hAnsi="宋体" w:eastAsia="仿宋_GB2312" w:cs="仿宋_GB2312"/>
          <w:kern w:val="0"/>
          <w:sz w:val="32"/>
          <w:szCs w:val="32"/>
          <w:lang w:bidi="ar"/>
        </w:rPr>
        <w:t>）及其工作人员履行职责的绩效管理，适用本条例。</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本条例所称绩效管理，是指根据本行政区域的发展目标和绩效责任单位、个人履行的职责设定绩效目标，实施日常监管，并对目标的完成情况和实际效果进行绩效考核，以达到绩效不断提升的全过程管理。</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第三条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绩效管理应当坚持围绕大局、突出重点，注重实绩、鼓励创新，科学规范、公开公正，综合评判、奖优罚劣的原则。</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第四条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市和区县绩效管理委员会统一领导本行政区域内绩效管理工作，研究解决绩效管理工作中的重大问题。</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市和区县绩效管理工作机构具体负责本行政区域内绩效管理工作。</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区县绩效管理工作机构在业务上接受市绩效管理工作机构的指导。</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第五条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市绩效管理委员会可以明确相关工作主管部门为绩效管理专项考核部门，负责做好绩效管理专项考核工作。</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第六条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w:t>
      </w:r>
      <w:r>
        <w:rPr>
          <w:rFonts w:hint="eastAsia" w:ascii="宋体" w:hAnsi="宋体" w:eastAsia="仿宋_GB2312" w:cs="仿宋_GB2312"/>
          <w:spacing w:val="-6"/>
          <w:kern w:val="0"/>
          <w:sz w:val="32"/>
          <w:szCs w:val="32"/>
          <w:lang w:bidi="ar"/>
        </w:rPr>
        <w:t>工作应当运用互联网等现代信息技术，建立绩效全程管理信息化系统，实现信息整合、动态更新、公开共享。</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第七条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绩效管理所需经费列入本级财政预算。</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第八条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市和区县人民代表大会常务委员会每年四月底前听取本行政区域上年度绩效管理工作情况的报告。</w:t>
      </w:r>
    </w:p>
    <w:p>
      <w:pPr>
        <w:adjustRightInd w:val="0"/>
        <w:snapToGrid w:val="0"/>
        <w:spacing w:line="560" w:lineRule="exact"/>
        <w:ind w:firstLine="3200" w:firstLineChars="1000"/>
        <w:rPr>
          <w:rFonts w:ascii="宋体" w:hAnsi="宋体" w:eastAsia="黑体" w:cs="黑体"/>
          <w:kern w:val="0"/>
          <w:sz w:val="32"/>
          <w:szCs w:val="32"/>
          <w:lang w:bidi="ar"/>
        </w:rPr>
      </w:pPr>
    </w:p>
    <w:p>
      <w:pPr>
        <w:adjustRightInd w:val="0"/>
        <w:snapToGrid w:val="0"/>
        <w:spacing w:line="56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第二章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绩效目标</w:t>
      </w:r>
    </w:p>
    <w:p>
      <w:pPr>
        <w:adjustRightInd w:val="0"/>
        <w:snapToGrid w:val="0"/>
        <w:spacing w:line="560" w:lineRule="exact"/>
        <w:ind w:firstLine="2100" w:firstLineChars="1000"/>
        <w:rPr>
          <w:rFonts w:hint="eastAsia" w:ascii="宋体" w:hAnsi="宋体" w:eastAsia="黑体" w:cs="宋体"/>
        </w:rPr>
      </w:pP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第九条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绩效责任单位应当根据全市经济社会发展计划和本单位主要职责制定年度绩效目标。年度绩效目标应当包括以下内容：</w:t>
      </w:r>
      <w:r>
        <w:rPr>
          <w:rFonts w:hint="eastAsia" w:ascii="宋体" w:hAnsi="宋体" w:eastAsia="仿宋_GB2312" w:cs="宋体"/>
          <w:color w:val="000000"/>
          <w:kern w:val="0"/>
          <w:sz w:val="32"/>
          <w:szCs w:val="32"/>
          <w:lang w:bidi="ar"/>
        </w:rPr>
        <w:br w:type="textWrapping"/>
      </w:r>
      <w:r>
        <w:rPr>
          <w:rFonts w:hint="eastAsia" w:ascii="宋体" w:hAnsi="宋体" w:eastAsia="仿宋_GB2312" w:cs="仿宋_GB2312"/>
          <w:color w:val="000000"/>
          <w:kern w:val="0"/>
          <w:sz w:val="32"/>
          <w:szCs w:val="32"/>
          <w:lang w:bidi="ar"/>
        </w:rPr>
        <w:t>　　（一）完成工作任务的年度目标和主要指标；</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（二）主要职责和承担的工作任务；</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（三）完成目标任务的方法、措施和进度安排；</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（四）财政预算安排；</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（五）与绩效管理有关的其他事项。</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第十条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制定年度绩效目标，涉及经济社会发展的重大事项或者专业性较强的事项的，绩效责任单位应当事先组织必要性和可行性论证。</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宋体"/>
          <w:kern w:val="0"/>
          <w:sz w:val="32"/>
          <w:szCs w:val="32"/>
          <w:lang w:bidi="ar"/>
        </w:rPr>
        <w:t xml:space="preserve">第十一条  </w:t>
      </w:r>
      <w:r>
        <w:rPr>
          <w:rFonts w:hint="eastAsia" w:ascii="宋体" w:hAnsi="宋体" w:eastAsia="仿宋_GB2312" w:cs="宋体"/>
          <w:kern w:val="0"/>
          <w:sz w:val="32"/>
          <w:szCs w:val="32"/>
          <w:lang w:bidi="ar"/>
        </w:rPr>
        <w:t>绩效责任单位每年应当自本级人民代表大会闭会之日起三十日内将年度绩效目标报绩效管理工作机构。</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宋体"/>
          <w:kern w:val="0"/>
          <w:sz w:val="32"/>
          <w:szCs w:val="32"/>
          <w:lang w:bidi="ar"/>
        </w:rPr>
        <w:t>绩效管理工作机构应当依据国民经济和社会发展计划、财政预算计划、市政府工作报告等要求进行审核；认为年度绩效目标不符合上述要求或者绩效责任单位职责的，应当向其反馈意见，由绩效责任单位进行修改；</w:t>
      </w:r>
      <w:r>
        <w:rPr>
          <w:rFonts w:hint="eastAsia" w:ascii="宋体" w:hAnsi="宋体" w:eastAsia="仿宋_GB2312" w:cs="宋体"/>
          <w:color w:val="000000"/>
          <w:kern w:val="0"/>
          <w:sz w:val="32"/>
          <w:szCs w:val="32"/>
          <w:lang w:bidi="ar"/>
        </w:rPr>
        <w:t>涉及重大事项的，可以组织专项论证。</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宋体"/>
          <w:kern w:val="0"/>
          <w:sz w:val="32"/>
          <w:szCs w:val="32"/>
          <w:lang w:bidi="ar"/>
        </w:rPr>
        <w:t>年度绩效目标由绩效管理工作机构报绩效管理委员会审定后，依法统一向社会公布。</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第十二条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因本行政区域内重大政策调整、机构调整或者不可抗力因素的影响，确需调整绩效考核目标的，绩效责任单位应当及时将调整内容报绩效管理工作机构审核。</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需要调整的内容涉及人民政府确定的重点工作目标的，绩效责任单位应当报本级人民政府批准；依法应当由人民代表大会常务委员会批准的，人民政府应当报请同级人民代表大会常务委员会批准。</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新的重点工作任务需要纳入绩效管理的，绩效管理工作机构可以调整有关单位的年度绩效目标。</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调整的年度绩效目标，由绩效管理工作机构</w:t>
      </w:r>
      <w:r>
        <w:rPr>
          <w:rFonts w:hint="eastAsia" w:ascii="宋体" w:hAnsi="宋体" w:eastAsia="仿宋_GB2312" w:cs="仿宋_GB2312"/>
          <w:kern w:val="0"/>
          <w:sz w:val="32"/>
          <w:szCs w:val="32"/>
          <w:lang w:bidi="ar"/>
        </w:rPr>
        <w:t>报绩效管理委员会审定后，依法</w:t>
      </w:r>
      <w:r>
        <w:rPr>
          <w:rFonts w:hint="eastAsia" w:ascii="宋体" w:hAnsi="宋体" w:eastAsia="仿宋_GB2312" w:cs="仿宋_GB2312"/>
          <w:color w:val="000000"/>
          <w:kern w:val="0"/>
          <w:sz w:val="32"/>
          <w:szCs w:val="32"/>
          <w:lang w:bidi="ar"/>
        </w:rPr>
        <w:t>向社会公布。</w:t>
      </w:r>
    </w:p>
    <w:p>
      <w:pPr>
        <w:adjustRightInd w:val="0"/>
        <w:snapToGrid w:val="0"/>
        <w:spacing w:line="560" w:lineRule="exact"/>
        <w:ind w:firstLine="3200" w:firstLineChars="1000"/>
        <w:rPr>
          <w:rFonts w:ascii="宋体" w:hAnsi="宋体" w:eastAsia="黑体" w:cs="黑体"/>
          <w:kern w:val="0"/>
          <w:sz w:val="32"/>
          <w:szCs w:val="32"/>
          <w:lang w:bidi="ar"/>
        </w:rPr>
      </w:pPr>
    </w:p>
    <w:p>
      <w:pPr>
        <w:adjustRightInd w:val="0"/>
        <w:snapToGrid w:val="0"/>
        <w:spacing w:line="56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第三章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过程管理</w:t>
      </w:r>
    </w:p>
    <w:p>
      <w:pPr>
        <w:adjustRightInd w:val="0"/>
        <w:snapToGrid w:val="0"/>
        <w:spacing w:line="560" w:lineRule="exact"/>
        <w:ind w:firstLine="2100" w:firstLineChars="1000"/>
        <w:rPr>
          <w:rFonts w:hint="eastAsia" w:ascii="宋体" w:hAnsi="宋体" w:eastAsia="黑体" w:cs="宋体"/>
        </w:rPr>
      </w:pP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黑体" w:cs="宋体"/>
          <w:color w:val="000000"/>
          <w:kern w:val="0"/>
          <w:sz w:val="32"/>
          <w:szCs w:val="32"/>
          <w:shd w:val="clear" w:color="auto" w:fill="FFFFFF"/>
          <w:lang w:bidi="ar"/>
        </w:rPr>
        <w:t>第十三条</w:t>
      </w:r>
      <w:r>
        <w:rPr>
          <w:rFonts w:hint="eastAsia" w:ascii="宋体" w:hAnsi="宋体" w:eastAsia="黑体" w:cs="宋体"/>
          <w:kern w:val="0"/>
          <w:sz w:val="32"/>
          <w:szCs w:val="32"/>
          <w:shd w:val="clear" w:color="auto" w:fill="FFFFFF"/>
          <w:lang w:bidi="ar"/>
        </w:rPr>
        <w:t xml:space="preserve">  </w:t>
      </w:r>
      <w:r>
        <w:rPr>
          <w:rFonts w:hint="eastAsia" w:ascii="宋体" w:hAnsi="宋体" w:eastAsia="仿宋_GB2312" w:cs="宋体"/>
          <w:color w:val="000000"/>
          <w:kern w:val="0"/>
          <w:sz w:val="32"/>
          <w:szCs w:val="32"/>
          <w:shd w:val="clear" w:color="auto" w:fill="FFFFFF"/>
          <w:lang w:bidi="ar"/>
        </w:rPr>
        <w:t>绩效责任单位应当按照经审定的年度绩效目标实施绩效管理，定期分析影响绩效目标实现的制约因素并采取措施，建立和完善内部责任体系和奖惩机制，推进年度绩效目标的实现。</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仿宋_GB2312" w:cs="宋体"/>
          <w:color w:val="000000"/>
          <w:kern w:val="0"/>
          <w:sz w:val="32"/>
          <w:szCs w:val="32"/>
          <w:shd w:val="clear" w:color="auto" w:fill="FFFFFF"/>
          <w:lang w:bidi="ar"/>
        </w:rPr>
        <w:t>绩效责任单位应当按照要求向绩效管理工作机构报送反映其年度绩效目标进展情况、存在问题等方面的绩效信息，并对所提供的绩效信息的真实性和完整性负责。</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黑体" w:cs="宋体"/>
          <w:color w:val="000000"/>
          <w:kern w:val="0"/>
          <w:sz w:val="32"/>
          <w:szCs w:val="32"/>
          <w:shd w:val="clear" w:color="auto" w:fill="FFFFFF"/>
          <w:lang w:bidi="ar"/>
        </w:rPr>
        <w:t>第十四条</w:t>
      </w:r>
      <w:r>
        <w:rPr>
          <w:rFonts w:hint="eastAsia" w:ascii="宋体" w:hAnsi="宋体" w:eastAsia="仿宋_GB2312" w:cs="宋体"/>
          <w:color w:val="000000"/>
          <w:kern w:val="0"/>
          <w:sz w:val="32"/>
          <w:szCs w:val="32"/>
          <w:shd w:val="clear" w:color="auto" w:fill="FFFFFF"/>
          <w:lang w:bidi="ar"/>
        </w:rPr>
        <w:t xml:space="preserve">  年度绩效目标进展情况应当由绩效管理工作机构向社会公开并接受监督。</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黑体" w:cs="宋体"/>
          <w:color w:val="000000"/>
          <w:kern w:val="0"/>
          <w:sz w:val="32"/>
          <w:szCs w:val="32"/>
          <w:shd w:val="clear" w:color="auto" w:fill="FFFFFF"/>
          <w:lang w:bidi="ar"/>
        </w:rPr>
        <w:t>第十五条</w:t>
      </w:r>
      <w:r>
        <w:rPr>
          <w:rFonts w:hint="eastAsia" w:ascii="宋体" w:hAnsi="宋体" w:eastAsia="黑体" w:cs="宋体"/>
          <w:kern w:val="0"/>
          <w:sz w:val="32"/>
          <w:szCs w:val="32"/>
          <w:shd w:val="clear" w:color="auto" w:fill="FFFFFF"/>
          <w:lang w:bidi="ar"/>
        </w:rPr>
        <w:t xml:space="preserve">  </w:t>
      </w:r>
      <w:r>
        <w:rPr>
          <w:rFonts w:hint="eastAsia" w:ascii="宋体" w:hAnsi="宋体" w:eastAsia="仿宋_GB2312" w:cs="宋体"/>
          <w:color w:val="000000"/>
          <w:kern w:val="0"/>
          <w:sz w:val="32"/>
          <w:szCs w:val="32"/>
          <w:shd w:val="clear" w:color="auto" w:fill="FFFFFF"/>
          <w:lang w:bidi="ar"/>
        </w:rPr>
        <w:t>绩效管理工作机构应当建立绩效监测工作制度，对绩效责任单位的年度绩效目标执行情况进行监督检查，加强日常监控，督促绩效责任单位提高工作效能和服务质量。</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仿宋_GB2312" w:cs="宋体"/>
          <w:color w:val="000000"/>
          <w:kern w:val="0"/>
          <w:sz w:val="32"/>
          <w:szCs w:val="32"/>
          <w:shd w:val="clear" w:color="auto" w:fill="FFFFFF"/>
          <w:lang w:bidi="ar"/>
        </w:rPr>
        <w:t>发现目标推进不力、进展严重滞后的，绩效管理工作机构向绩效责任单位下发绩效督促通知单，对执行目标和履行职责情况进行预警，督促其按期完成绩效目标。绩效责任单位应当自收到通知单之日起十个工作日内作出情况说明，提出处理意见，反馈处理结果。</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黑体" w:cs="宋体"/>
          <w:color w:val="000000"/>
          <w:kern w:val="0"/>
          <w:sz w:val="32"/>
          <w:szCs w:val="32"/>
          <w:shd w:val="clear" w:color="auto" w:fill="FFFFFF"/>
          <w:lang w:bidi="ar"/>
        </w:rPr>
        <w:t>第十六条</w:t>
      </w:r>
      <w:r>
        <w:rPr>
          <w:rFonts w:hint="eastAsia" w:ascii="宋体" w:hAnsi="宋体" w:eastAsia="黑体" w:cs="宋体"/>
          <w:kern w:val="0"/>
          <w:sz w:val="32"/>
          <w:szCs w:val="32"/>
          <w:shd w:val="clear" w:color="auto" w:fill="FFFFFF"/>
          <w:lang w:bidi="ar"/>
        </w:rPr>
        <w:t xml:space="preserve">  </w:t>
      </w:r>
      <w:r>
        <w:rPr>
          <w:rFonts w:hint="eastAsia" w:ascii="宋体" w:hAnsi="宋体" w:eastAsia="仿宋_GB2312" w:cs="宋体"/>
          <w:kern w:val="0"/>
          <w:sz w:val="32"/>
          <w:szCs w:val="32"/>
          <w:shd w:val="clear" w:color="auto" w:fill="FFFFFF"/>
          <w:lang w:bidi="ar"/>
        </w:rPr>
        <w:t>绩效管理专项考核部门</w:t>
      </w:r>
      <w:r>
        <w:rPr>
          <w:rFonts w:hint="eastAsia" w:ascii="宋体" w:hAnsi="宋体" w:eastAsia="仿宋_GB2312" w:cs="宋体"/>
          <w:color w:val="000000"/>
          <w:kern w:val="0"/>
          <w:sz w:val="32"/>
          <w:szCs w:val="32"/>
          <w:shd w:val="clear" w:color="auto" w:fill="FFFFFF"/>
          <w:lang w:bidi="ar"/>
        </w:rPr>
        <w:t>应当按照各自职责，对专项绩效目标的执行情况实施监督检查，并将监督检查情况报告绩效管理工作机构。</w:t>
      </w:r>
    </w:p>
    <w:p>
      <w:pPr>
        <w:shd w:val="clear" w:color="auto" w:fill="FFFFFF"/>
        <w:adjustRightInd w:val="0"/>
        <w:snapToGrid w:val="0"/>
        <w:spacing w:line="560" w:lineRule="exact"/>
        <w:ind w:firstLine="630"/>
        <w:rPr>
          <w:rFonts w:hint="eastAsia" w:ascii="宋体" w:hAnsi="宋体" w:eastAsia="仿宋_GB2312" w:cs="宋体"/>
          <w:color w:val="000000"/>
          <w:shd w:val="clear" w:color="auto" w:fill="FFFFFF"/>
        </w:rPr>
      </w:pPr>
      <w:r>
        <w:rPr>
          <w:rFonts w:hint="eastAsia" w:ascii="宋体" w:hAnsi="宋体" w:eastAsia="黑体" w:cs="宋体"/>
          <w:color w:val="000000"/>
          <w:kern w:val="0"/>
          <w:sz w:val="32"/>
          <w:szCs w:val="32"/>
          <w:shd w:val="clear" w:color="auto" w:fill="FFFFFF"/>
          <w:lang w:bidi="ar"/>
        </w:rPr>
        <w:t>第十七条</w:t>
      </w:r>
      <w:r>
        <w:rPr>
          <w:rFonts w:hint="eastAsia" w:ascii="宋体" w:hAnsi="宋体" w:eastAsia="黑体" w:cs="宋体"/>
          <w:kern w:val="0"/>
          <w:sz w:val="32"/>
          <w:szCs w:val="32"/>
          <w:shd w:val="clear" w:color="auto" w:fill="FFFFFF"/>
          <w:lang w:bidi="ar"/>
        </w:rPr>
        <w:t xml:space="preserve">  </w:t>
      </w:r>
      <w:r>
        <w:rPr>
          <w:rFonts w:hint="eastAsia" w:ascii="宋体" w:hAnsi="宋体" w:eastAsia="仿宋_GB2312" w:cs="宋体"/>
          <w:color w:val="000000"/>
          <w:kern w:val="0"/>
          <w:sz w:val="32"/>
          <w:szCs w:val="32"/>
          <w:shd w:val="clear" w:color="auto" w:fill="FFFFFF"/>
          <w:lang w:bidi="ar"/>
        </w:rPr>
        <w:t>绩效管理工作机构、</w:t>
      </w:r>
      <w:r>
        <w:rPr>
          <w:rFonts w:hint="eastAsia" w:ascii="宋体" w:hAnsi="宋体" w:eastAsia="仿宋_GB2312" w:cs="宋体"/>
          <w:kern w:val="0"/>
          <w:sz w:val="32"/>
          <w:szCs w:val="32"/>
          <w:shd w:val="clear" w:color="auto" w:fill="FFFFFF"/>
          <w:lang w:bidi="ar"/>
        </w:rPr>
        <w:t>绩效管理专项考核部门</w:t>
      </w:r>
      <w:r>
        <w:rPr>
          <w:rFonts w:hint="eastAsia" w:ascii="宋体" w:hAnsi="宋体" w:eastAsia="仿宋_GB2312" w:cs="宋体"/>
          <w:color w:val="000000"/>
          <w:kern w:val="0"/>
          <w:sz w:val="32"/>
          <w:szCs w:val="32"/>
          <w:shd w:val="clear" w:color="auto" w:fill="FFFFFF"/>
          <w:lang w:bidi="ar"/>
        </w:rPr>
        <w:t>、绩效责任单位应当针对绩效管理中的突出问题，系统分析，研究对策，改进工作，提升绩效管理水平，必要时应当邀请有关专家、利害关系人参加。</w:t>
      </w:r>
    </w:p>
    <w:p>
      <w:pPr>
        <w:adjustRightInd w:val="0"/>
        <w:snapToGrid w:val="0"/>
        <w:spacing w:line="560" w:lineRule="exact"/>
        <w:ind w:firstLine="3200" w:firstLineChars="1000"/>
        <w:rPr>
          <w:rFonts w:ascii="宋体" w:hAnsi="宋体" w:eastAsia="黑体" w:cs="黑体"/>
          <w:kern w:val="0"/>
          <w:sz w:val="32"/>
          <w:szCs w:val="32"/>
          <w:lang w:bidi="ar"/>
        </w:rPr>
      </w:pPr>
    </w:p>
    <w:p>
      <w:pPr>
        <w:adjustRightInd w:val="0"/>
        <w:snapToGrid w:val="0"/>
        <w:spacing w:line="56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第四章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绩效考核</w:t>
      </w:r>
    </w:p>
    <w:p>
      <w:pPr>
        <w:adjustRightInd w:val="0"/>
        <w:snapToGrid w:val="0"/>
        <w:spacing w:line="560" w:lineRule="exact"/>
        <w:ind w:firstLine="2100" w:firstLineChars="1000"/>
        <w:rPr>
          <w:rFonts w:hint="eastAsia" w:ascii="宋体" w:hAnsi="宋体" w:eastAsia="黑体" w:cs="宋体"/>
        </w:rPr>
      </w:pPr>
    </w:p>
    <w:p>
      <w:pPr>
        <w:adjustRightInd w:val="0"/>
        <w:snapToGrid w:val="0"/>
        <w:spacing w:line="560" w:lineRule="exact"/>
        <w:ind w:firstLine="640" w:firstLineChars="200"/>
        <w:rPr>
          <w:rFonts w:hint="eastAsia" w:ascii="宋体" w:hAnsi="宋体" w:eastAsia="仿宋_GB2312" w:cs="宋体"/>
          <w:color w:val="FF0000"/>
        </w:rPr>
      </w:pPr>
      <w:r>
        <w:rPr>
          <w:rFonts w:hint="eastAsia" w:ascii="宋体" w:hAnsi="宋体" w:eastAsia="黑体" w:cs="黑体"/>
          <w:kern w:val="0"/>
          <w:sz w:val="32"/>
          <w:szCs w:val="32"/>
          <w:lang w:bidi="ar"/>
        </w:rPr>
        <w:t>第十八条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对绩效</w:t>
      </w:r>
      <w:r>
        <w:rPr>
          <w:rFonts w:hint="eastAsia" w:ascii="宋体" w:hAnsi="宋体" w:eastAsia="仿宋_GB2312" w:cs="仿宋_GB2312"/>
          <w:color w:val="000000"/>
          <w:spacing w:val="-4"/>
          <w:kern w:val="0"/>
          <w:sz w:val="32"/>
          <w:szCs w:val="32"/>
          <w:lang w:bidi="ar"/>
        </w:rPr>
        <w:t>责任单位的绩效管理工作实行综合绩效考核和专项绩效考核，对实行绩效管理的人员实行个人绩效考核。</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绩效考核应当按照依法、科学、因地制宜、统筹兼顾的原则进行，遵循客观工作规律。</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绩效考核办法由市绩效管理工作机构制定，报市绩效管理委员会批准后实施。</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第十九条</w:t>
      </w:r>
      <w:r>
        <w:rPr>
          <w:rFonts w:hint="eastAsia" w:ascii="宋体" w:hAnsi="宋体" w:eastAsia="黑体" w:cs="宋体"/>
          <w:color w:val="000000"/>
          <w:kern w:val="0"/>
          <w:sz w:val="32"/>
          <w:szCs w:val="32"/>
          <w:lang w:bidi="ar"/>
        </w:rPr>
        <w:t xml:space="preserve">  </w:t>
      </w:r>
      <w:r>
        <w:rPr>
          <w:rFonts w:hint="eastAsia" w:ascii="宋体" w:hAnsi="宋体" w:eastAsia="仿宋_GB2312" w:cs="仿宋_GB2312"/>
          <w:color w:val="000000"/>
          <w:kern w:val="0"/>
          <w:sz w:val="32"/>
          <w:szCs w:val="32"/>
          <w:lang w:bidi="ar"/>
        </w:rPr>
        <w:t>综合绩效考核由绩效管理工作机构组织实施；专项绩效考核由绩效管理专项考核部门组织实施；个人绩效考核由相关绩效管理专项考核部门组织，由绩效责任单位负责实施。</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各类绩效考核分别从以下方面实施：</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（一）综合绩效考核，从目标考核、社会评价、领导评价、内部评价、创新创优项目考核等方面实施；</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（二）专项绩效考核，从目标完成情况、协调推进情况、经济社会效益、综合评价等方面实施；</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（三）个人绩效考核，从履行岗位职责情况、领导评价、民主测评、考察情况综合评价等方面实施。</w:t>
      </w:r>
    </w:p>
    <w:p>
      <w:pPr>
        <w:adjustRightInd w:val="0"/>
        <w:snapToGrid w:val="0"/>
        <w:spacing w:line="560" w:lineRule="exact"/>
        <w:ind w:firstLine="640" w:firstLineChars="200"/>
        <w:rPr>
          <w:rFonts w:hint="eastAsia" w:ascii="宋体" w:hAnsi="宋体" w:eastAsia="仿宋_GB2312" w:cs="Arial"/>
        </w:rPr>
      </w:pPr>
      <w:r>
        <w:rPr>
          <w:rFonts w:hint="eastAsia" w:ascii="宋体" w:hAnsi="宋体" w:eastAsia="仿宋_GB2312" w:cs="仿宋_GB2312"/>
          <w:kern w:val="0"/>
          <w:sz w:val="32"/>
          <w:szCs w:val="32"/>
          <w:lang w:bidi="ar"/>
        </w:rPr>
        <w:t>实施绩效考核，应当依据绩效考核办法，</w:t>
      </w:r>
      <w:r>
        <w:rPr>
          <w:rFonts w:hint="eastAsia" w:ascii="宋体" w:hAnsi="宋体" w:eastAsia="仿宋_GB2312" w:cs="Arial"/>
          <w:kern w:val="0"/>
          <w:sz w:val="32"/>
          <w:szCs w:val="32"/>
          <w:lang w:bidi="ar"/>
        </w:rPr>
        <w:t>按照科学、规范、系统的指标体系和考核程序进行。</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第二十一条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绩效管理工作机构对专业性较强的绩效考核目标，可以委托绩效考核专门机构、高等院校、科研院所、社会中介组织等第三方机构对部分绩效考核目标开展绩效评估。</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第二十二条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社会评价由绩效管理工作机构每年通过专题问卷调查、</w:t>
      </w:r>
      <w:r>
        <w:rPr>
          <w:rFonts w:hint="eastAsia" w:ascii="宋体" w:hAnsi="宋体" w:eastAsia="仿宋_GB2312" w:cs="宋体"/>
          <w:kern w:val="0"/>
          <w:sz w:val="32"/>
          <w:szCs w:val="32"/>
          <w:lang w:bidi="ar"/>
        </w:rPr>
        <w:t>12345</w:t>
      </w:r>
      <w:r>
        <w:rPr>
          <w:rFonts w:hint="eastAsia" w:ascii="宋体" w:hAnsi="宋体" w:eastAsia="仿宋_GB2312" w:cs="仿宋_GB2312"/>
          <w:kern w:val="0"/>
          <w:sz w:val="32"/>
          <w:szCs w:val="32"/>
          <w:lang w:bidi="ar"/>
        </w:rPr>
        <w:t>市民服务热线电话访问等方式，组织社会公众对绩效责任单位的总体工作情况进行满意度评价并征求意见。</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第二十三条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创新创优项目考核，由绩效责任单位自愿申报，绩效管理工作机构进行审核评估。必要时，邀请专家参与或者委托第三方评估。</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第二十四条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绩效管理工作机构、专项考核部门和绩效责任单位应当汇总不同方面的考核情况，形成综合绩效考核结果、专项绩效考核结果和个人绩效考核结果。</w:t>
      </w:r>
      <w:r>
        <w:rPr>
          <w:rFonts w:hint="eastAsia" w:ascii="宋体" w:hAnsi="宋体" w:eastAsia="仿宋_GB2312" w:cs="仿宋_GB2312"/>
          <w:color w:val="000000"/>
          <w:kern w:val="0"/>
          <w:sz w:val="32"/>
          <w:szCs w:val="32"/>
          <w:lang w:bidi="ar"/>
        </w:rPr>
        <w:t>考核结果按照绩效考核办法分类分等次确定。</w:t>
      </w:r>
    </w:p>
    <w:p>
      <w:pPr>
        <w:adjustRightInd w:val="0"/>
        <w:snapToGrid w:val="0"/>
        <w:spacing w:line="56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综合绩效考核结果、专项绩效考核结果由绩效管理工作机构报绩效管理委员会批准；个人绩效考核结果由所在单位确定后报相关绩效管理专项考核部门备案审核。</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第二十五条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绩效管理工作机构应当将批准的绩效考核结果告知绩效责任单位，并按照有关规定向社会公开。</w:t>
      </w:r>
    </w:p>
    <w:p>
      <w:pPr>
        <w:adjustRightInd w:val="0"/>
        <w:snapToGrid w:val="0"/>
        <w:spacing w:line="56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第二十六条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对绩效考核结果有异议的，绩效责任单位或者个人可以自收到之日起十五个工作日内申请复核。</w:t>
      </w:r>
    </w:p>
    <w:p>
      <w:pPr>
        <w:adjustRightInd w:val="0"/>
        <w:snapToGrid w:val="0"/>
        <w:spacing w:line="560" w:lineRule="exact"/>
        <w:ind w:firstLine="640" w:firstLineChars="200"/>
        <w:rPr>
          <w:rFonts w:hint="eastAsia" w:ascii="宋体" w:hAnsi="宋体" w:eastAsia="黑体" w:cs="宋体"/>
        </w:rPr>
      </w:pPr>
      <w:r>
        <w:rPr>
          <w:rFonts w:hint="eastAsia" w:ascii="宋体" w:hAnsi="宋体" w:eastAsia="仿宋_GB2312" w:cs="仿宋_GB2312"/>
          <w:color w:val="000000"/>
          <w:kern w:val="0"/>
          <w:sz w:val="32"/>
          <w:szCs w:val="32"/>
          <w:lang w:bidi="ar"/>
        </w:rPr>
        <w:t>绩效管理工作机构、专项考核部门或者绩效责任单位收到申请后，应当在十个工作日内作出复核决定。变更考核结果的，应当在五个工作日内按照本条例第二十四条第二款规定的程序报请批准或者备案审核。</w:t>
      </w:r>
    </w:p>
    <w:p>
      <w:pPr>
        <w:adjustRightInd w:val="0"/>
        <w:snapToGrid w:val="0"/>
        <w:spacing w:line="560" w:lineRule="exact"/>
        <w:ind w:firstLine="3200" w:firstLineChars="1000"/>
        <w:rPr>
          <w:rFonts w:ascii="宋体" w:hAnsi="宋体" w:eastAsia="黑体" w:cs="黑体"/>
          <w:kern w:val="0"/>
          <w:sz w:val="32"/>
          <w:szCs w:val="32"/>
          <w:lang w:bidi="ar"/>
        </w:rPr>
      </w:pPr>
    </w:p>
    <w:p>
      <w:pPr>
        <w:adjustRightInd w:val="0"/>
        <w:snapToGrid w:val="0"/>
        <w:spacing w:line="56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第五章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结果运用</w:t>
      </w:r>
    </w:p>
    <w:p>
      <w:pPr>
        <w:adjustRightInd w:val="0"/>
        <w:snapToGrid w:val="0"/>
        <w:spacing w:line="560" w:lineRule="exact"/>
        <w:ind w:firstLine="2100" w:firstLineChars="1000"/>
        <w:rPr>
          <w:rFonts w:hint="eastAsia" w:ascii="宋体" w:hAnsi="宋体" w:eastAsia="黑体" w:cs="宋体"/>
        </w:rPr>
      </w:pP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黑体" w:cs="黑体"/>
          <w:kern w:val="0"/>
          <w:sz w:val="32"/>
          <w:szCs w:val="32"/>
          <w:lang w:bidi="ar"/>
        </w:rPr>
        <w:t>第二十七条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绩效责任单位应当对绩效考核中反映出的问题和社会评价意见进行分析，制定和落实整改措施。</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仿宋_GB2312" w:cs="仿宋_GB2312"/>
          <w:color w:val="000000"/>
          <w:kern w:val="0"/>
          <w:sz w:val="32"/>
          <w:szCs w:val="32"/>
          <w:lang w:bidi="ar"/>
        </w:rPr>
        <w:t>绩效管理工作机构应当对绩效责任单位整改情况进行监督检查，将重点整改目标列入下一年度绩效考核目标。</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第二十八条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绩效考核结果作为奖励惩戒、职务升降任免、预算管理、编制管理等方面的重要依据。</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第二十九条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根据绩效考核结果，对合格以上符合奖励条件的实行差异化奖励。绩效考核物质奖励应当发放到个人。</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绩效考核奖励</w:t>
      </w:r>
      <w:r>
        <w:rPr>
          <w:rFonts w:hint="eastAsia" w:ascii="宋体" w:hAnsi="宋体" w:eastAsia="仿宋_GB2312" w:cs="仿宋_GB2312"/>
          <w:color w:val="000000"/>
          <w:kern w:val="0"/>
          <w:sz w:val="32"/>
          <w:szCs w:val="32"/>
          <w:lang w:bidi="ar"/>
        </w:rPr>
        <w:t>应当</w:t>
      </w:r>
      <w:r>
        <w:rPr>
          <w:rFonts w:hint="eastAsia" w:ascii="宋体" w:hAnsi="宋体" w:eastAsia="仿宋_GB2312" w:cs="仿宋_GB2312"/>
          <w:kern w:val="0"/>
          <w:sz w:val="32"/>
          <w:szCs w:val="32"/>
          <w:lang w:bidi="ar"/>
        </w:rPr>
        <w:t>坚持向基层倾斜的导向。</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第三十条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绩效考核奖励应当根据经济社会发展情况，建立正常增长机制。</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第三十一条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对绩效考核结果不合格的单位给予通报批评，对其领导责任者和直接责任者，取消当年度评优评先资格。</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连续两年绩效考核结果不合格的单位，其领导责任者和直接责任者，一年内不得晋升职务。</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仿宋_GB2312" w:cs="仿宋_GB2312"/>
          <w:kern w:val="0"/>
          <w:sz w:val="32"/>
          <w:szCs w:val="32"/>
          <w:lang w:bidi="ar"/>
        </w:rPr>
        <w:t>对连续三年以上绩效考核结果不合格的单位，除按照本条第一款、第二款规定处理外，对其领导责任者和直接责任者，予以调离岗位、降职、免职。</w:t>
      </w:r>
    </w:p>
    <w:p>
      <w:pPr>
        <w:adjustRightInd w:val="0"/>
        <w:snapToGrid w:val="0"/>
        <w:spacing w:line="600" w:lineRule="exact"/>
        <w:ind w:firstLine="3200" w:firstLineChars="1000"/>
        <w:rPr>
          <w:rFonts w:ascii="宋体" w:hAnsi="宋体" w:eastAsia="黑体" w:cs="黑体"/>
          <w:kern w:val="0"/>
          <w:sz w:val="32"/>
          <w:szCs w:val="32"/>
          <w:lang w:bidi="ar"/>
        </w:rPr>
      </w:pPr>
    </w:p>
    <w:p>
      <w:pPr>
        <w:adjustRightInd w:val="0"/>
        <w:snapToGrid w:val="0"/>
        <w:spacing w:line="60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第六章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绩效问责</w:t>
      </w:r>
    </w:p>
    <w:p>
      <w:pPr>
        <w:adjustRightInd w:val="0"/>
        <w:snapToGrid w:val="0"/>
        <w:spacing w:line="600" w:lineRule="exact"/>
        <w:ind w:firstLine="2100" w:firstLineChars="1000"/>
        <w:rPr>
          <w:rFonts w:hint="eastAsia" w:ascii="宋体" w:hAnsi="宋体" w:eastAsia="黑体" w:cs="宋体"/>
        </w:rPr>
      </w:pP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第三十二条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绩效责任单位有下列情形之一的，由主管机关或者其他相关机关责令改正；对直接负责的主管人员和直接责任人员，按照管理权限，依法给予处理：</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（一）履行职责不力、失职失责，无正当理由未能完成绩效考核目标的；</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（二）工作效率低下，服务质量差，群众反映强烈的；</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（三）玩忽职守，造成公共利益、公民、法人和其他组织的合法权益遭受损失的；</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（四）重大决策失误的。</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黑体" w:cs="黑体"/>
          <w:color w:val="000000"/>
          <w:kern w:val="0"/>
          <w:sz w:val="32"/>
          <w:szCs w:val="32"/>
          <w:lang w:bidi="ar"/>
        </w:rPr>
        <w:t>第三十三条</w:t>
      </w:r>
      <w:r>
        <w:rPr>
          <w:rFonts w:hint="eastAsia" w:ascii="宋体" w:hAnsi="宋体" w:eastAsia="黑体" w:cs="宋体"/>
          <w:kern w:val="0"/>
          <w:sz w:val="32"/>
          <w:szCs w:val="32"/>
          <w:lang w:bidi="ar"/>
        </w:rPr>
        <w:t xml:space="preserve">  </w:t>
      </w:r>
      <w:r>
        <w:rPr>
          <w:rFonts w:hint="eastAsia" w:ascii="宋体" w:hAnsi="宋体" w:eastAsia="仿宋_GB2312" w:cs="仿宋_GB2312"/>
          <w:color w:val="000000"/>
          <w:kern w:val="0"/>
          <w:sz w:val="32"/>
          <w:szCs w:val="32"/>
          <w:lang w:bidi="ar"/>
        </w:rPr>
        <w:t>绩效管理工作机构、</w:t>
      </w:r>
      <w:r>
        <w:rPr>
          <w:rFonts w:hint="eastAsia" w:ascii="宋体" w:hAnsi="宋体" w:eastAsia="仿宋_GB2312" w:cs="仿宋_GB2312"/>
          <w:kern w:val="0"/>
          <w:sz w:val="32"/>
          <w:szCs w:val="32"/>
          <w:lang w:bidi="ar"/>
        </w:rPr>
        <w:t>绩效管理专项考核部门及其</w:t>
      </w:r>
      <w:r>
        <w:rPr>
          <w:rFonts w:hint="eastAsia" w:ascii="宋体" w:hAnsi="宋体" w:eastAsia="仿宋_GB2312" w:cs="仿宋_GB2312"/>
          <w:color w:val="000000"/>
          <w:kern w:val="0"/>
          <w:sz w:val="32"/>
          <w:szCs w:val="32"/>
          <w:lang w:bidi="ar"/>
        </w:rPr>
        <w:t>工作人员有下列情形之一的，由主管机关或者其他相关机关按照管理权限，依法给予处理：</w:t>
      </w:r>
    </w:p>
    <w:p>
      <w:pPr>
        <w:adjustRightInd w:val="0"/>
        <w:snapToGrid w:val="0"/>
        <w:spacing w:line="600" w:lineRule="exact"/>
        <w:ind w:firstLine="640" w:firstLineChars="200"/>
        <w:rPr>
          <w:rFonts w:hint="eastAsia" w:ascii="宋体" w:hAnsi="宋体" w:eastAsia="仿宋_GB2312" w:cs="宋体"/>
          <w:color w:val="000000"/>
        </w:rPr>
      </w:pPr>
      <w:r>
        <w:rPr>
          <w:rFonts w:hint="eastAsia" w:ascii="宋体" w:hAnsi="宋体" w:eastAsia="仿宋_GB2312" w:cs="仿宋_GB2312"/>
          <w:color w:val="000000"/>
          <w:kern w:val="0"/>
          <w:sz w:val="32"/>
          <w:szCs w:val="32"/>
          <w:lang w:bidi="ar"/>
        </w:rPr>
        <w:t>（一）在组织实施绩效管理中，工作效率低下，严重影响绩效管理工作顺利开展的；</w:t>
      </w:r>
      <w:r>
        <w:rPr>
          <w:rFonts w:hint="eastAsia" w:ascii="宋体" w:hAnsi="宋体" w:eastAsia="仿宋_GB2312" w:cs="宋体"/>
          <w:color w:val="000000"/>
          <w:kern w:val="0"/>
          <w:sz w:val="32"/>
          <w:szCs w:val="32"/>
          <w:lang w:bidi="ar"/>
        </w:rPr>
        <w:br w:type="textWrapping"/>
      </w:r>
      <w:r>
        <w:rPr>
          <w:rFonts w:hint="eastAsia" w:ascii="宋体" w:hAnsi="宋体" w:eastAsia="仿宋_GB2312" w:cs="仿宋_GB2312"/>
          <w:color w:val="000000"/>
          <w:kern w:val="0"/>
          <w:sz w:val="32"/>
          <w:szCs w:val="32"/>
          <w:lang w:bidi="ar"/>
        </w:rPr>
        <w:t>　　（二）不按照规定办理绩效管理方面的申诉或者投诉，造成不良影响的；</w:t>
      </w:r>
      <w:r>
        <w:rPr>
          <w:rFonts w:hint="eastAsia" w:ascii="宋体" w:hAnsi="宋体" w:eastAsia="仿宋_GB2312" w:cs="宋体"/>
          <w:color w:val="000000"/>
          <w:kern w:val="0"/>
          <w:sz w:val="32"/>
          <w:szCs w:val="32"/>
          <w:lang w:bidi="ar"/>
        </w:rPr>
        <w:br w:type="textWrapping"/>
      </w:r>
      <w:r>
        <w:rPr>
          <w:rFonts w:hint="eastAsia" w:ascii="宋体" w:hAnsi="宋体" w:eastAsia="仿宋_GB2312" w:cs="仿宋_GB2312"/>
          <w:color w:val="000000"/>
          <w:kern w:val="0"/>
          <w:sz w:val="32"/>
          <w:szCs w:val="32"/>
          <w:lang w:bidi="ar"/>
        </w:rPr>
        <w:t>　　（三）在绩效管理中徇私舞弊或者滥用职权的；</w:t>
      </w:r>
      <w:r>
        <w:rPr>
          <w:rFonts w:hint="eastAsia" w:ascii="宋体" w:hAnsi="宋体" w:eastAsia="仿宋_GB2312" w:cs="宋体"/>
          <w:color w:val="000000"/>
          <w:kern w:val="0"/>
          <w:sz w:val="32"/>
          <w:szCs w:val="32"/>
          <w:lang w:bidi="ar"/>
        </w:rPr>
        <w:br w:type="textWrapping"/>
      </w:r>
      <w:r>
        <w:rPr>
          <w:rFonts w:hint="eastAsia" w:ascii="宋体" w:hAnsi="宋体" w:eastAsia="仿宋_GB2312" w:cs="仿宋_GB2312"/>
          <w:color w:val="000000"/>
          <w:kern w:val="0"/>
          <w:sz w:val="32"/>
          <w:szCs w:val="32"/>
          <w:lang w:bidi="ar"/>
        </w:rPr>
        <w:t>　　（四）泄露绩效管理工作秘密的；</w:t>
      </w:r>
      <w:r>
        <w:rPr>
          <w:rFonts w:hint="eastAsia" w:ascii="宋体" w:hAnsi="宋体" w:eastAsia="仿宋_GB2312" w:cs="宋体"/>
          <w:color w:val="000000"/>
          <w:kern w:val="0"/>
          <w:sz w:val="32"/>
          <w:szCs w:val="32"/>
          <w:lang w:bidi="ar"/>
        </w:rPr>
        <w:br w:type="textWrapping"/>
      </w:r>
      <w:r>
        <w:rPr>
          <w:rFonts w:hint="eastAsia" w:ascii="宋体" w:hAnsi="宋体" w:eastAsia="仿宋_GB2312" w:cs="仿宋_GB2312"/>
          <w:color w:val="000000"/>
          <w:kern w:val="0"/>
          <w:sz w:val="32"/>
          <w:szCs w:val="32"/>
          <w:lang w:bidi="ar"/>
        </w:rPr>
        <w:t>　　（五）有其他渎职、失职行为的。</w:t>
      </w:r>
    </w:p>
    <w:p>
      <w:pPr>
        <w:shd w:val="clear" w:color="auto" w:fill="FFFFFF"/>
        <w:adjustRightInd w:val="0"/>
        <w:snapToGrid w:val="0"/>
        <w:spacing w:line="600" w:lineRule="exact"/>
        <w:ind w:firstLine="640" w:firstLineChars="200"/>
        <w:rPr>
          <w:rFonts w:hint="eastAsia" w:ascii="宋体" w:hAnsi="宋体" w:eastAsia="仿宋_GB2312" w:cs="宋体"/>
          <w:color w:val="000000"/>
          <w:shd w:val="clear" w:color="auto" w:fill="FFFFFF"/>
        </w:rPr>
      </w:pPr>
      <w:r>
        <w:rPr>
          <w:rFonts w:hint="eastAsia" w:ascii="宋体" w:hAnsi="宋体" w:eastAsia="黑体" w:cs="宋体"/>
          <w:kern w:val="0"/>
          <w:sz w:val="32"/>
          <w:szCs w:val="32"/>
          <w:shd w:val="clear" w:color="auto" w:fill="FFFFFF"/>
          <w:lang w:bidi="ar"/>
        </w:rPr>
        <w:t xml:space="preserve">第三十四条  </w:t>
      </w:r>
      <w:r>
        <w:rPr>
          <w:rFonts w:hint="eastAsia" w:ascii="宋体" w:hAnsi="宋体" w:eastAsia="仿宋_GB2312" w:cs="宋体"/>
          <w:kern w:val="0"/>
          <w:sz w:val="32"/>
          <w:szCs w:val="32"/>
          <w:shd w:val="clear" w:color="auto" w:fill="FFFFFF"/>
          <w:lang w:bidi="ar"/>
        </w:rPr>
        <w:t>违反本条例规定的行为，法律、法规另有规定的，从其规定。</w:t>
      </w:r>
    </w:p>
    <w:p>
      <w:pPr>
        <w:adjustRightInd w:val="0"/>
        <w:snapToGrid w:val="0"/>
        <w:spacing w:line="600" w:lineRule="exact"/>
        <w:ind w:firstLine="3200" w:firstLineChars="1000"/>
        <w:rPr>
          <w:rFonts w:ascii="宋体" w:hAnsi="宋体" w:eastAsia="黑体" w:cs="黑体"/>
          <w:kern w:val="0"/>
          <w:sz w:val="32"/>
          <w:szCs w:val="32"/>
          <w:lang w:bidi="ar"/>
        </w:rPr>
      </w:pPr>
    </w:p>
    <w:p>
      <w:pPr>
        <w:adjustRightInd w:val="0"/>
        <w:snapToGrid w:val="0"/>
        <w:spacing w:line="600" w:lineRule="exact"/>
        <w:ind w:firstLine="3200" w:firstLineChars="1000"/>
        <w:rPr>
          <w:rFonts w:ascii="宋体" w:hAnsi="宋体" w:eastAsia="黑体" w:cs="黑体"/>
          <w:kern w:val="0"/>
          <w:sz w:val="32"/>
          <w:szCs w:val="32"/>
          <w:lang w:bidi="ar"/>
        </w:rPr>
      </w:pPr>
    </w:p>
    <w:p>
      <w:pPr>
        <w:adjustRightInd w:val="0"/>
        <w:snapToGrid w:val="0"/>
        <w:spacing w:line="600" w:lineRule="exact"/>
        <w:ind w:firstLine="3200" w:firstLineChars="1000"/>
        <w:rPr>
          <w:rFonts w:ascii="宋体" w:hAnsi="宋体" w:eastAsia="黑体" w:cs="黑体"/>
          <w:kern w:val="0"/>
          <w:sz w:val="32"/>
          <w:szCs w:val="32"/>
          <w:lang w:bidi="ar"/>
        </w:rPr>
      </w:pPr>
      <w:r>
        <w:rPr>
          <w:rFonts w:hint="eastAsia" w:ascii="宋体" w:hAnsi="宋体" w:eastAsia="黑体" w:cs="黑体"/>
          <w:kern w:val="0"/>
          <w:sz w:val="32"/>
          <w:szCs w:val="32"/>
          <w:lang w:bidi="ar"/>
        </w:rPr>
        <w:t>第七章</w:t>
      </w:r>
      <w:r>
        <w:rPr>
          <w:rFonts w:hint="eastAsia" w:ascii="宋体" w:hAnsi="宋体" w:eastAsia="黑体" w:cs="宋体"/>
          <w:kern w:val="0"/>
          <w:sz w:val="32"/>
          <w:szCs w:val="32"/>
          <w:lang w:bidi="ar"/>
        </w:rPr>
        <w:t xml:space="preserve">  </w:t>
      </w:r>
      <w:r>
        <w:rPr>
          <w:rFonts w:hint="eastAsia" w:ascii="宋体" w:hAnsi="宋体" w:eastAsia="黑体" w:cs="黑体"/>
          <w:kern w:val="0"/>
          <w:sz w:val="32"/>
          <w:szCs w:val="32"/>
          <w:lang w:bidi="ar"/>
        </w:rPr>
        <w:t>附则</w:t>
      </w:r>
    </w:p>
    <w:p>
      <w:pPr>
        <w:adjustRightInd w:val="0"/>
        <w:snapToGrid w:val="0"/>
        <w:spacing w:line="600" w:lineRule="exact"/>
        <w:ind w:firstLine="2100" w:firstLineChars="1000"/>
        <w:rPr>
          <w:rFonts w:hint="eastAsia" w:ascii="宋体" w:hAnsi="宋体" w:eastAsia="黑体" w:cs="宋体"/>
        </w:rPr>
      </w:pP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第三十五条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本条例第二条规定以外的适用和参照《中华人民共和国公务员法》管理的单位、个人，市绩效管理委员会确定的实行绩效管理的企业、事业单位及其相关人员的绩效管理，参照本条例执行。</w:t>
      </w:r>
    </w:p>
    <w:p>
      <w:pPr>
        <w:adjustRightInd w:val="0"/>
        <w:snapToGrid w:val="0"/>
        <w:spacing w:line="600" w:lineRule="exact"/>
        <w:ind w:firstLine="640" w:firstLineChars="200"/>
        <w:rPr>
          <w:rFonts w:hint="eastAsia" w:ascii="宋体" w:hAnsi="宋体" w:eastAsia="仿宋_GB2312" w:cs="宋体"/>
        </w:rPr>
      </w:pPr>
      <w:r>
        <w:rPr>
          <w:rFonts w:hint="eastAsia" w:ascii="宋体" w:hAnsi="宋体" w:eastAsia="黑体" w:cs="黑体"/>
          <w:kern w:val="0"/>
          <w:sz w:val="32"/>
          <w:szCs w:val="32"/>
          <w:lang w:bidi="ar"/>
        </w:rPr>
        <w:t>第三十六条</w:t>
      </w:r>
      <w:r>
        <w:rPr>
          <w:rFonts w:hint="eastAsia" w:ascii="宋体" w:hAnsi="宋体" w:eastAsia="黑体" w:cs="宋体"/>
          <w:kern w:val="0"/>
          <w:sz w:val="32"/>
          <w:szCs w:val="32"/>
          <w:lang w:bidi="ar"/>
        </w:rPr>
        <w:t xml:space="preserve">  </w:t>
      </w:r>
      <w:r>
        <w:rPr>
          <w:rFonts w:hint="eastAsia" w:ascii="宋体" w:hAnsi="宋体" w:eastAsia="仿宋_GB2312" w:cs="仿宋_GB2312"/>
          <w:kern w:val="0"/>
          <w:sz w:val="32"/>
          <w:szCs w:val="32"/>
          <w:lang w:bidi="ar"/>
        </w:rPr>
        <w:t>本条例自</w:t>
      </w:r>
      <w:r>
        <w:rPr>
          <w:rFonts w:hint="eastAsia" w:ascii="宋体" w:hAnsi="宋体" w:eastAsia="仿宋_GB2312" w:cs="宋体"/>
          <w:kern w:val="0"/>
          <w:sz w:val="32"/>
          <w:szCs w:val="32"/>
          <w:lang w:bidi="ar"/>
        </w:rPr>
        <w:t>2018</w:t>
      </w:r>
      <w:r>
        <w:rPr>
          <w:rFonts w:hint="eastAsia" w:ascii="宋体" w:hAnsi="宋体" w:eastAsia="仿宋_GB2312" w:cs="仿宋_GB2312"/>
          <w:kern w:val="0"/>
          <w:sz w:val="32"/>
          <w:szCs w:val="32"/>
          <w:lang w:bidi="ar"/>
        </w:rPr>
        <w:t>年</w:t>
      </w:r>
      <w:r>
        <w:rPr>
          <w:rFonts w:hint="eastAsia" w:ascii="宋体" w:hAnsi="宋体" w:eastAsia="仿宋_GB2312" w:cs="宋体"/>
          <w:kern w:val="0"/>
          <w:sz w:val="32"/>
          <w:szCs w:val="32"/>
          <w:lang w:bidi="ar"/>
        </w:rPr>
        <w:t>12</w:t>
      </w:r>
      <w:r>
        <w:rPr>
          <w:rFonts w:hint="eastAsia" w:ascii="宋体" w:hAnsi="宋体" w:eastAsia="仿宋_GB2312" w:cs="仿宋_GB2312"/>
          <w:kern w:val="0"/>
          <w:sz w:val="32"/>
          <w:szCs w:val="32"/>
          <w:lang w:bidi="ar"/>
        </w:rPr>
        <w:t>月</w:t>
      </w:r>
      <w:r>
        <w:rPr>
          <w:rFonts w:hint="eastAsia" w:ascii="宋体" w:hAnsi="宋体" w:eastAsia="仿宋_GB2312" w:cs="宋体"/>
          <w:kern w:val="0"/>
          <w:sz w:val="32"/>
          <w:szCs w:val="32"/>
          <w:lang w:bidi="ar"/>
        </w:rPr>
        <w:t>1</w:t>
      </w:r>
      <w:r>
        <w:rPr>
          <w:rFonts w:hint="eastAsia" w:ascii="宋体" w:hAnsi="宋体" w:eastAsia="仿宋_GB2312" w:cs="仿宋_GB2312"/>
          <w:kern w:val="0"/>
          <w:sz w:val="32"/>
          <w:szCs w:val="32"/>
          <w:lang w:bidi="ar"/>
        </w:rPr>
        <w:t>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7647E"/>
    <w:multiLevelType w:val="multilevel"/>
    <w:tmpl w:val="6DA7647E"/>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F0530"/>
    <w:rsid w:val="404F0530"/>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2019-01-15T07:38:00Z</dcterms:created>
  <dc:creator>xx</dc:creator>
  <cp:lastModifiedBy>xx</cp:lastModifiedBy>
  <dcterms:modified xsi:type="dcterms:W3CDTF">2019-01-15T07:41:40Z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