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济南市限制燃放烟花爆竹的管理规定</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（2</w:t>
      </w:r>
      <w:r>
        <w:rPr>
          <w:rFonts w:hint="eastAsia" w:ascii="宋体" w:hAnsi="宋体" w:eastAsia="楷体_GB2312" w:cs="楷体_GB2312"/>
          <w:color w:val="000000"/>
          <w:spacing w:val="4"/>
          <w:sz w:val="32"/>
          <w:szCs w:val="32"/>
        </w:rPr>
        <w:t xml:space="preserve">004年9月29日济南市第十三届人民代表大会常务委员会第十四次会议通过　2004年11月25日山东省第十届人民代表大会常务委员会第十一次会议批准  </w:t>
      </w:r>
      <w:r>
        <w:rPr>
          <w:rFonts w:hint="eastAsia" w:ascii="宋体" w:hAnsi="宋体" w:eastAsia="楷体_GB2312" w:cs="楷体_GB2312"/>
          <w:color w:val="000000"/>
          <w:sz w:val="32"/>
          <w:szCs w:val="32"/>
        </w:rPr>
        <w:t>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　</w:t>
      </w:r>
      <w:r>
        <w:rPr>
          <w:rFonts w:hint="eastAsia" w:ascii="宋体" w:hAnsi="宋体" w:eastAsia="仿宋_GB2312" w:cs="仿宋_GB2312"/>
          <w:color w:val="000000"/>
          <w:sz w:val="32"/>
          <w:szCs w:val="32"/>
        </w:rPr>
        <w:t>为了保障国家、集体财产安全和公民生命、财产安全，规范燃放烟花爆竹，根据有关法律、法规的规定，结合本市实际，制定本规定。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第二条　</w:t>
      </w:r>
      <w:r>
        <w:rPr>
          <w:rFonts w:hint="eastAsia" w:ascii="宋体" w:hAnsi="宋体" w:eastAsia="仿宋_GB2312" w:cs="仿宋_GB2312"/>
          <w:color w:val="000000"/>
          <w:sz w:val="32"/>
          <w:szCs w:val="32"/>
        </w:rPr>
        <w:t>在本市绕城高速公路区域范围内燃放烟花爆竹适用本规定。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公安机关负责烟花爆竹运输和燃放的管理；安全生产监督管理部门负责烟花爆竹生产和销售的管理。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宣传教育部门应当加强燃放烟花爆竹安全知识的宣传教育；工商行政管理、质量技术监督部门应当按照各自职责，做好燃放烟花爆竹有关工作。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生产、销售、运输、储存烟花爆竹应当按照国家有关规定执行。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下列场所和区域禁止燃放烟花爆竹：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（一）医院、疗养院、老年公寓、幼儿园、托儿所、学校教学区；</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（二）加油（气）站、液化气供应站（点）、油库、变电站、</w:t>
      </w:r>
      <w:r>
        <w:rPr>
          <w:rFonts w:hint="eastAsia" w:ascii="宋体" w:hAnsi="宋体" w:eastAsia="仿宋_GB2312" w:cs="仿宋_GB2312"/>
          <w:color w:val="000000"/>
          <w:spacing w:val="4"/>
          <w:sz w:val="32"/>
          <w:szCs w:val="32"/>
        </w:rPr>
        <w:t>高压线、存有机动车的停车场、重要物资仓库等禁火区或者其他生产、经营、储存易燃、易爆物品的场所及其周边安全保护范围内；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（三）林地、绿地、苗圃；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（四）文物保护单位；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（五）高架路、过街天桥、立交桥、隧道；</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（六）</w:t>
      </w:r>
      <w:r>
        <w:rPr>
          <w:rFonts w:hint="eastAsia" w:ascii="宋体" w:hAnsi="宋体" w:eastAsia="仿宋_GB2312" w:cs="仿宋_GB2312"/>
          <w:color w:val="000000"/>
          <w:spacing w:val="-6"/>
          <w:sz w:val="32"/>
          <w:szCs w:val="32"/>
        </w:rPr>
        <w:t>民用建筑的公共走廊、楼梯、屋顶、阳（凉）台、窗口；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（七）机场、车站、码头、商场、影（剧）院等人员密集的公共场所。</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第六条</w:t>
      </w:r>
      <w:r>
        <w:rPr>
          <w:rFonts w:hint="eastAsia" w:ascii="宋体" w:hAnsi="宋体" w:eastAsia="仿宋_GB2312" w:cs="仿宋_GB2312"/>
          <w:color w:val="000000"/>
          <w:sz w:val="32"/>
          <w:szCs w:val="32"/>
        </w:rPr>
        <w:t>　在农历腊月二十三至正月十五期间可以燃放烟花爆竹，其他时间不得燃放。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在前款规定可以燃放烟花爆竹的期间内，除农历腊月二十三、除夕、正月初五、正月十五外，在二十三时至次日五时不得燃放。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国家、省、市举行重大庆典活动，需要在禁放时间和禁放区域内燃放焰火的，由市人民政府决定并发布公告。</w:t>
      </w: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w:t>
      </w:r>
      <w:r>
        <w:rPr>
          <w:rFonts w:hint="eastAsia" w:ascii="宋体" w:hAnsi="宋体" w:eastAsia="仿宋_GB2312" w:cs="仿宋_GB2312"/>
          <w:color w:val="000000"/>
          <w:spacing w:val="-6"/>
          <w:sz w:val="32"/>
          <w:szCs w:val="32"/>
        </w:rPr>
        <w:t>安全生产监督管理部门应当定期向社会公布烟花爆竹定点生产企业、批发企业和禁止销售的烟花爆竹的品种目录。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第八条</w:t>
      </w:r>
      <w:r>
        <w:rPr>
          <w:rFonts w:hint="eastAsia" w:ascii="宋体" w:hAnsi="宋体" w:eastAsia="仿宋_GB2312" w:cs="仿宋_GB2312"/>
          <w:color w:val="000000"/>
          <w:sz w:val="32"/>
          <w:szCs w:val="32"/>
        </w:rPr>
        <w:t>　从事烟花爆竹的批发企业和零售经营者必须取得销售许可证。烟花爆竹批发企业必须从国家批准的定点生产企业进货；烟花爆竹零售经营者必须从批准的定点批发企业进货。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销售的烟花爆竹必须注有燃放方法和适宜人群。</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第九条　</w:t>
      </w:r>
      <w:r>
        <w:rPr>
          <w:rFonts w:hint="eastAsia" w:ascii="宋体" w:hAnsi="宋体" w:eastAsia="仿宋_GB2312" w:cs="仿宋_GB2312"/>
          <w:color w:val="000000"/>
          <w:sz w:val="32"/>
          <w:szCs w:val="32"/>
        </w:rPr>
        <w:t>燃放烟花爆竹应当按照燃放说明燃放，不得燃放本市禁止销售的品种；不得向行人、车辆发射、投掷；不得侵犯他人人身、财产安全。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第十条</w:t>
      </w:r>
      <w:r>
        <w:rPr>
          <w:rFonts w:hint="eastAsia" w:ascii="宋体" w:hAnsi="宋体" w:eastAsia="仿宋_GB2312" w:cs="仿宋_GB2312"/>
          <w:color w:val="000000"/>
          <w:sz w:val="32"/>
          <w:szCs w:val="32"/>
        </w:rPr>
        <w:t>　未成年人应当在监护人或者其他成年人陪同下燃放烟花爆竹。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违反本规定第五条、第六条、第九条规定的，由公安机关责令停止燃放，处一百元以上五百元以下的罚款；构成违反治安管理行为的，依法给予治安管理处罚；造成他人人身伤害、财产损失的，应当依法赔偿。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　</w:t>
      </w:r>
      <w:r>
        <w:rPr>
          <w:rFonts w:hint="eastAsia" w:ascii="宋体" w:hAnsi="宋体" w:eastAsia="仿宋_GB2312" w:cs="仿宋_GB2312"/>
          <w:color w:val="000000"/>
          <w:sz w:val="32"/>
          <w:szCs w:val="32"/>
        </w:rPr>
        <w:t>违反本规定第八条第一款规定的，由安全生产监督管理部门依照《中华人民共和国安全生产法》规定给予处理。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第十三条</w:t>
      </w:r>
      <w:r>
        <w:rPr>
          <w:rFonts w:hint="eastAsia" w:ascii="宋体" w:hAnsi="宋体" w:eastAsia="仿宋_GB2312" w:cs="仿宋_GB2312"/>
          <w:color w:val="000000"/>
          <w:sz w:val="32"/>
          <w:szCs w:val="32"/>
        </w:rPr>
        <w:t>　本规定自2005年1月1日起施行。1994年9月1日市人大常委会公布施行的《济南市禁止燃放烟花爆竹的规定》同时废止。</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2</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36AE"/>
    <w:rsid w:val="00274C34"/>
    <w:rsid w:val="00551489"/>
    <w:rsid w:val="007F1C43"/>
    <w:rsid w:val="0084573E"/>
    <w:rsid w:val="009A6314"/>
    <w:rsid w:val="00A35767"/>
    <w:rsid w:val="00A611A9"/>
    <w:rsid w:val="00B37EFD"/>
    <w:rsid w:val="00BC1BF5"/>
    <w:rsid w:val="00E836AE"/>
    <w:rsid w:val="00E958AE"/>
    <w:rsid w:val="22B130D9"/>
    <w:rsid w:val="6E500033"/>
    <w:rsid w:val="72D7185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205</Words>
  <Characters>1174</Characters>
  <Lines>9</Lines>
  <Paragraphs>2</Paragraphs>
  <ScaleCrop>false</ScaleCrop>
  <LinksUpToDate>false</LinksUpToDate>
  <CharactersWithSpaces>1377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2016-08-31T08:17:00Z</dcterms:created>
  <dc:creator>Lenovo User</dc:creator>
  <cp:lastModifiedBy>Administrator</cp:lastModifiedBy>
  <dcterms:modified xsi:type="dcterms:W3CDTF">2017-01-23T04:42:16Z</dcterms:modified>
  <dc:title>济南市限制燃放烟花爆竹的管理规定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