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jc w:val="center"/>
        <w:outlineLvl w:val="0"/>
        <w:rPr>
          <w:rFonts w:ascii="仿宋_GB2312" w:hAnsi="仿宋"/>
          <w:color w:val="000000"/>
          <w:kern w:val="0"/>
          <w:szCs w:val="32"/>
        </w:rPr>
      </w:pPr>
    </w:p>
    <w:p>
      <w:pPr>
        <w:adjustRightInd w:val="0"/>
        <w:snapToGrid w:val="0"/>
        <w:spacing w:line="560" w:lineRule="exact"/>
        <w:jc w:val="center"/>
        <w:outlineLvl w:val="0"/>
        <w:rPr>
          <w:rFonts w:ascii="仿宋_GB2312" w:hAnsi="仿宋"/>
          <w:color w:val="000000"/>
          <w:kern w:val="0"/>
          <w:szCs w:val="32"/>
        </w:rPr>
      </w:pPr>
    </w:p>
    <w:p>
      <w:pPr>
        <w:adjustRightInd w:val="0"/>
        <w:snapToGrid w:val="0"/>
        <w:spacing w:line="560" w:lineRule="exact"/>
        <w:jc w:val="center"/>
        <w:outlineLvl w:val="0"/>
        <w:rPr>
          <w:rFonts w:hint="eastAsia" w:ascii="宋体" w:hAnsi="宋体" w:eastAsia="宋体"/>
          <w:sz w:val="44"/>
          <w:szCs w:val="44"/>
        </w:rPr>
      </w:pPr>
      <w:r>
        <w:rPr>
          <w:rFonts w:hint="eastAsia" w:ascii="宋体" w:hAnsi="宋体" w:eastAsia="宋体"/>
          <w:sz w:val="44"/>
          <w:szCs w:val="44"/>
        </w:rPr>
        <w:t>济宁市烟花爆竹燃放管理条例</w:t>
      </w:r>
    </w:p>
    <w:p>
      <w:pPr>
        <w:shd w:val="clear" w:color="auto" w:fill="FFFFFF"/>
        <w:spacing w:line="560" w:lineRule="exact"/>
        <w:ind w:firstLine="560" w:firstLineChars="200"/>
        <w:rPr>
          <w:rFonts w:hint="eastAsia" w:ascii="宋体" w:hAnsi="宋体" w:cs="宋体"/>
          <w:color w:val="000000"/>
          <w:kern w:val="0"/>
          <w:sz w:val="28"/>
          <w:szCs w:val="28"/>
        </w:rPr>
      </w:pPr>
    </w:p>
    <w:p>
      <w:pPr>
        <w:shd w:val="clear" w:color="auto" w:fill="FFFFFF"/>
        <w:spacing w:line="560" w:lineRule="exact"/>
        <w:ind w:left="707" w:leftChars="221" w:right="621" w:rightChars="194"/>
        <w:rPr>
          <w:rFonts w:hint="eastAsia" w:ascii="楷体_GB2312" w:eastAsia="楷体_GB2312"/>
          <w:szCs w:val="32"/>
        </w:rPr>
      </w:pPr>
      <w:r>
        <w:rPr>
          <w:rFonts w:hint="eastAsia" w:ascii="楷体_GB2312" w:hAnsi="宋体" w:eastAsia="楷体_GB2312" w:cs="宋体"/>
          <w:color w:val="000000"/>
          <w:kern w:val="0"/>
          <w:szCs w:val="32"/>
        </w:rPr>
        <w:t>（</w:t>
      </w:r>
      <w:r>
        <w:rPr>
          <w:rFonts w:hint="eastAsia" w:ascii="楷体_GB2312" w:eastAsia="楷体_GB2312"/>
          <w:szCs w:val="32"/>
        </w:rPr>
        <w:t>2017年10月31日济宁市第十七届人民代表大会常务委员会第六次会议通过  2017年12月1日山东省第</w:t>
      </w:r>
      <w:r>
        <w:rPr>
          <w:rFonts w:hint="eastAsia" w:ascii="楷体_GB2312" w:eastAsia="楷体_GB2312"/>
          <w:spacing w:val="-6"/>
          <w:szCs w:val="32"/>
        </w:rPr>
        <w:t>十二届人民代表大会常务委员会第三十三次会议批准</w:t>
      </w:r>
      <w:r>
        <w:rPr>
          <w:rFonts w:hint="eastAsia" w:ascii="楷体_GB2312" w:hAnsi="宋体" w:eastAsia="楷体_GB2312" w:cs="宋体"/>
          <w:color w:val="000000"/>
          <w:spacing w:val="-6"/>
          <w:kern w:val="0"/>
          <w:szCs w:val="32"/>
        </w:rPr>
        <w:t>）</w:t>
      </w:r>
    </w:p>
    <w:p>
      <w:pPr>
        <w:adjustRightInd w:val="0"/>
        <w:snapToGrid w:val="0"/>
        <w:spacing w:line="560" w:lineRule="exact"/>
        <w:rPr>
          <w:rFonts w:hint="eastAsia"/>
          <w:szCs w:val="32"/>
        </w:rPr>
      </w:pPr>
    </w:p>
    <w:p>
      <w:pPr>
        <w:snapToGrid w:val="0"/>
        <w:spacing w:line="560" w:lineRule="exact"/>
        <w:ind w:firstLine="640" w:firstLineChars="200"/>
        <w:rPr>
          <w:rFonts w:hint="eastAsia" w:ascii="方正仿宋简体" w:hAnsi="宋体"/>
          <w:szCs w:val="32"/>
        </w:rPr>
      </w:pPr>
      <w:r>
        <w:rPr>
          <w:rFonts w:hint="eastAsia" w:ascii="黑体" w:hAnsi="宋体" w:eastAsia="黑体"/>
          <w:szCs w:val="32"/>
        </w:rPr>
        <w:t>第一条</w:t>
      </w:r>
      <w:r>
        <w:rPr>
          <w:rFonts w:hint="eastAsia" w:ascii="仿宋_GB2312" w:hAnsi="宋体"/>
          <w:szCs w:val="32"/>
        </w:rPr>
        <w:t xml:space="preserve"> </w:t>
      </w:r>
      <w:r>
        <w:rPr>
          <w:rFonts w:hint="eastAsia" w:ascii="方正仿宋简体" w:hAnsi="宋体"/>
          <w:szCs w:val="32"/>
        </w:rPr>
        <w:t xml:space="preserve"> 为了减少环境污染，保障公共安全和人身、财产安全，根据有关法律、法规的规定，结合本市实际，制定本条例。</w:t>
      </w:r>
    </w:p>
    <w:p>
      <w:pPr>
        <w:snapToGrid w:val="0"/>
        <w:spacing w:line="560" w:lineRule="exact"/>
        <w:ind w:firstLine="640" w:firstLineChars="200"/>
        <w:rPr>
          <w:rFonts w:hint="eastAsia" w:ascii="仿宋_GB2312" w:hAnsi="宋体"/>
          <w:szCs w:val="32"/>
        </w:rPr>
      </w:pPr>
      <w:r>
        <w:rPr>
          <w:rFonts w:hint="eastAsia" w:ascii="黑体" w:hAnsi="宋体" w:eastAsia="黑体"/>
          <w:szCs w:val="32"/>
        </w:rPr>
        <w:t>第二条</w:t>
      </w:r>
      <w:r>
        <w:rPr>
          <w:rFonts w:hint="eastAsia" w:ascii="仿宋_GB2312" w:hAnsi="宋体"/>
          <w:szCs w:val="32"/>
        </w:rPr>
        <w:t xml:space="preserve">  </w:t>
      </w:r>
      <w:r>
        <w:rPr>
          <w:rFonts w:hint="eastAsia" w:ascii="方正仿宋简体" w:hAnsi="宋体"/>
          <w:szCs w:val="32"/>
        </w:rPr>
        <w:t>本市行政区域内烟花爆竹的燃放、经营及其管理等活动，适用本条例。</w:t>
      </w:r>
    </w:p>
    <w:p>
      <w:pPr>
        <w:snapToGrid w:val="0"/>
        <w:spacing w:line="560" w:lineRule="exact"/>
        <w:ind w:firstLine="640" w:firstLineChars="200"/>
        <w:rPr>
          <w:rFonts w:hint="eastAsia" w:ascii="仿宋_GB2312" w:hAnsi="宋体"/>
          <w:szCs w:val="32"/>
        </w:rPr>
      </w:pPr>
      <w:r>
        <w:rPr>
          <w:rFonts w:hint="eastAsia" w:ascii="黑体" w:hAnsi="宋体" w:eastAsia="黑体"/>
          <w:szCs w:val="32"/>
        </w:rPr>
        <w:t>第三条</w:t>
      </w:r>
      <w:r>
        <w:rPr>
          <w:rFonts w:hint="eastAsia" w:ascii="仿宋_GB2312" w:hAnsi="宋体"/>
          <w:szCs w:val="32"/>
        </w:rPr>
        <w:t xml:space="preserve">  </w:t>
      </w:r>
      <w:r>
        <w:rPr>
          <w:rFonts w:hint="eastAsia" w:ascii="方正仿宋简体" w:hAnsi="宋体"/>
          <w:szCs w:val="32"/>
        </w:rPr>
        <w:t>市、县（市、区）人民政府，济宁高新技术产业开发区、太白湖新区、济宁经济技术开发区管理委员会应当加强对烟花爆竹燃放管理工作的组织领导，统筹协调烟花爆竹燃放管理工作中的重大事项。市、县（市、区）人民政府应当将烟花爆竹燃放管理相关经费列入财政预算。</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乡镇人民政府和街道办事处应当将燃放烟花爆竹安全管理纳入社会治理工作，加强组织协调和指导监督。</w:t>
      </w:r>
    </w:p>
    <w:p>
      <w:pPr>
        <w:snapToGrid w:val="0"/>
        <w:spacing w:line="560" w:lineRule="exact"/>
        <w:ind w:firstLine="640" w:firstLineChars="200"/>
        <w:rPr>
          <w:rFonts w:hint="eastAsia" w:ascii="方正仿宋简体" w:hAnsi="宋体"/>
          <w:szCs w:val="32"/>
        </w:rPr>
      </w:pPr>
      <w:r>
        <w:rPr>
          <w:rFonts w:hint="eastAsia" w:ascii="黑体" w:hAnsi="宋体" w:eastAsia="黑体"/>
          <w:szCs w:val="32"/>
        </w:rPr>
        <w:t>第四条</w:t>
      </w:r>
      <w:r>
        <w:rPr>
          <w:rFonts w:hint="eastAsia" w:ascii="仿宋_GB2312" w:hAnsi="宋体"/>
          <w:szCs w:val="32"/>
        </w:rPr>
        <w:t xml:space="preserve">  </w:t>
      </w:r>
      <w:r>
        <w:rPr>
          <w:rFonts w:hint="eastAsia" w:ascii="方正仿宋简体" w:hAnsi="宋体"/>
          <w:szCs w:val="32"/>
        </w:rPr>
        <w:t>公安部门负责燃放烟花爆竹的公共安全监督管理</w:t>
      </w:r>
      <w:bookmarkStart w:id="0" w:name="_GoBack"/>
      <w:bookmarkEnd w:id="0"/>
      <w:r>
        <w:rPr>
          <w:rFonts w:hint="eastAsia" w:ascii="方正仿宋简体" w:hAnsi="宋体"/>
          <w:szCs w:val="32"/>
        </w:rPr>
        <w:t>工作。</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安全生产监督管理部门负责烟花爆竹的经营安全监督管理工作。</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工商行政管理（市场监督管理）、城市管理（综合执法）、环境保护、民政、住房城乡建设、国土资源、教育等部门应当按照各自职责，做好烟花爆竹燃放相关管理工作。</w:t>
      </w:r>
    </w:p>
    <w:p>
      <w:pPr>
        <w:snapToGrid w:val="0"/>
        <w:spacing w:line="560" w:lineRule="exact"/>
        <w:ind w:firstLine="640" w:firstLineChars="200"/>
        <w:rPr>
          <w:rFonts w:hint="eastAsia" w:ascii="方正仿宋简体" w:hAnsi="宋体"/>
          <w:szCs w:val="32"/>
        </w:rPr>
      </w:pPr>
      <w:r>
        <w:rPr>
          <w:rFonts w:hint="eastAsia" w:ascii="黑体" w:hAnsi="宋体" w:eastAsia="黑体"/>
          <w:szCs w:val="32"/>
        </w:rPr>
        <w:t>第五条</w:t>
      </w:r>
      <w:r>
        <w:rPr>
          <w:rFonts w:hint="eastAsia" w:ascii="仿宋_GB2312" w:hAnsi="宋体"/>
          <w:szCs w:val="32"/>
        </w:rPr>
        <w:t xml:space="preserve">  </w:t>
      </w:r>
      <w:r>
        <w:rPr>
          <w:rFonts w:hint="eastAsia" w:ascii="方正仿宋简体" w:hAnsi="宋体"/>
          <w:szCs w:val="32"/>
        </w:rPr>
        <w:t>各级人民政府及有关部门、单位、派出机构应当定期组织开展依法燃放烟花爆竹的宣传，并在重大节日期间加大宣传力度。</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有关部门在办理工商注册登记、婚姻登记、户籍登记、产权登记、殡葬登记等业务时，应当通过发放告知书、设立告知牌等形式，开展依法燃放烟花爆竹的宣传教育。</w:t>
      </w:r>
    </w:p>
    <w:p>
      <w:pPr>
        <w:snapToGrid w:val="0"/>
        <w:spacing w:line="560" w:lineRule="exact"/>
        <w:ind w:firstLine="640" w:firstLineChars="200"/>
        <w:rPr>
          <w:rFonts w:hint="eastAsia" w:ascii="方正仿宋简体" w:hAnsi="宋体"/>
          <w:szCs w:val="32"/>
        </w:rPr>
      </w:pPr>
      <w:r>
        <w:rPr>
          <w:rFonts w:hint="eastAsia" w:ascii="黑体" w:hAnsi="宋体" w:eastAsia="黑体"/>
          <w:szCs w:val="32"/>
        </w:rPr>
        <w:t>第六条</w:t>
      </w:r>
      <w:r>
        <w:rPr>
          <w:rFonts w:hint="eastAsia" w:ascii="仿宋_GB2312" w:hAnsi="宋体"/>
          <w:szCs w:val="32"/>
        </w:rPr>
        <w:t xml:space="preserve">  </w:t>
      </w:r>
      <w:r>
        <w:rPr>
          <w:rFonts w:hint="eastAsia" w:ascii="方正仿宋简体" w:hAnsi="宋体"/>
          <w:szCs w:val="32"/>
        </w:rPr>
        <w:t>广播、电视、报刊、网络等媒体单位和户外广告经营者、发布者应当开展依法燃放烟花爆竹和移风易俗的公益宣传。</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学校应当对学生开展依法燃放烟花爆竹知识的教育。</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居民委员会、村民委员会、物业服务企业应当配合有关部门、单位做好依法燃放烟花爆竹管理和宣传教育工作。</w:t>
      </w:r>
    </w:p>
    <w:p>
      <w:pPr>
        <w:snapToGrid w:val="0"/>
        <w:spacing w:line="560" w:lineRule="exact"/>
        <w:ind w:firstLine="640" w:firstLineChars="200"/>
        <w:rPr>
          <w:rFonts w:hint="eastAsia" w:ascii="方正仿宋简体" w:hAnsi="宋体"/>
          <w:szCs w:val="32"/>
        </w:rPr>
      </w:pPr>
      <w:r>
        <w:rPr>
          <w:rFonts w:hint="eastAsia" w:ascii="黑体" w:hAnsi="宋体" w:eastAsia="黑体"/>
          <w:szCs w:val="32"/>
        </w:rPr>
        <w:t>第七条</w:t>
      </w:r>
      <w:r>
        <w:rPr>
          <w:rFonts w:hint="eastAsia" w:ascii="仿宋_GB2312" w:hAnsi="宋体"/>
          <w:szCs w:val="32"/>
        </w:rPr>
        <w:t xml:space="preserve">  </w:t>
      </w:r>
      <w:r>
        <w:rPr>
          <w:rFonts w:hint="eastAsia" w:ascii="方正仿宋简体" w:hAnsi="宋体"/>
          <w:szCs w:val="32"/>
        </w:rPr>
        <w:t>监护人对被监护人遵守本条例负有教育和管理的责任。</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无民事行为能力人或者限制民事行为能力人燃放烟花爆竹的，应当在其监护人或者其他完全民事行为能力人监护下进行。</w:t>
      </w:r>
    </w:p>
    <w:p>
      <w:pPr>
        <w:snapToGrid w:val="0"/>
        <w:spacing w:line="560" w:lineRule="exact"/>
        <w:ind w:firstLine="640" w:firstLineChars="200"/>
        <w:rPr>
          <w:rFonts w:hint="eastAsia" w:ascii="方正仿宋简体" w:hAnsi="宋体"/>
          <w:szCs w:val="32"/>
        </w:rPr>
      </w:pPr>
      <w:r>
        <w:rPr>
          <w:rFonts w:hint="eastAsia" w:ascii="黑体" w:hAnsi="宋体" w:eastAsia="黑体"/>
          <w:szCs w:val="32"/>
        </w:rPr>
        <w:t>第八条</w:t>
      </w:r>
      <w:r>
        <w:rPr>
          <w:rFonts w:hint="eastAsia" w:ascii="仿宋_GB2312" w:hAnsi="宋体"/>
          <w:szCs w:val="32"/>
        </w:rPr>
        <w:t xml:space="preserve">  </w:t>
      </w:r>
      <w:r>
        <w:rPr>
          <w:rFonts w:hint="eastAsia" w:ascii="方正仿宋简体" w:hAnsi="宋体"/>
          <w:szCs w:val="32"/>
        </w:rPr>
        <w:t>鼓励环境保护等社会组织以及志愿者参与依法燃放烟花爆竹志愿服务活动。</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任何单位和个人有权对违法燃放、经营烟花爆竹的行为进行劝阻和举报。接到举报的相关部门应当及时处理并答复举报人，对举报属实的，给予适当奖励。</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打击报复举报人的，由公安部门依法查处。</w:t>
      </w:r>
    </w:p>
    <w:p>
      <w:pPr>
        <w:snapToGrid w:val="0"/>
        <w:spacing w:line="560" w:lineRule="exact"/>
        <w:ind w:firstLine="640" w:firstLineChars="200"/>
        <w:rPr>
          <w:rFonts w:hint="eastAsia" w:ascii="方正仿宋简体" w:hAnsi="宋体"/>
          <w:szCs w:val="32"/>
        </w:rPr>
      </w:pPr>
      <w:r>
        <w:rPr>
          <w:rFonts w:hint="eastAsia" w:ascii="黑体" w:hAnsi="宋体" w:eastAsia="黑体"/>
          <w:szCs w:val="32"/>
        </w:rPr>
        <w:t>第九条</w:t>
      </w:r>
      <w:r>
        <w:rPr>
          <w:rFonts w:hint="eastAsia" w:ascii="仿宋_GB2312" w:hAnsi="宋体"/>
          <w:szCs w:val="32"/>
        </w:rPr>
        <w:t xml:space="preserve">  </w:t>
      </w:r>
      <w:r>
        <w:rPr>
          <w:rFonts w:hint="eastAsia" w:ascii="方正仿宋简体" w:hAnsi="宋体"/>
          <w:szCs w:val="32"/>
        </w:rPr>
        <w:t>禁止以下列方式燃放烟花爆竹：</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（一）向人群、车辆、建筑物、地下管网、公共绿地抛掷；</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（二）从建筑物内向外抛掷；</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（三）妨碍行人、车辆安全通行；</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（四）其他危害公共安全和人身、财产安全的方式。</w:t>
      </w:r>
    </w:p>
    <w:p>
      <w:pPr>
        <w:snapToGrid w:val="0"/>
        <w:spacing w:line="560" w:lineRule="exact"/>
        <w:ind w:firstLine="640" w:firstLineChars="200"/>
        <w:rPr>
          <w:rFonts w:hint="eastAsia" w:ascii="方正仿宋简体" w:hAnsi="宋体"/>
          <w:szCs w:val="32"/>
        </w:rPr>
      </w:pPr>
      <w:r>
        <w:rPr>
          <w:rFonts w:hint="eastAsia" w:ascii="黑体" w:hAnsi="宋体" w:eastAsia="黑体"/>
          <w:szCs w:val="32"/>
        </w:rPr>
        <w:t>第十条</w:t>
      </w:r>
      <w:r>
        <w:rPr>
          <w:rFonts w:hint="eastAsia" w:ascii="仿宋_GB2312" w:hAnsi="宋体"/>
          <w:szCs w:val="32"/>
        </w:rPr>
        <w:t xml:space="preserve">  </w:t>
      </w:r>
      <w:r>
        <w:rPr>
          <w:rFonts w:hint="eastAsia" w:ascii="方正仿宋简体" w:hAnsi="宋体"/>
          <w:szCs w:val="32"/>
        </w:rPr>
        <w:t>禁止在下列地点燃放烟花爆竹：</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（一）文物保护单位；</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（二）车站、码头、飞机场等交通枢纽以及铁路线路安全保护区内；</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（三）高架路、过街天桥、立交桥、隧道；</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（四）建筑物的走廊、楼梯、屋顶、阳台、窗口；</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（五）仓库、停车场；</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（六）商场、集贸市场、娱乐场所等人员密集场所；</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（七）机关办公区域、医疗机构、教育机构、养老机构、公共文化场所、宗教活动场所；</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（八）易燃易爆物品生产、经营、储存单位；</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（九）输变电、燃气、燃油等设施安全保护区内；</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（十）公园、绿地、景区、山林、苗圃、草原、湿地等重点防火区；</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（十一）市、县（市、区）人民政府规定的禁止燃放烟花爆竹的其他地点。</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经营管理单位或者产权单位应当在前款规定的地点设置明显的禁止燃放警示标志，并做好防护工作。</w:t>
      </w:r>
    </w:p>
    <w:p>
      <w:pPr>
        <w:snapToGrid w:val="0"/>
        <w:spacing w:line="560" w:lineRule="exact"/>
        <w:ind w:firstLine="640" w:firstLineChars="200"/>
        <w:rPr>
          <w:rFonts w:hint="eastAsia" w:ascii="方正仿宋简体" w:hAnsi="宋体"/>
          <w:szCs w:val="32"/>
        </w:rPr>
      </w:pPr>
      <w:r>
        <w:rPr>
          <w:rFonts w:hint="eastAsia" w:ascii="黑体" w:hAnsi="宋体" w:eastAsia="黑体"/>
          <w:szCs w:val="32"/>
        </w:rPr>
        <w:t xml:space="preserve">第十一条 </w:t>
      </w:r>
      <w:r>
        <w:rPr>
          <w:rFonts w:hint="eastAsia" w:ascii="仿宋_GB2312" w:hAnsi="宋体"/>
          <w:szCs w:val="32"/>
        </w:rPr>
        <w:t xml:space="preserve"> </w:t>
      </w:r>
      <w:r>
        <w:rPr>
          <w:rFonts w:hint="eastAsia" w:ascii="方正仿宋简体" w:hAnsi="宋体"/>
          <w:szCs w:val="32"/>
        </w:rPr>
        <w:t>除本条例第十条规定外，以下区域为本市城区限制燃放烟花爆竹区域：</w:t>
      </w:r>
    </w:p>
    <w:p>
      <w:pPr>
        <w:snapToGrid w:val="0"/>
        <w:spacing w:line="560" w:lineRule="exact"/>
        <w:ind w:firstLine="640" w:firstLineChars="200"/>
        <w:rPr>
          <w:szCs w:val="32"/>
        </w:rPr>
      </w:pPr>
      <w:r>
        <w:rPr>
          <w:rFonts w:hint="eastAsia" w:ascii="方正仿宋简体" w:hAnsi="宋体"/>
          <w:szCs w:val="32"/>
        </w:rPr>
        <w:t>（一）主城区淄矿集团铁路专用线以南，东外环路以西，临</w:t>
      </w:r>
      <w:r>
        <w:rPr>
          <w:szCs w:val="32"/>
        </w:rPr>
        <w:t>菏路以北，105国道向南至济宁大道向东至滨河路向南一线以东；</w:t>
      </w:r>
    </w:p>
    <w:p>
      <w:pPr>
        <w:snapToGrid w:val="0"/>
        <w:spacing w:line="560" w:lineRule="exact"/>
        <w:ind w:firstLine="640" w:firstLineChars="200"/>
        <w:rPr>
          <w:rFonts w:hint="eastAsia" w:ascii="方正仿宋简体" w:hAnsi="宋体"/>
          <w:szCs w:val="32"/>
        </w:rPr>
      </w:pPr>
      <w:r>
        <w:rPr>
          <w:szCs w:val="32"/>
        </w:rPr>
        <w:t>（二）兖州区北环城路以南，泗河西岸以西，大安河以东，丰兖西路—大禹南路—</w:t>
      </w:r>
      <w:r>
        <w:rPr>
          <w:rFonts w:hint="eastAsia" w:ascii="方正仿宋简体" w:hAnsi="宋体"/>
          <w:szCs w:val="32"/>
        </w:rPr>
        <w:t>南环城路—日兰高速一线以北。</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在前款规定的区域内，除农历除夕至正月十五外，禁止燃放烟花爆竹。</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市人民政府根据本市实际，可以对第一款规定的区域和第二款规定的时间予以调整，向社会公布，并报市人大常委会备案。</w:t>
      </w:r>
    </w:p>
    <w:p>
      <w:pPr>
        <w:snapToGrid w:val="0"/>
        <w:spacing w:line="560" w:lineRule="exact"/>
        <w:ind w:firstLine="640" w:firstLineChars="200"/>
        <w:rPr>
          <w:rFonts w:hint="eastAsia" w:ascii="方正仿宋简体" w:hAnsi="宋体"/>
          <w:szCs w:val="32"/>
        </w:rPr>
      </w:pPr>
      <w:r>
        <w:rPr>
          <w:rFonts w:hint="eastAsia" w:ascii="黑体" w:hAnsi="宋体" w:eastAsia="黑体"/>
          <w:szCs w:val="32"/>
        </w:rPr>
        <w:t>第十二条</w:t>
      </w:r>
      <w:r>
        <w:rPr>
          <w:rFonts w:hint="eastAsia" w:ascii="仿宋_GB2312" w:hAnsi="宋体"/>
          <w:szCs w:val="32"/>
        </w:rPr>
        <w:t xml:space="preserve"> </w:t>
      </w:r>
      <w:r>
        <w:rPr>
          <w:rFonts w:hint="eastAsia" w:ascii="方正仿宋简体" w:hAnsi="宋体"/>
          <w:szCs w:val="32"/>
        </w:rPr>
        <w:t xml:space="preserve"> 在本条例第十一条第一款规定的区域内，禁止批发烟花爆竹；除农历腊月二十六至正月十五外，禁止零售烟花爆竹。</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违反前款规定的，由安全生产监督管理部门依法予以处罚。构成违反治安管理行为的，依法给予治安管理处罚；构成犯罪的，依法追究刑事责任。</w:t>
      </w:r>
    </w:p>
    <w:p>
      <w:pPr>
        <w:snapToGrid w:val="0"/>
        <w:spacing w:line="560" w:lineRule="exact"/>
        <w:ind w:firstLine="640" w:firstLineChars="200"/>
        <w:rPr>
          <w:rFonts w:hint="eastAsia" w:ascii="方正仿宋简体" w:hAnsi="宋体"/>
          <w:szCs w:val="32"/>
        </w:rPr>
      </w:pPr>
      <w:r>
        <w:rPr>
          <w:rFonts w:hint="eastAsia" w:ascii="黑体" w:hAnsi="宋体" w:eastAsia="黑体"/>
          <w:szCs w:val="32"/>
        </w:rPr>
        <w:t>第十三条</w:t>
      </w:r>
      <w:r>
        <w:rPr>
          <w:rFonts w:hint="eastAsia" w:ascii="仿宋_GB2312" w:hAnsi="宋体"/>
          <w:szCs w:val="32"/>
        </w:rPr>
        <w:t xml:space="preserve">  </w:t>
      </w:r>
      <w:r>
        <w:rPr>
          <w:rFonts w:hint="eastAsia" w:ascii="方正仿宋简体" w:hAnsi="宋体"/>
          <w:szCs w:val="32"/>
        </w:rPr>
        <w:t>县（市）人民政府根据本辖区实际，可以确定限制燃放烟花爆竹的区域、时间，并向社会公布。</w:t>
      </w:r>
    </w:p>
    <w:p>
      <w:pPr>
        <w:snapToGrid w:val="0"/>
        <w:spacing w:line="560" w:lineRule="exact"/>
        <w:ind w:firstLine="640" w:firstLineChars="200"/>
        <w:rPr>
          <w:rFonts w:hint="eastAsia" w:ascii="方正仿宋简体" w:hAnsi="宋体"/>
          <w:szCs w:val="32"/>
        </w:rPr>
      </w:pPr>
      <w:r>
        <w:rPr>
          <w:rFonts w:hint="eastAsia" w:ascii="黑体" w:hAnsi="宋体" w:eastAsia="黑体"/>
          <w:szCs w:val="32"/>
        </w:rPr>
        <w:t>第十四条</w:t>
      </w:r>
      <w:r>
        <w:rPr>
          <w:rFonts w:hint="eastAsia" w:ascii="仿宋_GB2312" w:hAnsi="宋体"/>
          <w:szCs w:val="32"/>
        </w:rPr>
        <w:t xml:space="preserve">  </w:t>
      </w:r>
      <w:r>
        <w:rPr>
          <w:rFonts w:hint="eastAsia" w:ascii="方正仿宋简体" w:hAnsi="宋体"/>
          <w:szCs w:val="32"/>
        </w:rPr>
        <w:t>在限制燃放烟花爆竹区域的允许燃放时间内，允许个人燃放标注“个人燃放类”的烟花爆竹。</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重大节庆活动确需在限制燃放烟花爆竹区域内举办焰火晚会或者其他大型焰火燃放活动的，主办单位应当向公安部门申请，经批准后方可实施。</w:t>
      </w:r>
    </w:p>
    <w:p>
      <w:pPr>
        <w:snapToGrid w:val="0"/>
        <w:spacing w:line="560" w:lineRule="exact"/>
        <w:ind w:firstLine="640" w:firstLineChars="200"/>
        <w:rPr>
          <w:rFonts w:hint="eastAsia" w:ascii="仿宋_GB2312" w:hAnsi="宋体"/>
          <w:szCs w:val="32"/>
        </w:rPr>
      </w:pPr>
      <w:r>
        <w:rPr>
          <w:rFonts w:hint="eastAsia" w:ascii="黑体" w:hAnsi="宋体" w:eastAsia="黑体"/>
          <w:szCs w:val="32"/>
        </w:rPr>
        <w:t>第十五条</w:t>
      </w:r>
      <w:r>
        <w:rPr>
          <w:rFonts w:hint="eastAsia" w:ascii="仿宋_GB2312" w:hAnsi="宋体"/>
          <w:szCs w:val="32"/>
        </w:rPr>
        <w:t xml:space="preserve">  </w:t>
      </w:r>
      <w:r>
        <w:rPr>
          <w:rFonts w:hint="eastAsia" w:ascii="方正仿宋简体" w:hAnsi="宋体"/>
          <w:szCs w:val="32"/>
        </w:rPr>
        <w:t>在限制燃放烟花爆竹区域的禁止燃放时间内，从事庆典、婚庆、殡仪等服务的单位或者个人，不得为违法燃放烟花爆竹提供相关服务。</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违反前款规定的，由公安部门责令改正，处一千元以上五千元以下的罚款。</w:t>
      </w:r>
    </w:p>
    <w:p>
      <w:pPr>
        <w:snapToGrid w:val="0"/>
        <w:spacing w:line="560" w:lineRule="exact"/>
        <w:ind w:firstLine="640" w:firstLineChars="200"/>
        <w:rPr>
          <w:rFonts w:hint="eastAsia" w:ascii="方正仿宋简体" w:hAnsi="宋体"/>
          <w:szCs w:val="32"/>
        </w:rPr>
      </w:pPr>
      <w:r>
        <w:rPr>
          <w:rFonts w:hint="eastAsia" w:ascii="黑体" w:hAnsi="宋体" w:eastAsia="黑体"/>
          <w:szCs w:val="32"/>
        </w:rPr>
        <w:t>第十六条</w:t>
      </w:r>
      <w:r>
        <w:rPr>
          <w:rFonts w:hint="eastAsia" w:ascii="仿宋_GB2312" w:hAnsi="宋体"/>
          <w:szCs w:val="32"/>
        </w:rPr>
        <w:t xml:space="preserve">  </w:t>
      </w:r>
      <w:r>
        <w:rPr>
          <w:rFonts w:hint="eastAsia" w:ascii="方正仿宋简体" w:hAnsi="宋体"/>
          <w:szCs w:val="32"/>
        </w:rPr>
        <w:t>在限制燃放烟花爆竹区域内，物业服务企业应当督促业主遵守本条例的有关规定，并做好燃放安全提醒和相关防范工作；对物业管理区域内违法燃放烟花爆竹的行为应当予以劝阻，经劝阻无效的，及时向公安部门报告。</w:t>
      </w:r>
    </w:p>
    <w:p>
      <w:pPr>
        <w:snapToGrid w:val="0"/>
        <w:spacing w:line="560" w:lineRule="exact"/>
        <w:ind w:firstLine="640" w:firstLineChars="200"/>
        <w:rPr>
          <w:rFonts w:hint="eastAsia" w:ascii="仿宋_GB2312" w:hAnsi="宋体"/>
          <w:szCs w:val="32"/>
        </w:rPr>
      </w:pPr>
      <w:r>
        <w:rPr>
          <w:rFonts w:hint="eastAsia" w:ascii="方正仿宋简体" w:hAnsi="宋体"/>
          <w:szCs w:val="32"/>
        </w:rPr>
        <w:t>在限制燃放烟花爆竹区域内，承办宴席等服务的饭店、酒店、宾馆等经营者，应当告知消费者不得违法燃放烟花爆竹；对在宴席等活动中违法燃放烟花爆竹的行为应当予以劝阻，经劝阻无效的，及时向公安部门报告。</w:t>
      </w:r>
    </w:p>
    <w:p>
      <w:pPr>
        <w:snapToGrid w:val="0"/>
        <w:spacing w:line="560" w:lineRule="exact"/>
        <w:ind w:firstLine="640" w:firstLineChars="200"/>
        <w:rPr>
          <w:rFonts w:hint="eastAsia" w:ascii="仿宋_GB2312" w:hAnsi="宋体"/>
          <w:szCs w:val="32"/>
        </w:rPr>
      </w:pPr>
      <w:r>
        <w:rPr>
          <w:rFonts w:hint="eastAsia" w:ascii="黑体" w:hAnsi="宋体" w:eastAsia="黑体"/>
          <w:szCs w:val="32"/>
        </w:rPr>
        <w:t>第十七条</w:t>
      </w:r>
      <w:r>
        <w:rPr>
          <w:rFonts w:hint="eastAsia" w:ascii="仿宋_GB2312" w:hAnsi="宋体"/>
          <w:szCs w:val="32"/>
        </w:rPr>
        <w:t xml:space="preserve">  </w:t>
      </w:r>
      <w:r>
        <w:rPr>
          <w:rFonts w:hint="eastAsia" w:ascii="方正仿宋简体" w:hAnsi="宋体"/>
          <w:szCs w:val="32"/>
        </w:rPr>
        <w:t>在允许燃放烟花爆竹的时间、区域燃放烟花爆竹后，有关单位和个人应当及时妥善处理燃放残留物。</w:t>
      </w:r>
    </w:p>
    <w:p>
      <w:pPr>
        <w:snapToGrid w:val="0"/>
        <w:spacing w:line="560" w:lineRule="exact"/>
        <w:ind w:firstLine="640" w:firstLineChars="200"/>
        <w:rPr>
          <w:rFonts w:hint="eastAsia" w:ascii="方正仿宋简体" w:hAnsi="宋体"/>
          <w:szCs w:val="32"/>
        </w:rPr>
      </w:pPr>
      <w:r>
        <w:rPr>
          <w:rFonts w:hint="eastAsia" w:ascii="黑体" w:hAnsi="宋体" w:eastAsia="黑体"/>
          <w:szCs w:val="32"/>
        </w:rPr>
        <w:t>第十八条</w:t>
      </w:r>
      <w:r>
        <w:rPr>
          <w:rFonts w:hint="eastAsia" w:ascii="仿宋_GB2312" w:hAnsi="宋体"/>
          <w:szCs w:val="32"/>
        </w:rPr>
        <w:t xml:space="preserve">  </w:t>
      </w:r>
      <w:r>
        <w:rPr>
          <w:rFonts w:hint="eastAsia" w:ascii="方正仿宋简体" w:hAnsi="宋体"/>
          <w:szCs w:val="32"/>
        </w:rPr>
        <w:t>市、县（市、区）人民政府根据公共安全需要，可以对烟花爆竹购买者采取实名制登记等安全管理措施。</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烟花爆竹批发企业应当健全烟花爆竹流向登记档案。</w:t>
      </w:r>
    </w:p>
    <w:p>
      <w:pPr>
        <w:snapToGrid w:val="0"/>
        <w:spacing w:line="560" w:lineRule="exact"/>
        <w:ind w:firstLine="640" w:firstLineChars="200"/>
        <w:rPr>
          <w:rFonts w:hint="eastAsia" w:ascii="方正仿宋简体" w:hAnsi="宋体"/>
          <w:szCs w:val="32"/>
        </w:rPr>
      </w:pPr>
      <w:r>
        <w:rPr>
          <w:rFonts w:hint="eastAsia" w:ascii="方正仿宋简体" w:hAnsi="宋体"/>
          <w:szCs w:val="32"/>
        </w:rPr>
        <w:t>烟花爆竹批发企业和零售经营者应当在经营场所显著位置张贴依法燃放烟花爆竹的相关规定。</w:t>
      </w:r>
    </w:p>
    <w:p>
      <w:pPr>
        <w:snapToGrid w:val="0"/>
        <w:spacing w:line="560" w:lineRule="exact"/>
        <w:ind w:firstLine="640" w:firstLineChars="200"/>
        <w:rPr>
          <w:rFonts w:hint="eastAsia" w:ascii="方正仿宋简体" w:hAnsi="宋体"/>
          <w:szCs w:val="32"/>
        </w:rPr>
      </w:pPr>
      <w:r>
        <w:rPr>
          <w:rFonts w:hint="eastAsia" w:ascii="黑体" w:hAnsi="宋体" w:eastAsia="黑体"/>
          <w:szCs w:val="32"/>
        </w:rPr>
        <w:t>第十九条</w:t>
      </w:r>
      <w:r>
        <w:rPr>
          <w:rFonts w:hint="eastAsia" w:ascii="仿宋_GB2312" w:hAnsi="宋体"/>
          <w:szCs w:val="32"/>
        </w:rPr>
        <w:t xml:space="preserve">  </w:t>
      </w:r>
      <w:r>
        <w:rPr>
          <w:rFonts w:hint="eastAsia" w:ascii="方正仿宋简体" w:hAnsi="宋体"/>
          <w:szCs w:val="32"/>
        </w:rPr>
        <w:t>在禁止燃放烟花爆竹的时间、地点和区域或者以禁止的方式燃放烟花爆竹的，由公安部门责令停止燃放，处二百元以上五百元以下的罚款；构成违反治安管理行为的，依法给予治安管理处罚。</w:t>
      </w:r>
    </w:p>
    <w:p>
      <w:pPr>
        <w:snapToGrid w:val="0"/>
        <w:spacing w:line="560" w:lineRule="exact"/>
        <w:ind w:firstLine="640" w:firstLineChars="200"/>
        <w:rPr>
          <w:rFonts w:hint="eastAsia" w:ascii="仿宋_GB2312" w:hAnsi="宋体"/>
          <w:szCs w:val="32"/>
        </w:rPr>
      </w:pPr>
      <w:r>
        <w:rPr>
          <w:rFonts w:hint="eastAsia" w:ascii="黑体" w:hAnsi="宋体" w:eastAsia="黑体"/>
          <w:szCs w:val="32"/>
        </w:rPr>
        <w:t>第二十条</w:t>
      </w:r>
      <w:r>
        <w:rPr>
          <w:rFonts w:hint="eastAsia" w:ascii="仿宋_GB2312" w:hAnsi="宋体"/>
          <w:szCs w:val="32"/>
        </w:rPr>
        <w:t xml:space="preserve">  </w:t>
      </w:r>
      <w:r>
        <w:rPr>
          <w:rFonts w:hint="eastAsia" w:ascii="方正仿宋简体" w:hAnsi="宋体"/>
          <w:szCs w:val="32"/>
        </w:rPr>
        <w:t>公安、安全生产监督管理等部门的工作人员，在对烟花爆竹燃放、经营等行为的监管工作中，滥用职权、玩忽职守、徇私舞弊的，依法追究相关责任。</w:t>
      </w:r>
    </w:p>
    <w:p>
      <w:pPr>
        <w:snapToGrid w:val="0"/>
        <w:spacing w:line="560" w:lineRule="exact"/>
        <w:ind w:firstLine="640" w:firstLineChars="200"/>
        <w:rPr>
          <w:rFonts w:hint="eastAsia" w:ascii="方正仿宋简体" w:hAnsi="宋体"/>
          <w:szCs w:val="32"/>
        </w:rPr>
      </w:pPr>
      <w:r>
        <w:rPr>
          <w:rFonts w:hint="eastAsia" w:ascii="黑体" w:hAnsi="宋体" w:eastAsia="黑体"/>
          <w:szCs w:val="32"/>
        </w:rPr>
        <w:t>第二十一条</w:t>
      </w:r>
      <w:r>
        <w:rPr>
          <w:rFonts w:hint="eastAsia" w:ascii="仿宋_GB2312" w:hAnsi="宋体"/>
          <w:szCs w:val="32"/>
        </w:rPr>
        <w:t xml:space="preserve">  </w:t>
      </w:r>
      <w:r>
        <w:rPr>
          <w:rFonts w:hint="eastAsia" w:ascii="方正仿宋简体" w:hAnsi="宋体"/>
          <w:szCs w:val="32"/>
        </w:rPr>
        <w:t>公安、安全生产监督管理和其他负有烟花爆竹燃放、经营监督管理职责的部门，应当将违反本条例的违法信息录入公共信用信息平台，并及时向社会公布。</w:t>
      </w:r>
    </w:p>
    <w:p>
      <w:pPr>
        <w:snapToGrid w:val="0"/>
        <w:spacing w:line="560" w:lineRule="exact"/>
        <w:ind w:firstLine="640" w:firstLineChars="200"/>
        <w:rPr>
          <w:rFonts w:hint="eastAsia" w:ascii="方正仿宋简体" w:hAnsi="宋体"/>
          <w:szCs w:val="32"/>
        </w:rPr>
      </w:pPr>
      <w:r>
        <w:rPr>
          <w:rFonts w:hint="eastAsia" w:ascii="黑体" w:hAnsi="宋体" w:eastAsia="黑体"/>
          <w:szCs w:val="32"/>
        </w:rPr>
        <w:t>第二十二条</w:t>
      </w:r>
      <w:r>
        <w:rPr>
          <w:rFonts w:hint="eastAsia" w:ascii="仿宋_GB2312" w:hAnsi="宋体"/>
          <w:szCs w:val="32"/>
        </w:rPr>
        <w:t xml:space="preserve">  </w:t>
      </w:r>
      <w:r>
        <w:rPr>
          <w:rFonts w:hint="eastAsia" w:ascii="方正仿宋简体" w:hAnsi="宋体"/>
          <w:szCs w:val="32"/>
        </w:rPr>
        <w:t>本条例自</w:t>
      </w:r>
      <w:r>
        <w:rPr>
          <w:szCs w:val="32"/>
        </w:rPr>
        <w:t>2018</w:t>
      </w:r>
      <w:r>
        <w:rPr>
          <w:rFonts w:hint="eastAsia" w:ascii="方正仿宋简体" w:hAnsi="宋体"/>
          <w:szCs w:val="32"/>
        </w:rPr>
        <w:t>年</w:t>
      </w:r>
      <w:r>
        <w:rPr>
          <w:rFonts w:hint="eastAsia"/>
          <w:szCs w:val="32"/>
        </w:rPr>
        <w:t>1</w:t>
      </w:r>
      <w:r>
        <w:rPr>
          <w:rFonts w:hint="eastAsia" w:ascii="方正仿宋简体" w:hAnsi="宋体"/>
          <w:szCs w:val="32"/>
        </w:rPr>
        <w:t>月</w:t>
      </w:r>
      <w:r>
        <w:rPr>
          <w:rFonts w:hint="eastAsia"/>
          <w:szCs w:val="32"/>
        </w:rPr>
        <w:t>1</w:t>
      </w:r>
      <w:r>
        <w:rPr>
          <w:rFonts w:hint="eastAsia" w:ascii="方正仿宋简体" w:hAnsi="宋体"/>
          <w:szCs w:val="32"/>
        </w:rPr>
        <w:t>日起施行。</w:t>
      </w:r>
    </w:p>
    <w:p>
      <w:pPr>
        <w:spacing w:line="540" w:lineRule="exact"/>
        <w:rPr>
          <w:rFonts w:ascii="仿宋_GB2312" w:hAnsi="仿宋"/>
          <w:color w:val="000000"/>
          <w:kern w:val="0"/>
          <w:szCs w:val="32"/>
        </w:rPr>
      </w:pPr>
    </w:p>
    <w:p>
      <w:pPr>
        <w:spacing w:line="540" w:lineRule="exact"/>
        <w:rPr>
          <w:rFonts w:ascii="仿宋_GB2312" w:hAnsi="仿宋"/>
          <w:color w:val="000000"/>
          <w:kern w:val="0"/>
          <w:szCs w:val="32"/>
        </w:rPr>
      </w:pPr>
    </w:p>
    <w:p>
      <w:pPr>
        <w:spacing w:line="540" w:lineRule="exact"/>
        <w:rPr>
          <w:rFonts w:ascii="仿宋_GB2312" w:hAnsi="仿宋"/>
          <w:color w:val="000000"/>
          <w:kern w:val="0"/>
          <w:szCs w:val="32"/>
        </w:rPr>
      </w:pPr>
    </w:p>
    <w:p>
      <w:pPr>
        <w:spacing w:line="540" w:lineRule="exact"/>
        <w:rPr>
          <w:rFonts w:ascii="仿宋_GB2312" w:hAnsi="仿宋"/>
          <w:color w:val="000000"/>
          <w:kern w:val="0"/>
          <w:szCs w:val="32"/>
        </w:rPr>
      </w:pPr>
    </w:p>
    <w:p>
      <w:pPr>
        <w:spacing w:line="540" w:lineRule="exact"/>
        <w:rPr>
          <w:rFonts w:ascii="仿宋_GB2312" w:hAnsi="仿宋"/>
          <w:color w:val="000000"/>
          <w:kern w:val="0"/>
          <w:szCs w:val="3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方正小标宋简体">
    <w:altName w:val="微软雅黑"/>
    <w:panose1 w:val="03000509000000000000"/>
    <w:charset w:val="86"/>
    <w:family w:val="script"/>
    <w:pitch w:val="default"/>
    <w:sig w:usb0="00000000" w:usb1="00000000" w:usb2="00000010" w:usb3="00000000" w:csb0="00040000" w:csb1="00000000"/>
  </w:font>
  <w:font w:name="方正仿宋简体">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E81FD1"/>
    <w:rsid w:val="4D476F4C"/>
    <w:rsid w:val="5BEB3E4B"/>
    <w:rsid w:val="6CE81F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2017-12-27T07:56:00Z</dcterms:created>
  <dc:creator>Administrator</dc:creator>
  <cp:lastModifiedBy>Administrator</cp:lastModifiedBy>
  <dcterms:modified xsi:type="dcterms:W3CDTF">2017-12-27T07:58:24Z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