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hAnsi="宋体" w:eastAsia="宋体" w:cs="方正小标宋简体"/>
          <w:sz w:val="44"/>
          <w:szCs w:val="44"/>
        </w:rPr>
      </w:pPr>
    </w:p>
    <w:p>
      <w:pPr>
        <w:spacing w:line="560" w:lineRule="exact"/>
        <w:jc w:val="center"/>
        <w:rPr>
          <w:rFonts w:ascii="宋体" w:hAnsi="宋体" w:eastAsia="宋体" w:cs="方正小标宋简体"/>
          <w:sz w:val="44"/>
          <w:szCs w:val="44"/>
        </w:rPr>
      </w:pPr>
    </w:p>
    <w:p>
      <w:pPr>
        <w:spacing w:line="580" w:lineRule="exact"/>
        <w:jc w:val="center"/>
        <w:rPr>
          <w:rFonts w:ascii="宋体" w:hAnsi="宋体" w:eastAsia="宋体" w:cs="方正小标宋简体"/>
          <w:sz w:val="44"/>
          <w:szCs w:val="44"/>
        </w:rPr>
      </w:pPr>
      <w:r>
        <w:rPr>
          <w:rFonts w:hint="eastAsia" w:ascii="宋体" w:hAnsi="宋体" w:eastAsia="宋体" w:cs="方正小标宋简体"/>
          <w:sz w:val="44"/>
          <w:szCs w:val="44"/>
        </w:rPr>
        <w:t>滨州市工程建设项目并联审批管理规定</w:t>
      </w:r>
    </w:p>
    <w:p>
      <w:pPr>
        <w:spacing w:line="580" w:lineRule="exact"/>
        <w:jc w:val="left"/>
        <w:rPr>
          <w:rFonts w:eastAsia="楷体_GB2312"/>
          <w:sz w:val="28"/>
        </w:rPr>
      </w:pPr>
    </w:p>
    <w:p>
      <w:pPr>
        <w:spacing w:line="580" w:lineRule="exact"/>
        <w:ind w:firstLine="640" w:firstLineChars="200"/>
        <w:jc w:val="left"/>
        <w:rPr>
          <w:rFonts w:ascii="楷体_GB2312" w:eastAsia="楷体_GB2312"/>
        </w:rPr>
      </w:pPr>
      <w:r>
        <w:rPr>
          <w:rFonts w:hint="eastAsia" w:ascii="楷体_GB2312" w:eastAsia="楷体_GB2312"/>
        </w:rPr>
        <w:t>（2020年4月24日滨州市第十一届人民代表大会常务</w:t>
      </w:r>
    </w:p>
    <w:p>
      <w:pPr>
        <w:spacing w:line="580" w:lineRule="exact"/>
        <w:ind w:firstLine="750" w:firstLineChars="250"/>
        <w:jc w:val="left"/>
        <w:rPr>
          <w:rFonts w:ascii="楷体_GB2312" w:eastAsia="楷体_GB2312"/>
          <w:spacing w:val="-10"/>
        </w:rPr>
      </w:pPr>
      <w:r>
        <w:rPr>
          <w:rFonts w:hint="eastAsia" w:ascii="楷体_GB2312" w:eastAsia="楷体_GB2312"/>
          <w:spacing w:val="-10"/>
        </w:rPr>
        <w:t>委员会第二十九次会议通过  2020年6月12日经山东省</w:t>
      </w:r>
    </w:p>
    <w:p>
      <w:pPr>
        <w:spacing w:line="580" w:lineRule="exact"/>
        <w:ind w:firstLine="800" w:firstLineChars="250"/>
        <w:jc w:val="left"/>
        <w:rPr>
          <w:rFonts w:ascii="楷体_GB2312" w:eastAsia="楷体_GB2312"/>
        </w:rPr>
      </w:pPr>
      <w:r>
        <w:rPr>
          <w:rFonts w:hint="eastAsia" w:ascii="楷体_GB2312" w:eastAsia="楷体_GB2312"/>
        </w:rPr>
        <w:t>第十三届人民代表大会常务委员会第二十次会议批准）</w:t>
      </w:r>
    </w:p>
    <w:p>
      <w:pPr>
        <w:pStyle w:val="7"/>
        <w:shd w:val="clear" w:color="auto" w:fill="FFFFFF"/>
        <w:spacing w:before="0" w:beforeAutospacing="0" w:after="0" w:afterAutospacing="0" w:line="580" w:lineRule="exact"/>
        <w:ind w:firstLine="640" w:firstLineChars="200"/>
        <w:jc w:val="both"/>
        <w:rPr>
          <w:rFonts w:ascii="黑体" w:hAnsi="黑体" w:eastAsia="黑体" w:cs="黑体"/>
          <w:sz w:val="32"/>
        </w:rPr>
      </w:pPr>
    </w:p>
    <w:p>
      <w:pPr>
        <w:pStyle w:val="7"/>
        <w:shd w:val="clear" w:color="auto" w:fill="FFFFFF"/>
        <w:spacing w:before="0" w:beforeAutospacing="0" w:after="0" w:afterAutospacing="0" w:line="580" w:lineRule="exact"/>
        <w:ind w:firstLine="640" w:firstLineChars="200"/>
        <w:jc w:val="both"/>
        <w:rPr>
          <w:sz w:val="32"/>
        </w:rPr>
      </w:pPr>
      <w:r>
        <w:rPr>
          <w:rFonts w:hint="eastAsia" w:ascii="黑体" w:hAnsi="黑体" w:eastAsia="黑体" w:cs="黑体"/>
          <w:sz w:val="32"/>
        </w:rPr>
        <w:t xml:space="preserve">第一条 </w:t>
      </w:r>
      <w:r>
        <w:rPr>
          <w:rFonts w:hint="eastAsia"/>
          <w:sz w:val="32"/>
        </w:rPr>
        <w:t xml:space="preserve"> 为了规范工程建设项目并联审批管理，明确并联审批部门职责及审批各环节工作规范，提高审批效率，优化营商环境，根据《优化营商环境条例》等有关法律法规，结合本市实际，制定本规定。</w:t>
      </w:r>
    </w:p>
    <w:p>
      <w:pPr>
        <w:pStyle w:val="7"/>
        <w:shd w:val="clear" w:color="auto" w:fill="FFFFFF"/>
        <w:spacing w:before="0" w:beforeAutospacing="0" w:after="0" w:afterAutospacing="0" w:line="580" w:lineRule="exact"/>
        <w:ind w:firstLine="640" w:firstLineChars="200"/>
        <w:jc w:val="both"/>
        <w:rPr>
          <w:sz w:val="32"/>
        </w:rPr>
      </w:pPr>
      <w:r>
        <w:rPr>
          <w:rFonts w:hint="eastAsia" w:ascii="黑体" w:hAnsi="黑体" w:eastAsia="黑体" w:cs="黑体"/>
          <w:sz w:val="32"/>
        </w:rPr>
        <w:t xml:space="preserve">第二条  </w:t>
      </w:r>
      <w:r>
        <w:rPr>
          <w:rFonts w:hint="eastAsia"/>
          <w:sz w:val="32"/>
        </w:rPr>
        <w:t>本市行政区域内房屋建筑和城市基础设施等工程建设项目并联审批及其相关工作，适用本规定。</w:t>
      </w:r>
    </w:p>
    <w:p>
      <w:pPr>
        <w:pStyle w:val="7"/>
        <w:shd w:val="clear" w:color="auto" w:fill="FFFFFF"/>
        <w:spacing w:before="0" w:beforeAutospacing="0" w:after="0" w:afterAutospacing="0" w:line="580" w:lineRule="exact"/>
        <w:ind w:firstLine="640" w:firstLineChars="200"/>
        <w:jc w:val="both"/>
        <w:rPr>
          <w:rFonts w:eastAsia="黑体"/>
          <w:sz w:val="32"/>
        </w:rPr>
      </w:pPr>
      <w:r>
        <w:rPr>
          <w:rFonts w:hint="eastAsia" w:ascii="黑体" w:hAnsi="黑体" w:eastAsia="黑体" w:cs="黑体"/>
          <w:sz w:val="32"/>
        </w:rPr>
        <w:t xml:space="preserve">第三条  </w:t>
      </w:r>
      <w:r>
        <w:rPr>
          <w:rFonts w:hint="eastAsia"/>
          <w:sz w:val="32"/>
        </w:rPr>
        <w:t>本规定所称工程建设项目并联审批（以下简称并联审批），是指工程建设项目在立项用地规划许可、工程建设许可、施工许可、竣工验收各阶段，依法需要由多个部门办理的具有关联性的审批事项，分别由发展改革、自然资源规划、行政审批服务和住房城乡建设部门牵头负责，组织协调相关部门联合办理或者集中办理，限时办结的审批方式。</w:t>
      </w:r>
    </w:p>
    <w:p>
      <w:pPr>
        <w:pStyle w:val="7"/>
        <w:shd w:val="clear" w:color="auto" w:fill="FFFFFF"/>
        <w:spacing w:before="0" w:beforeAutospacing="0" w:after="0" w:afterAutospacing="0" w:line="580" w:lineRule="exact"/>
        <w:ind w:firstLine="640" w:firstLineChars="200"/>
        <w:jc w:val="both"/>
        <w:rPr>
          <w:rFonts w:ascii="仿宋_GB2312" w:hAnsi="仿宋_GB2312" w:cs="仿宋_GB2312"/>
          <w:sz w:val="32"/>
        </w:rPr>
      </w:pPr>
      <w:r>
        <w:rPr>
          <w:rFonts w:hint="eastAsia" w:ascii="黑体" w:hAnsi="黑体" w:eastAsia="黑体" w:cs="黑体"/>
          <w:sz w:val="32"/>
        </w:rPr>
        <w:t xml:space="preserve">第四条  </w:t>
      </w:r>
      <w:r>
        <w:rPr>
          <w:rFonts w:hint="eastAsia" w:ascii="仿宋_GB2312" w:hAnsi="仿宋_GB2312" w:cs="仿宋_GB2312"/>
          <w:sz w:val="32"/>
        </w:rPr>
        <w:t>行政审批服务部门是本级人民政府并联审批工作的主管部门，应当承担以下职责：</w:t>
      </w:r>
      <w:bookmarkStart w:id="0" w:name="_GoBack"/>
      <w:bookmarkEnd w:id="0"/>
    </w:p>
    <w:p>
      <w:pPr>
        <w:pStyle w:val="2"/>
        <w:numPr>
          <w:ilvl w:val="0"/>
          <w:numId w:val="1"/>
        </w:numPr>
        <w:spacing w:line="580" w:lineRule="exact"/>
        <w:ind w:firstLine="640"/>
        <w:rPr>
          <w:rFonts w:ascii="仿宋_GB2312" w:hAnsi="仿宋_GB2312" w:cs="仿宋_GB2312"/>
          <w:kern w:val="2"/>
          <w:sz w:val="32"/>
        </w:rPr>
      </w:pPr>
      <w:r>
        <w:rPr>
          <w:rFonts w:hint="eastAsia" w:ascii="仿宋_GB2312" w:hAnsi="仿宋_GB2312" w:cs="仿宋_GB2312"/>
          <w:kern w:val="2"/>
          <w:sz w:val="32"/>
        </w:rPr>
        <w:t>具体负责工程建设项目审批管理系统的建设、运行和管理，并根据审批需求创新优化系统功能；</w:t>
      </w:r>
    </w:p>
    <w:p>
      <w:pPr>
        <w:pStyle w:val="2"/>
        <w:numPr>
          <w:ilvl w:val="0"/>
          <w:numId w:val="1"/>
        </w:numPr>
        <w:spacing w:line="580" w:lineRule="exact"/>
        <w:ind w:firstLine="640"/>
        <w:rPr>
          <w:rFonts w:ascii="仿宋_GB2312" w:hAnsi="仿宋_GB2312" w:cs="仿宋_GB2312"/>
          <w:kern w:val="2"/>
          <w:sz w:val="32"/>
        </w:rPr>
      </w:pPr>
      <w:r>
        <w:rPr>
          <w:rFonts w:hint="eastAsia" w:ascii="仿宋_GB2312" w:hAnsi="仿宋_GB2312" w:cs="仿宋_GB2312"/>
          <w:kern w:val="2"/>
          <w:sz w:val="32"/>
        </w:rPr>
        <w:t>负责跨越两个以上审批阶段和同时涉及市、县（市、区）两级审批权限相关事项的协调办理；</w:t>
      </w:r>
    </w:p>
    <w:p>
      <w:pPr>
        <w:pStyle w:val="2"/>
        <w:numPr>
          <w:ilvl w:val="0"/>
          <w:numId w:val="1"/>
        </w:numPr>
        <w:spacing w:line="580" w:lineRule="exact"/>
        <w:ind w:firstLine="640"/>
        <w:rPr>
          <w:rFonts w:ascii="仿宋_GB2312" w:hAnsi="仿宋_GB2312" w:cs="仿宋_GB2312"/>
          <w:kern w:val="2"/>
          <w:sz w:val="32"/>
        </w:rPr>
      </w:pPr>
      <w:r>
        <w:rPr>
          <w:rFonts w:hint="eastAsia" w:ascii="仿宋_GB2312" w:hAnsi="仿宋_GB2312" w:cs="仿宋_GB2312"/>
          <w:kern w:val="2"/>
          <w:sz w:val="32"/>
        </w:rPr>
        <w:t>负责项目办事流程咨询、申报引导及电子签章、电子签名采集等工作；</w:t>
      </w:r>
    </w:p>
    <w:p>
      <w:pPr>
        <w:pStyle w:val="2"/>
        <w:numPr>
          <w:ilvl w:val="0"/>
          <w:numId w:val="1"/>
        </w:numPr>
        <w:spacing w:line="580" w:lineRule="exact"/>
        <w:ind w:firstLine="640"/>
        <w:rPr>
          <w:rFonts w:ascii="仿宋_GB2312" w:hAnsi="仿宋_GB2312" w:cs="仿宋_GB2312"/>
          <w:kern w:val="2"/>
          <w:sz w:val="32"/>
        </w:rPr>
      </w:pPr>
      <w:r>
        <w:rPr>
          <w:rFonts w:hint="eastAsia" w:ascii="仿宋_GB2312" w:hAnsi="仿宋_GB2312" w:cs="仿宋_GB2312"/>
          <w:kern w:val="2"/>
          <w:sz w:val="32"/>
        </w:rPr>
        <w:t>在政务服务区域设置综合服务窗口，公布审批流程、事项清单及办事指南；</w:t>
      </w:r>
    </w:p>
    <w:p>
      <w:pPr>
        <w:pStyle w:val="2"/>
        <w:numPr>
          <w:ilvl w:val="0"/>
          <w:numId w:val="1"/>
        </w:numPr>
        <w:spacing w:line="580" w:lineRule="exact"/>
        <w:ind w:firstLine="640"/>
        <w:rPr>
          <w:rFonts w:ascii="仿宋_GB2312" w:hAnsi="仿宋_GB2312" w:cs="仿宋_GB2312"/>
          <w:kern w:val="2"/>
          <w:sz w:val="32"/>
        </w:rPr>
      </w:pPr>
      <w:r>
        <w:rPr>
          <w:rFonts w:hint="eastAsia" w:ascii="仿宋_GB2312" w:hAnsi="仿宋_GB2312" w:cs="仿宋_GB2312"/>
          <w:kern w:val="2"/>
          <w:sz w:val="32"/>
        </w:rPr>
        <w:t>其他需要主管部门办理的事项。</w:t>
      </w:r>
    </w:p>
    <w:p>
      <w:pPr>
        <w:spacing w:line="580" w:lineRule="exact"/>
        <w:ind w:firstLine="640" w:firstLineChars="200"/>
        <w:rPr>
          <w:rFonts w:ascii="仿宋_GB2312" w:hAnsi="仿宋_GB2312" w:cs="仿宋_GB2312"/>
        </w:rPr>
      </w:pPr>
      <w:r>
        <w:rPr>
          <w:rFonts w:hint="eastAsia" w:ascii="黑体" w:hAnsi="黑体" w:eastAsia="黑体" w:cs="黑体"/>
        </w:rPr>
        <w:t xml:space="preserve">第五条  </w:t>
      </w:r>
      <w:r>
        <w:rPr>
          <w:rFonts w:hint="eastAsia" w:ascii="仿宋_GB2312" w:hAnsi="仿宋_GB2312" w:cs="仿宋_GB2312"/>
        </w:rPr>
        <w:t>发展改革、自然资源规划、行政审批服务和住房城乡建设作为相应阶段的并联审批牵头部门，应当承担以下责任：</w:t>
      </w:r>
    </w:p>
    <w:p>
      <w:pPr>
        <w:pStyle w:val="2"/>
        <w:numPr>
          <w:ilvl w:val="0"/>
          <w:numId w:val="2"/>
        </w:numPr>
        <w:spacing w:line="580" w:lineRule="exact"/>
        <w:ind w:firstLine="640"/>
        <w:rPr>
          <w:rFonts w:ascii="仿宋_GB2312" w:hAnsi="仿宋_GB2312" w:cs="仿宋_GB2312"/>
          <w:sz w:val="32"/>
        </w:rPr>
      </w:pPr>
      <w:r>
        <w:rPr>
          <w:rFonts w:hint="eastAsia" w:ascii="仿宋_GB2312" w:hAnsi="仿宋_GB2312" w:cs="仿宋_GB2312"/>
          <w:sz w:val="32"/>
        </w:rPr>
        <w:t>主持和协调相关部门具体组织实施本阶段并联审批工作；</w:t>
      </w:r>
    </w:p>
    <w:p>
      <w:pPr>
        <w:pStyle w:val="2"/>
        <w:numPr>
          <w:ilvl w:val="0"/>
          <w:numId w:val="2"/>
        </w:numPr>
        <w:spacing w:line="580" w:lineRule="exact"/>
        <w:ind w:firstLine="640"/>
        <w:rPr>
          <w:rFonts w:ascii="仿宋_GB2312" w:hAnsi="仿宋_GB2312" w:cs="仿宋_GB2312"/>
          <w:sz w:val="32"/>
        </w:rPr>
      </w:pPr>
      <w:r>
        <w:rPr>
          <w:rFonts w:hint="eastAsia" w:ascii="仿宋_GB2312" w:hAnsi="仿宋_GB2312" w:cs="仿宋_GB2312"/>
          <w:sz w:val="32"/>
        </w:rPr>
        <w:t>负责本阶段窗口受理、信息录入和转送申报材料及提供咨询服务；</w:t>
      </w:r>
    </w:p>
    <w:p>
      <w:pPr>
        <w:pStyle w:val="2"/>
        <w:numPr>
          <w:ilvl w:val="0"/>
          <w:numId w:val="2"/>
        </w:numPr>
        <w:spacing w:line="580" w:lineRule="exact"/>
        <w:ind w:firstLine="640"/>
        <w:rPr>
          <w:rFonts w:ascii="仿宋_GB2312" w:hAnsi="仿宋_GB2312" w:cs="仿宋_GB2312"/>
          <w:sz w:val="32"/>
        </w:rPr>
      </w:pPr>
      <w:r>
        <w:rPr>
          <w:rFonts w:hint="eastAsia" w:ascii="仿宋_GB2312" w:hAnsi="仿宋_GB2312" w:cs="仿宋_GB2312"/>
          <w:sz w:val="32"/>
        </w:rPr>
        <w:t>明确告知承诺、容缺受理事项清单和承诺办结时限；</w:t>
      </w:r>
    </w:p>
    <w:p>
      <w:pPr>
        <w:pStyle w:val="2"/>
        <w:numPr>
          <w:ilvl w:val="0"/>
          <w:numId w:val="2"/>
        </w:numPr>
        <w:spacing w:line="580" w:lineRule="exact"/>
        <w:ind w:firstLine="640"/>
        <w:rPr>
          <w:rFonts w:ascii="仿宋_GB2312" w:hAnsi="仿宋_GB2312" w:cs="仿宋_GB2312"/>
          <w:sz w:val="32"/>
        </w:rPr>
      </w:pPr>
      <w:r>
        <w:rPr>
          <w:rFonts w:hint="eastAsia" w:ascii="仿宋_GB2312" w:hAnsi="仿宋_GB2312" w:cs="仿宋_GB2312"/>
          <w:sz w:val="32"/>
        </w:rPr>
        <w:t>组织相关部门进行后台审核、并联审查，向申请人一次性告知补充材料；</w:t>
      </w:r>
    </w:p>
    <w:p>
      <w:pPr>
        <w:pStyle w:val="2"/>
        <w:numPr>
          <w:ilvl w:val="0"/>
          <w:numId w:val="2"/>
        </w:numPr>
        <w:spacing w:line="580" w:lineRule="exact"/>
        <w:ind w:firstLine="640"/>
        <w:rPr>
          <w:rFonts w:ascii="仿宋_GB2312" w:hAnsi="仿宋_GB2312" w:cs="仿宋_GB2312"/>
          <w:sz w:val="32"/>
        </w:rPr>
      </w:pPr>
      <w:r>
        <w:rPr>
          <w:rFonts w:hint="eastAsia" w:ascii="仿宋_GB2312" w:hAnsi="仿宋_GB2312" w:cs="仿宋_GB2312"/>
          <w:sz w:val="32"/>
        </w:rPr>
        <w:t>督促相关部门及时作出审批决定，统一颁发、送达许可证件；</w:t>
      </w:r>
    </w:p>
    <w:p>
      <w:pPr>
        <w:pStyle w:val="2"/>
        <w:numPr>
          <w:ilvl w:val="0"/>
          <w:numId w:val="2"/>
        </w:numPr>
        <w:spacing w:line="580" w:lineRule="exact"/>
        <w:ind w:firstLine="640"/>
        <w:rPr>
          <w:sz w:val="32"/>
        </w:rPr>
      </w:pPr>
      <w:r>
        <w:rPr>
          <w:rFonts w:hint="eastAsia" w:ascii="仿宋_GB2312" w:hAnsi="仿宋_GB2312" w:cs="仿宋_GB2312"/>
          <w:sz w:val="32"/>
        </w:rPr>
        <w:t>根据需要组织联合会审、联合勘验、联合验收；</w:t>
      </w:r>
    </w:p>
    <w:p>
      <w:pPr>
        <w:pStyle w:val="2"/>
        <w:numPr>
          <w:ilvl w:val="0"/>
          <w:numId w:val="2"/>
        </w:numPr>
        <w:spacing w:line="580" w:lineRule="exact"/>
        <w:ind w:firstLine="640"/>
        <w:rPr>
          <w:sz w:val="32"/>
        </w:rPr>
      </w:pPr>
      <w:r>
        <w:rPr>
          <w:rFonts w:hint="eastAsia" w:ascii="仿宋_GB2312" w:hAnsi="仿宋_GB2312" w:cs="仿宋_GB2312"/>
          <w:kern w:val="2"/>
          <w:sz w:val="32"/>
        </w:rPr>
        <w:t>其他需要牵头部门办理的事项。</w:t>
      </w:r>
    </w:p>
    <w:p>
      <w:pPr>
        <w:pStyle w:val="7"/>
        <w:shd w:val="clear" w:color="auto" w:fill="FFFFFF"/>
        <w:spacing w:before="0" w:beforeAutospacing="0" w:after="0" w:afterAutospacing="0" w:line="580" w:lineRule="exact"/>
        <w:ind w:firstLine="640" w:firstLineChars="200"/>
        <w:jc w:val="both"/>
        <w:rPr>
          <w:rFonts w:eastAsia="黑体"/>
          <w:sz w:val="32"/>
        </w:rPr>
      </w:pPr>
      <w:r>
        <w:rPr>
          <w:rFonts w:hint="eastAsia" w:ascii="黑体" w:hAnsi="黑体" w:eastAsia="黑体" w:cs="黑体"/>
          <w:sz w:val="32"/>
        </w:rPr>
        <w:t>第六条</w:t>
      </w:r>
      <w:r>
        <w:rPr>
          <w:rFonts w:hint="eastAsia"/>
          <w:sz w:val="32"/>
        </w:rPr>
        <w:t xml:space="preserve"> </w:t>
      </w:r>
      <w:r>
        <w:rPr>
          <w:rFonts w:hint="eastAsia" w:ascii="黑体" w:hAnsi="黑体" w:eastAsia="黑体" w:cs="黑体"/>
          <w:sz w:val="32"/>
        </w:rPr>
        <w:t xml:space="preserve"> </w:t>
      </w:r>
      <w:r>
        <w:rPr>
          <w:rFonts w:ascii="仿宋_GB2312" w:hAnsi="仿宋_GB2312" w:cs="仿宋_GB2312"/>
          <w:sz w:val="32"/>
        </w:rPr>
        <w:t>教育、</w:t>
      </w:r>
      <w:r>
        <w:rPr>
          <w:rFonts w:hint="eastAsia"/>
          <w:sz w:val="32"/>
        </w:rPr>
        <w:t>工业和信息化、公安、</w:t>
      </w:r>
      <w:r>
        <w:rPr>
          <w:rFonts w:ascii="仿宋_GB2312" w:hAnsi="仿宋_GB2312" w:cs="仿宋_GB2312"/>
          <w:sz w:val="32"/>
        </w:rPr>
        <w:t>民政、</w:t>
      </w:r>
      <w:r>
        <w:rPr>
          <w:rFonts w:hint="eastAsia"/>
          <w:sz w:val="32"/>
        </w:rPr>
        <w:t>生态环境、交通运输、</w:t>
      </w:r>
      <w:r>
        <w:rPr>
          <w:rFonts w:hint="eastAsia" w:ascii="仿宋_GB2312" w:hAnsi="仿宋_GB2312" w:cs="仿宋_GB2312"/>
          <w:sz w:val="32"/>
        </w:rPr>
        <w:t>水利、</w:t>
      </w:r>
      <w:r>
        <w:rPr>
          <w:rFonts w:hint="eastAsia"/>
          <w:sz w:val="32"/>
        </w:rPr>
        <w:t>文化和旅游、</w:t>
      </w:r>
      <w:r>
        <w:rPr>
          <w:rFonts w:ascii="仿宋_GB2312" w:hAnsi="仿宋_GB2312" w:cs="仿宋_GB2312"/>
          <w:sz w:val="32"/>
        </w:rPr>
        <w:t>卫生健康</w:t>
      </w:r>
      <w:r>
        <w:rPr>
          <w:rFonts w:hint="eastAsia" w:ascii="仿宋_GB2312" w:hAnsi="仿宋_GB2312" w:cs="仿宋_GB2312"/>
          <w:sz w:val="32"/>
        </w:rPr>
        <w:t>、</w:t>
      </w:r>
      <w:r>
        <w:rPr>
          <w:rFonts w:hint="eastAsia"/>
          <w:sz w:val="32"/>
        </w:rPr>
        <w:t>应急管理、城市管理、气象等并联审批相关部门，应当按照牵头部门确定的并联审批流程提供相关材料，参加相关的联合会审、联合勘验、联合验收，在审批时间节点内完成审批。</w:t>
      </w:r>
    </w:p>
    <w:p>
      <w:pPr>
        <w:pStyle w:val="7"/>
        <w:shd w:val="clear" w:color="auto" w:fill="FFFFFF"/>
        <w:spacing w:before="0" w:beforeAutospacing="0" w:after="0" w:afterAutospacing="0" w:line="580" w:lineRule="exact"/>
        <w:ind w:firstLine="640" w:firstLineChars="200"/>
        <w:jc w:val="both"/>
        <w:rPr>
          <w:sz w:val="32"/>
        </w:rPr>
      </w:pPr>
      <w:r>
        <w:rPr>
          <w:rFonts w:hint="eastAsia" w:ascii="黑体" w:hAnsi="黑体" w:eastAsia="黑体" w:cs="黑体"/>
          <w:sz w:val="32"/>
        </w:rPr>
        <w:t xml:space="preserve">第七条  </w:t>
      </w:r>
      <w:r>
        <w:rPr>
          <w:rFonts w:hint="eastAsia"/>
          <w:sz w:val="32"/>
        </w:rPr>
        <w:t>市人民政府应当建设全市统一的工程建设项目审批管理系统，工程建设项目并联审批全部纳入审批管理系统上线运行。</w:t>
      </w:r>
    </w:p>
    <w:p>
      <w:pPr>
        <w:pStyle w:val="7"/>
        <w:shd w:val="clear" w:color="auto" w:fill="FFFFFF"/>
        <w:spacing w:before="0" w:beforeAutospacing="0" w:after="0" w:afterAutospacing="0" w:line="580" w:lineRule="exact"/>
        <w:ind w:firstLine="640" w:firstLineChars="200"/>
        <w:jc w:val="both"/>
        <w:rPr>
          <w:sz w:val="32"/>
        </w:rPr>
      </w:pPr>
      <w:r>
        <w:rPr>
          <w:rFonts w:hint="eastAsia"/>
          <w:sz w:val="32"/>
        </w:rPr>
        <w:t>审批管理系统应当实现网上申报、一链办理，审批数据实时共享，审批过程无缝衔接，全流程网上监管。</w:t>
      </w:r>
    </w:p>
    <w:p>
      <w:pPr>
        <w:pStyle w:val="2"/>
        <w:spacing w:line="580" w:lineRule="exact"/>
        <w:ind w:firstLine="640"/>
        <w:rPr>
          <w:rFonts w:ascii="Times New Roman" w:hAnsi="Times New Roman" w:cs="Times New Roman"/>
          <w:sz w:val="32"/>
        </w:rPr>
      </w:pPr>
      <w:r>
        <w:rPr>
          <w:rFonts w:hint="eastAsia" w:ascii="黑体" w:hAnsi="黑体" w:eastAsia="黑体" w:cs="黑体"/>
          <w:sz w:val="32"/>
        </w:rPr>
        <w:t xml:space="preserve">第八条 </w:t>
      </w:r>
      <w:r>
        <w:rPr>
          <w:rFonts w:hint="eastAsia" w:ascii="Times New Roman" w:hAnsi="Times New Roman" w:cs="Times New Roman"/>
          <w:sz w:val="32"/>
        </w:rPr>
        <w:t xml:space="preserve"> 市、县（市、区）人民政府应当建立健全帮办代办全流程服务机制，为审批事项办理提供服务。</w:t>
      </w:r>
    </w:p>
    <w:p>
      <w:pPr>
        <w:pStyle w:val="2"/>
        <w:spacing w:line="580" w:lineRule="exact"/>
        <w:ind w:firstLine="640"/>
        <w:rPr>
          <w:rFonts w:ascii="黑体" w:hAnsi="黑体" w:eastAsia="黑体" w:cs="黑体"/>
          <w:sz w:val="32"/>
        </w:rPr>
      </w:pPr>
      <w:r>
        <w:rPr>
          <w:rFonts w:hint="eastAsia" w:ascii="黑体" w:hAnsi="黑体" w:eastAsia="黑体" w:cs="黑体"/>
          <w:sz w:val="32"/>
        </w:rPr>
        <w:t xml:space="preserve">第九条  </w:t>
      </w:r>
      <w:r>
        <w:rPr>
          <w:rFonts w:hint="eastAsia" w:ascii="Times New Roman" w:hAnsi="Times New Roman" w:cs="Times New Roman"/>
          <w:sz w:val="32"/>
        </w:rPr>
        <w:t>并联审批各阶段实行一个窗口受理、一份办事指南、一张申请表单、一套申报材料的运行模式。</w:t>
      </w:r>
    </w:p>
    <w:p>
      <w:pPr>
        <w:spacing w:line="580" w:lineRule="exact"/>
        <w:ind w:firstLine="640" w:firstLineChars="200"/>
        <w:rPr>
          <w:rFonts w:ascii="仿宋_GB2312" w:hAnsi="仿宋_GB2312" w:cs="仿宋_GB2312"/>
        </w:rPr>
      </w:pPr>
      <w:r>
        <w:rPr>
          <w:rFonts w:hint="eastAsia"/>
        </w:rPr>
        <w:t>申请人可以通过线上或者线下方式提出申请。</w:t>
      </w:r>
      <w:r>
        <w:rPr>
          <w:rFonts w:hint="eastAsia" w:ascii="仿宋_GB2312" w:hAnsi="仿宋_GB2312" w:cs="仿宋_GB2312"/>
        </w:rPr>
        <w:t>牵头部门线下受理或者容缺受理后，应当将申请材料及时上传审批管理系统，实行网上审批。</w:t>
      </w:r>
    </w:p>
    <w:p>
      <w:pPr>
        <w:spacing w:line="580" w:lineRule="exact"/>
        <w:ind w:firstLine="640" w:firstLineChars="200"/>
      </w:pPr>
      <w:r>
        <w:rPr>
          <w:rFonts w:hint="eastAsia"/>
        </w:rPr>
        <w:t>牵头部门能够通过公共数据平台提取的材料，不得要求申请人提供。</w:t>
      </w:r>
    </w:p>
    <w:p>
      <w:pPr>
        <w:spacing w:line="580" w:lineRule="exact"/>
        <w:ind w:firstLine="640" w:firstLineChars="200"/>
      </w:pPr>
      <w:r>
        <w:rPr>
          <w:rFonts w:hint="eastAsia" w:ascii="黑体" w:hAnsi="黑体" w:eastAsia="黑体" w:cs="黑体"/>
        </w:rPr>
        <w:t xml:space="preserve">第十条 </w:t>
      </w:r>
      <w:r>
        <w:rPr>
          <w:rFonts w:hint="eastAsia" w:ascii="仿宋_GB2312" w:hAnsi="仿宋_GB2312" w:cs="仿宋_GB2312"/>
        </w:rPr>
        <w:t xml:space="preserve"> </w:t>
      </w:r>
      <w:r>
        <w:rPr>
          <w:rFonts w:hint="eastAsia"/>
        </w:rPr>
        <w:t>申请材料齐全、符合法定形式的，牵头部门应当受理申请，并出具书面凭证。牵头部门受理依法由其他审批部门办理的申请事项，应当接受委托，受理申报材料。</w:t>
      </w:r>
    </w:p>
    <w:p>
      <w:pPr>
        <w:spacing w:line="580" w:lineRule="exact"/>
        <w:ind w:firstLine="640" w:firstLineChars="200"/>
      </w:pPr>
      <w:r>
        <w:rPr>
          <w:rFonts w:hint="eastAsia"/>
        </w:rPr>
        <w:t>经审核需要申请人补正、更正材料的，应当在二个工作日内一次性告知需要补正、更正的内容和期限。申请人逾期未补正、更正或者补正、更正后仍不符合要求的，审批部门应当作出不予审批的决定。</w:t>
      </w:r>
    </w:p>
    <w:p>
      <w:pPr>
        <w:spacing w:line="580" w:lineRule="exact"/>
        <w:ind w:firstLine="640" w:firstLineChars="200"/>
      </w:pPr>
      <w:r>
        <w:rPr>
          <w:rFonts w:hint="eastAsia" w:ascii="黑体" w:hAnsi="黑体" w:eastAsia="黑体" w:cs="黑体"/>
        </w:rPr>
        <w:t xml:space="preserve">第十一条  </w:t>
      </w:r>
      <w:r>
        <w:rPr>
          <w:rFonts w:hint="eastAsia"/>
        </w:rPr>
        <w:t>申请人提供的材料不齐全，但核心要件具备的，牵头部门应当先予受理，并一次性告知需要补齐容缺材料的内容、时限。并联审批部门应当对已提交的申请材料先行审核，待申请材料符合法定审批条件后作出审批决定。申请人逾期未补正的，审批部门应当作出不予审批的决定。</w:t>
      </w:r>
    </w:p>
    <w:p>
      <w:pPr>
        <w:spacing w:line="580" w:lineRule="exact"/>
        <w:ind w:firstLine="640" w:firstLineChars="200"/>
      </w:pPr>
      <w:r>
        <w:rPr>
          <w:rFonts w:hint="eastAsia"/>
        </w:rPr>
        <w:t>可容缺受理申报材料应当在办事指南中作出规定。</w:t>
      </w:r>
    </w:p>
    <w:p>
      <w:pPr>
        <w:spacing w:line="580" w:lineRule="exact"/>
        <w:ind w:firstLine="640" w:firstLineChars="200"/>
      </w:pPr>
      <w:r>
        <w:rPr>
          <w:rFonts w:hint="eastAsia" w:ascii="黑体" w:hAnsi="黑体" w:eastAsia="黑体" w:cs="黑体"/>
        </w:rPr>
        <w:t xml:space="preserve">第十二条  </w:t>
      </w:r>
      <w:r>
        <w:rPr>
          <w:rFonts w:hint="eastAsia"/>
        </w:rPr>
        <w:t>并联审批事项通过事中事后监管能够纠正且不会产生严重后果的，实行告知承诺制。通过告知承诺制提出申请的，申请人应当以书面形式承诺，并承担相应法律后果。</w:t>
      </w:r>
    </w:p>
    <w:p>
      <w:pPr>
        <w:spacing w:line="580" w:lineRule="exact"/>
        <w:ind w:firstLine="640" w:firstLineChars="200"/>
      </w:pPr>
      <w:r>
        <w:rPr>
          <w:rFonts w:hint="eastAsia"/>
        </w:rPr>
        <w:t>负责事中事后监管的相关部门应当在合理期限内，通过随机抽取检查对象、随机选派执法人员、查处结果及时公开的方式对被许可人履行承诺的情况进行监管。发现被许可人实际情况与承诺内容不符的，应当要求其限期整改；逾期拒不整改或者整改后仍不符合条件的，审批部门应当依法撤销审批决定。</w:t>
      </w:r>
    </w:p>
    <w:p>
      <w:pPr>
        <w:pStyle w:val="7"/>
        <w:shd w:val="clear" w:color="auto" w:fill="FFFFFF"/>
        <w:spacing w:before="0" w:beforeAutospacing="0" w:after="0" w:afterAutospacing="0" w:line="580" w:lineRule="exact"/>
        <w:ind w:firstLine="640" w:firstLineChars="200"/>
        <w:jc w:val="both"/>
        <w:rPr>
          <w:sz w:val="32"/>
        </w:rPr>
      </w:pPr>
      <w:r>
        <w:rPr>
          <w:rFonts w:hint="eastAsia"/>
          <w:sz w:val="32"/>
        </w:rPr>
        <w:t>实行告知承诺制的审批事项清单及具体要求应当在办事指南中作出规定。</w:t>
      </w:r>
    </w:p>
    <w:p>
      <w:pPr>
        <w:shd w:val="clear" w:color="auto" w:fill="FFFFFF"/>
        <w:spacing w:line="580" w:lineRule="exact"/>
        <w:ind w:firstLine="640" w:firstLineChars="200"/>
      </w:pPr>
      <w:r>
        <w:rPr>
          <w:rFonts w:hint="eastAsia" w:ascii="黑体" w:hAnsi="黑体" w:eastAsia="黑体" w:cs="黑体"/>
        </w:rPr>
        <w:t xml:space="preserve">第十三条  </w:t>
      </w:r>
      <w:r>
        <w:rPr>
          <w:rFonts w:hint="eastAsia"/>
        </w:rPr>
        <w:t>并联审批牵头部门根据工作实际，需要组织联合会审的，应当提前告知相关部门联合会审内容。相关部门应当按时参加联合会审，并在规定的时限内反馈审核意见或者出具审批结论。</w:t>
      </w:r>
    </w:p>
    <w:p>
      <w:pPr>
        <w:pStyle w:val="7"/>
        <w:spacing w:before="0" w:beforeAutospacing="0" w:after="0" w:afterAutospacing="0" w:line="580" w:lineRule="exact"/>
        <w:ind w:firstLine="640" w:firstLineChars="200"/>
        <w:jc w:val="both"/>
        <w:rPr>
          <w:sz w:val="32"/>
        </w:rPr>
      </w:pPr>
      <w:r>
        <w:rPr>
          <w:rFonts w:hint="eastAsia" w:ascii="黑体" w:hAnsi="黑体" w:eastAsia="黑体" w:cs="黑体"/>
          <w:sz w:val="32"/>
        </w:rPr>
        <w:t xml:space="preserve">第十四条 </w:t>
      </w:r>
      <w:r>
        <w:rPr>
          <w:rFonts w:hint="eastAsia"/>
          <w:sz w:val="32"/>
        </w:rPr>
        <w:t xml:space="preserve"> 两个以上并联审批相关部门需要进行实地勘验的，牵头部门应当组织联合勘验。</w:t>
      </w:r>
    </w:p>
    <w:p>
      <w:pPr>
        <w:pStyle w:val="7"/>
        <w:spacing w:before="0" w:beforeAutospacing="0" w:after="0" w:afterAutospacing="0" w:line="580" w:lineRule="exact"/>
        <w:ind w:firstLine="640" w:firstLineChars="200"/>
        <w:jc w:val="both"/>
        <w:rPr>
          <w:sz w:val="32"/>
        </w:rPr>
      </w:pPr>
      <w:r>
        <w:rPr>
          <w:rFonts w:hint="eastAsia" w:ascii="黑体" w:hAnsi="黑体" w:eastAsia="黑体" w:cs="黑体"/>
          <w:sz w:val="32"/>
        </w:rPr>
        <w:t xml:space="preserve">第十五条 </w:t>
      </w:r>
      <w:r>
        <w:rPr>
          <w:rFonts w:hint="eastAsia"/>
          <w:sz w:val="32"/>
        </w:rPr>
        <w:t xml:space="preserve"> 并联审批事项同时涉及市和县（市、区）审批权限的，两级阶段牵头部门均应当按照申请人意愿受理，并由最初受理的牵头部门通过审批管理系统推送至两级相关部门办理。</w:t>
      </w:r>
    </w:p>
    <w:p>
      <w:pPr>
        <w:pStyle w:val="7"/>
        <w:spacing w:before="0" w:beforeAutospacing="0" w:after="0" w:afterAutospacing="0" w:line="580" w:lineRule="exact"/>
        <w:ind w:firstLine="640" w:firstLineChars="200"/>
        <w:jc w:val="both"/>
        <w:rPr>
          <w:sz w:val="32"/>
        </w:rPr>
      </w:pPr>
      <w:r>
        <w:rPr>
          <w:rFonts w:hint="eastAsia" w:ascii="黑体" w:hAnsi="黑体" w:eastAsia="黑体" w:cs="黑体"/>
          <w:sz w:val="32"/>
        </w:rPr>
        <w:t xml:space="preserve">第十六条  </w:t>
      </w:r>
      <w:r>
        <w:rPr>
          <w:rFonts w:hint="eastAsia"/>
          <w:sz w:val="32"/>
        </w:rPr>
        <w:t>并联审批事项依法存在前后置关系的，前置审批部门应当通过审批管理系统将审批结果同步共享后置审批部门。后置审批部门应当预先完成其他资料审查等相关工作，收到前置审批结果后同步作出审批决定。</w:t>
      </w:r>
    </w:p>
    <w:p>
      <w:pPr>
        <w:pStyle w:val="7"/>
        <w:spacing w:before="0" w:beforeAutospacing="0" w:after="0" w:afterAutospacing="0" w:line="580" w:lineRule="exact"/>
        <w:ind w:firstLine="640" w:firstLineChars="200"/>
        <w:jc w:val="both"/>
        <w:rPr>
          <w:sz w:val="32"/>
        </w:rPr>
      </w:pPr>
      <w:r>
        <w:rPr>
          <w:rFonts w:hint="eastAsia" w:ascii="黑体" w:hAnsi="黑体" w:eastAsia="黑体" w:cs="黑体"/>
          <w:sz w:val="32"/>
        </w:rPr>
        <w:t xml:space="preserve">第十七条  </w:t>
      </w:r>
      <w:r>
        <w:rPr>
          <w:rFonts w:hint="eastAsia"/>
          <w:sz w:val="32"/>
        </w:rPr>
        <w:t xml:space="preserve">并联审批事项及其相关工作需要审批部门内设的多个机构办理的，该审批部门应当实行并联办理，限时办结。   </w:t>
      </w:r>
    </w:p>
    <w:p>
      <w:pPr>
        <w:pStyle w:val="7"/>
        <w:spacing w:before="0" w:beforeAutospacing="0" w:after="0" w:afterAutospacing="0" w:line="580" w:lineRule="exact"/>
        <w:ind w:firstLine="640" w:firstLineChars="200"/>
        <w:jc w:val="both"/>
        <w:rPr>
          <w:sz w:val="32"/>
        </w:rPr>
      </w:pPr>
      <w:r>
        <w:rPr>
          <w:rFonts w:hint="eastAsia" w:ascii="黑体" w:hAnsi="黑体" w:eastAsia="黑体" w:cs="黑体"/>
          <w:sz w:val="32"/>
        </w:rPr>
        <w:t xml:space="preserve">第十八条 </w:t>
      </w:r>
      <w:r>
        <w:rPr>
          <w:rFonts w:hint="eastAsia"/>
          <w:sz w:val="32"/>
        </w:rPr>
        <w:t xml:space="preserve"> 工程建设项目实行规划、土地、消防、人防、城建档案等事项联合验收，统一竣工验收图纸和验收标准，统一出具验收意见。对于验收涉及的测绘工作，实行一次委托、联合测绘、成果共享。</w:t>
      </w:r>
    </w:p>
    <w:p>
      <w:pPr>
        <w:pStyle w:val="7"/>
        <w:spacing w:before="0" w:beforeAutospacing="0" w:after="0" w:afterAutospacing="0" w:line="580" w:lineRule="exact"/>
        <w:ind w:firstLine="640" w:firstLineChars="200"/>
        <w:jc w:val="both"/>
        <w:rPr>
          <w:sz w:val="32"/>
        </w:rPr>
      </w:pPr>
      <w:r>
        <w:rPr>
          <w:rFonts w:hint="eastAsia" w:ascii="黑体" w:hAnsi="黑体" w:eastAsia="黑体" w:cs="黑体"/>
          <w:sz w:val="32"/>
        </w:rPr>
        <w:t>第十九条</w:t>
      </w:r>
      <w:r>
        <w:rPr>
          <w:rFonts w:hint="eastAsia" w:ascii="仿宋" w:hAnsi="仿宋" w:eastAsia="仿宋" w:cs="仿宋"/>
          <w:sz w:val="32"/>
        </w:rPr>
        <w:t xml:space="preserve">  </w:t>
      </w:r>
      <w:r>
        <w:rPr>
          <w:rFonts w:hint="eastAsia"/>
          <w:sz w:val="32"/>
        </w:rPr>
        <w:t>并联审批牵头部门应当在法定办结时限内向申请人承诺办结时限，并提供审批进度查询服务。超出承诺时限不能办结的，应当说明理由。并联审批各阶段的办理时限应当在本规定实施细则中作出明确规定。</w:t>
      </w:r>
    </w:p>
    <w:p>
      <w:pPr>
        <w:pStyle w:val="7"/>
        <w:spacing w:before="0" w:beforeAutospacing="0" w:after="0" w:afterAutospacing="0" w:line="580" w:lineRule="exact"/>
        <w:ind w:firstLine="640" w:firstLineChars="200"/>
        <w:jc w:val="both"/>
        <w:rPr>
          <w:sz w:val="32"/>
        </w:rPr>
      </w:pPr>
      <w:r>
        <w:rPr>
          <w:rFonts w:hint="eastAsia"/>
          <w:sz w:val="32"/>
        </w:rPr>
        <w:t>依法公示、评审、听证、招投标等时间不计算在承诺时限内。</w:t>
      </w:r>
    </w:p>
    <w:p>
      <w:pPr>
        <w:pStyle w:val="7"/>
        <w:spacing w:before="0" w:beforeAutospacing="0" w:after="0" w:afterAutospacing="0" w:line="580" w:lineRule="exact"/>
        <w:ind w:firstLine="640" w:firstLineChars="200"/>
        <w:jc w:val="both"/>
        <w:rPr>
          <w:sz w:val="32"/>
        </w:rPr>
      </w:pPr>
      <w:r>
        <w:rPr>
          <w:rFonts w:hint="eastAsia" w:ascii="黑体" w:hAnsi="黑体" w:eastAsia="黑体" w:cs="黑体"/>
          <w:sz w:val="32"/>
        </w:rPr>
        <w:t xml:space="preserve">第二十条  </w:t>
      </w:r>
      <w:r>
        <w:rPr>
          <w:rFonts w:hint="eastAsia"/>
          <w:sz w:val="32"/>
        </w:rPr>
        <w:t>并联审批相关部门应当在承诺时限内依法作出审批决定，将电子证照和批准文件加盖经认证的电子印章或者电子签名推送至审批管理系统，纸质证照和批准文件送交阶段牵头部门受理窗口统一颁发。</w:t>
      </w:r>
    </w:p>
    <w:p>
      <w:pPr>
        <w:pStyle w:val="7"/>
        <w:shd w:val="clear" w:color="auto" w:fill="FFFFFF"/>
        <w:spacing w:before="0" w:beforeAutospacing="0" w:after="0" w:afterAutospacing="0" w:line="580" w:lineRule="exact"/>
        <w:ind w:firstLine="640" w:firstLineChars="200"/>
        <w:jc w:val="both"/>
        <w:rPr>
          <w:sz w:val="32"/>
        </w:rPr>
      </w:pPr>
      <w:r>
        <w:rPr>
          <w:rFonts w:hint="eastAsia"/>
          <w:sz w:val="32"/>
        </w:rPr>
        <w:t>申请人可以登录网上平台自行下载打印电子证照和批准文件。</w:t>
      </w:r>
    </w:p>
    <w:p>
      <w:pPr>
        <w:spacing w:line="580" w:lineRule="exact"/>
        <w:ind w:firstLine="640" w:firstLineChars="200"/>
        <w:jc w:val="left"/>
      </w:pPr>
      <w:r>
        <w:rPr>
          <w:rFonts w:hint="eastAsia" w:ascii="黑体" w:hAnsi="黑体" w:eastAsia="黑体" w:cs="黑体"/>
        </w:rPr>
        <w:t xml:space="preserve">第二十一条  </w:t>
      </w:r>
      <w:r>
        <w:rPr>
          <w:rFonts w:hint="eastAsia" w:ascii="仿宋_GB2312" w:hAnsi="仿宋_GB2312" w:cs="仿宋_GB2312"/>
        </w:rPr>
        <w:t>作为办理行政审批条件的中介服务事项应当有法律法规或者国务院决定依据；没有依据的，不得作为办理行政审批的条件。审批部门不得为市场主体指定或者变相指定中介服务机构。</w:t>
      </w:r>
    </w:p>
    <w:p>
      <w:pPr>
        <w:pStyle w:val="7"/>
        <w:shd w:val="clear" w:color="auto" w:fill="FFFFFF"/>
        <w:spacing w:before="0" w:beforeAutospacing="0" w:after="0" w:afterAutospacing="0" w:line="580" w:lineRule="exact"/>
        <w:ind w:firstLine="640" w:firstLineChars="200"/>
        <w:jc w:val="both"/>
        <w:rPr>
          <w:sz w:val="32"/>
        </w:rPr>
      </w:pPr>
      <w:r>
        <w:rPr>
          <w:rFonts w:hint="eastAsia" w:ascii="黑体" w:hAnsi="黑体" w:eastAsia="黑体" w:cs="黑体"/>
          <w:sz w:val="32"/>
        </w:rPr>
        <w:t xml:space="preserve">第二十二条  </w:t>
      </w:r>
      <w:r>
        <w:rPr>
          <w:rFonts w:hint="eastAsia"/>
          <w:sz w:val="32"/>
        </w:rPr>
        <w:t>市、县（市、区）人民政府应当根据本规定制定实施细则，建立部门协同和督办制度，并对本规定实施情况进行监督、考核和通报。</w:t>
      </w:r>
    </w:p>
    <w:p>
      <w:pPr>
        <w:pStyle w:val="7"/>
        <w:spacing w:before="0" w:beforeAutospacing="0" w:after="0" w:afterAutospacing="0" w:line="580" w:lineRule="exact"/>
        <w:ind w:firstLine="640" w:firstLineChars="200"/>
        <w:jc w:val="both"/>
        <w:rPr>
          <w:strike/>
          <w:sz w:val="32"/>
        </w:rPr>
      </w:pPr>
      <w:r>
        <w:rPr>
          <w:rFonts w:hint="eastAsia" w:ascii="黑体" w:hAnsi="黑体" w:eastAsia="黑体" w:cs="黑体"/>
          <w:sz w:val="32"/>
        </w:rPr>
        <w:t>第二十三条</w:t>
      </w:r>
      <w:r>
        <w:rPr>
          <w:rFonts w:hint="eastAsia"/>
          <w:sz w:val="32"/>
        </w:rPr>
        <w:t xml:space="preserve">  相关部门及其工作人员不履行本规定有关职责，有下列情形之一的，由有权机关责令改正；情节严重的，对其直接负责的主管人员和其他直接责任人员依法给予处分。</w:t>
      </w:r>
    </w:p>
    <w:p>
      <w:pPr>
        <w:pStyle w:val="7"/>
        <w:spacing w:before="0" w:beforeAutospacing="0" w:after="0" w:afterAutospacing="0" w:line="580" w:lineRule="exact"/>
        <w:ind w:firstLine="640" w:firstLineChars="200"/>
        <w:jc w:val="both"/>
        <w:rPr>
          <w:sz w:val="32"/>
        </w:rPr>
      </w:pPr>
      <w:r>
        <w:rPr>
          <w:rFonts w:hint="eastAsia"/>
          <w:sz w:val="32"/>
        </w:rPr>
        <w:t>（一）未履行并联审批牵头部门职责的；</w:t>
      </w:r>
    </w:p>
    <w:p>
      <w:pPr>
        <w:pStyle w:val="7"/>
        <w:spacing w:before="0" w:beforeAutospacing="0" w:after="0" w:afterAutospacing="0" w:line="580" w:lineRule="exact"/>
        <w:ind w:firstLine="640" w:firstLineChars="200"/>
        <w:jc w:val="both"/>
        <w:rPr>
          <w:sz w:val="32"/>
        </w:rPr>
      </w:pPr>
      <w:r>
        <w:rPr>
          <w:rFonts w:hint="eastAsia"/>
          <w:sz w:val="32"/>
        </w:rPr>
        <w:t>（二）不积极配合并联审批牵头部门工作的；</w:t>
      </w:r>
    </w:p>
    <w:p>
      <w:pPr>
        <w:pStyle w:val="7"/>
        <w:spacing w:before="0" w:beforeAutospacing="0" w:after="0" w:afterAutospacing="0" w:line="580" w:lineRule="exact"/>
        <w:ind w:firstLine="640" w:firstLineChars="200"/>
        <w:jc w:val="both"/>
        <w:rPr>
          <w:sz w:val="32"/>
        </w:rPr>
      </w:pPr>
      <w:r>
        <w:rPr>
          <w:rFonts w:hint="eastAsia"/>
          <w:sz w:val="32"/>
        </w:rPr>
        <w:t>（三）未按规定流程、清单、指南办理审批业务或者擅自线下办理审批业务的；</w:t>
      </w:r>
    </w:p>
    <w:p>
      <w:pPr>
        <w:pStyle w:val="7"/>
        <w:spacing w:before="0" w:beforeAutospacing="0" w:after="0" w:afterAutospacing="0" w:line="580" w:lineRule="exact"/>
        <w:ind w:firstLine="640" w:firstLineChars="200"/>
        <w:jc w:val="both"/>
        <w:rPr>
          <w:sz w:val="32"/>
        </w:rPr>
      </w:pPr>
      <w:r>
        <w:rPr>
          <w:rFonts w:hint="eastAsia"/>
          <w:sz w:val="32"/>
        </w:rPr>
        <w:t>（四）无正当理由，未按规定时限完成审批的；</w:t>
      </w:r>
    </w:p>
    <w:p>
      <w:pPr>
        <w:pStyle w:val="7"/>
        <w:spacing w:before="0" w:beforeAutospacing="0" w:after="0" w:afterAutospacing="0" w:line="580" w:lineRule="exact"/>
        <w:ind w:firstLine="640" w:firstLineChars="200"/>
        <w:jc w:val="both"/>
        <w:rPr>
          <w:sz w:val="32"/>
        </w:rPr>
      </w:pPr>
      <w:r>
        <w:rPr>
          <w:rFonts w:hint="eastAsia"/>
          <w:sz w:val="32"/>
        </w:rPr>
        <w:t>（五）违法强制或者变相强制市场主体接受中介服务的；</w:t>
      </w:r>
    </w:p>
    <w:p>
      <w:pPr>
        <w:pStyle w:val="7"/>
        <w:spacing w:before="0" w:beforeAutospacing="0" w:after="0" w:afterAutospacing="0" w:line="580" w:lineRule="exact"/>
        <w:ind w:firstLine="640" w:firstLineChars="200"/>
        <w:jc w:val="both"/>
        <w:rPr>
          <w:sz w:val="32"/>
        </w:rPr>
      </w:pPr>
      <w:r>
        <w:rPr>
          <w:rFonts w:hint="eastAsia"/>
          <w:sz w:val="32"/>
        </w:rPr>
        <w:t>（六）为市场主体指定或者变相指定中介服务机构的；</w:t>
      </w:r>
    </w:p>
    <w:p>
      <w:pPr>
        <w:pStyle w:val="7"/>
        <w:spacing w:before="0" w:beforeAutospacing="0" w:after="0" w:afterAutospacing="0" w:line="580" w:lineRule="exact"/>
        <w:ind w:firstLine="640" w:firstLineChars="200"/>
        <w:jc w:val="both"/>
        <w:rPr>
          <w:sz w:val="32"/>
        </w:rPr>
      </w:pPr>
      <w:r>
        <w:rPr>
          <w:rFonts w:hint="eastAsia"/>
          <w:sz w:val="32"/>
        </w:rPr>
        <w:t>（七）其他违反本规定情形的。</w:t>
      </w:r>
    </w:p>
    <w:p>
      <w:pPr>
        <w:pStyle w:val="7"/>
        <w:spacing w:before="0" w:beforeAutospacing="0" w:after="0" w:afterAutospacing="0" w:line="580" w:lineRule="exact"/>
        <w:ind w:firstLine="640" w:firstLineChars="200"/>
        <w:jc w:val="both"/>
        <w:rPr>
          <w:sz w:val="32"/>
        </w:rPr>
      </w:pPr>
      <w:r>
        <w:rPr>
          <w:rFonts w:hint="eastAsia" w:ascii="黑体" w:hAnsi="黑体" w:eastAsia="黑体" w:cs="黑体"/>
          <w:sz w:val="32"/>
        </w:rPr>
        <w:t xml:space="preserve">第二十四条  </w:t>
      </w:r>
      <w:r>
        <w:rPr>
          <w:rFonts w:hint="eastAsia"/>
          <w:sz w:val="32"/>
        </w:rPr>
        <w:t>在并联审批工作中因改革创新、先行先试、政策不明等出现失误和偏差、造成一定损失或者影响的，可以按照有关规定从轻、减轻或者免予追责。</w:t>
      </w:r>
    </w:p>
    <w:p>
      <w:pPr>
        <w:pStyle w:val="7"/>
        <w:spacing w:before="0" w:beforeAutospacing="0" w:after="0" w:afterAutospacing="0" w:line="580" w:lineRule="exact"/>
        <w:ind w:firstLine="640" w:firstLineChars="200"/>
        <w:jc w:val="both"/>
      </w:pPr>
      <w:r>
        <w:rPr>
          <w:rFonts w:hint="eastAsia" w:ascii="黑体" w:hAnsi="黑体" w:eastAsia="黑体" w:cs="黑体"/>
          <w:sz w:val="32"/>
        </w:rPr>
        <w:t xml:space="preserve">第二十五条  </w:t>
      </w:r>
      <w:r>
        <w:rPr>
          <w:rFonts w:hint="eastAsia"/>
          <w:sz w:val="32"/>
        </w:rPr>
        <w:t>本规定自</w:t>
      </w:r>
      <w:r>
        <w:rPr>
          <w:rFonts w:hint="eastAsia" w:ascii="仿宋_GB2312" w:hAnsi="黑体"/>
          <w:sz w:val="32"/>
        </w:rPr>
        <w:t>2020年7月1日</w:t>
      </w:r>
      <w:r>
        <w:rPr>
          <w:rFonts w:hint="eastAsia"/>
          <w:sz w:val="32"/>
        </w:rPr>
        <w:t>起施行。</w:t>
      </w:r>
    </w:p>
    <w:p>
      <w:pPr>
        <w:widowControl/>
        <w:spacing w:line="560" w:lineRule="exact"/>
        <w:jc w:val="center"/>
      </w:pPr>
    </w:p>
    <w:p>
      <w:pPr>
        <w:widowControl/>
        <w:jc w:val="left"/>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lvl w:ilvl="0" w:tentative="0">
      <w:start w:val="1"/>
      <w:numFmt w:val="chineseCounting"/>
      <w:suff w:val="nothing"/>
      <w:lvlText w:val="（%1）"/>
      <w:lvlJc w:val="left"/>
      <w:rPr>
        <w:rFonts w:hint="eastAsia"/>
      </w:rPr>
    </w:lvl>
  </w:abstractNum>
  <w:abstractNum w:abstractNumId="1">
    <w:nsid w:val="00000004"/>
    <w:multiLevelType w:val="singleLevel"/>
    <w:tmpl w:val="00000004"/>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D84417"/>
    <w:rsid w:val="4D476F4C"/>
    <w:rsid w:val="4D6342B1"/>
    <w:rsid w:val="5BEB3E4B"/>
    <w:rsid w:val="78D844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customStyle="1" w:styleId="2">
    <w:name w:val="首行缩进"/>
    <w:basedOn w:val="1"/>
    <w:qFormat/>
    <w:uiPriority w:val="0"/>
    <w:pPr>
      <w:spacing w:line="360" w:lineRule="auto"/>
      <w:ind w:firstLine="480" w:firstLineChars="200"/>
    </w:pPr>
    <w:rPr>
      <w:rFonts w:ascii="宋体" w:hAnsi="宋体" w:cs="宋体"/>
      <w:sz w:val="24"/>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普通(网站)1"/>
    <w:basedOn w:val="1"/>
    <w:qFormat/>
    <w:uiPriority w:val="0"/>
    <w:pPr>
      <w:spacing w:before="100" w:beforeAutospacing="1" w:after="100" w:afterAutospacing="1"/>
      <w:jc w:val="left"/>
    </w:pPr>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2020-07-06T02:23:00Z</dcterms:created>
  <dc:creator>苏健 }</dc:creator>
  <cp:lastModifiedBy>苏健 }</cp:lastModifiedBy>
  <dcterms:modified xsi:type="dcterms:W3CDTF">2020-07-06T02:29:24Z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