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</w:rPr>
      </w:pPr>
    </w:p>
    <w:p>
      <w:pPr>
        <w:tabs>
          <w:tab w:val="left" w:pos="4200"/>
        </w:tabs>
        <w:adjustRightInd w:val="0"/>
        <w:snapToGrid w:val="0"/>
        <w:spacing w:line="560" w:lineRule="exact"/>
        <w:jc w:val="center"/>
        <w:rPr>
          <w:rFonts w:ascii="宋体" w:hAnsi="宋体" w:eastAsia="宋体" w:cs="方正小标宋简体"/>
          <w:bCs/>
          <w:sz w:val="44"/>
          <w:szCs w:val="44"/>
        </w:rPr>
      </w:pPr>
      <w:r>
        <w:rPr>
          <w:rFonts w:hint="eastAsia" w:ascii="宋体" w:hAnsi="宋体" w:eastAsia="宋体" w:cs="方正小标宋简体"/>
          <w:bCs/>
          <w:sz w:val="44"/>
          <w:szCs w:val="44"/>
        </w:rPr>
        <w:t>聊城市献血办法</w:t>
      </w:r>
    </w:p>
    <w:p>
      <w:pPr>
        <w:tabs>
          <w:tab w:val="left" w:pos="8400"/>
        </w:tabs>
        <w:spacing w:line="560" w:lineRule="exact"/>
        <w:rPr>
          <w:rFonts w:ascii="楷体_GB2312" w:hAnsi="楷体_GB2312" w:eastAsia="楷体_GB2312" w:cs="楷体_GB2312"/>
        </w:rPr>
      </w:pPr>
    </w:p>
    <w:p>
      <w:pPr>
        <w:tabs>
          <w:tab w:val="left" w:pos="8400"/>
        </w:tabs>
        <w:spacing w:line="560" w:lineRule="exact"/>
        <w:ind w:left="707" w:leftChars="221" w:right="621" w:rightChars="194"/>
        <w:rPr>
          <w:rFonts w:ascii="楷体_GB2312" w:hAnsi="黑体" w:eastAsia="楷体_GB2312" w:cs="方正楷体_GBK"/>
        </w:rPr>
      </w:pPr>
      <w:r>
        <w:rPr>
          <w:rFonts w:hint="eastAsia" w:ascii="楷体_GB2312" w:hAnsi="黑体" w:eastAsia="楷体_GB2312" w:cs="方正楷体_GBK"/>
        </w:rPr>
        <w:t>（2022年6月21日聊城市第十八届人民代表大会常务委员会第四次会议通过</w:t>
      </w:r>
      <w:r>
        <w:rPr>
          <w:rFonts w:eastAsia="楷体_GB2312" w:cs="方正楷体_GBK" w:asciiTheme="minorHAnsi" w:hAnsiTheme="minorHAnsi"/>
        </w:rPr>
        <w:t>    </w:t>
      </w:r>
      <w:r>
        <w:rPr>
          <w:rFonts w:hint="eastAsia" w:ascii="楷体_GB2312" w:hAnsi="黑体" w:eastAsia="楷体_GB2312" w:cs="方正楷体_GBK"/>
        </w:rPr>
        <w:t>2022年7月28日山东省第十三届人民代表大会常务委员会第三十六次会议批准）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黑体"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黑体" w:hAnsi="黑体" w:eastAsia="黑体" w:cs="黑体"/>
        </w:rPr>
        <w:t>第一条</w:t>
      </w:r>
      <w:r>
        <w:rPr>
          <w:rFonts w:hint="eastAsia" w:ascii="仿宋_GB2312"/>
        </w:rPr>
        <w:t xml:space="preserve"> 为了保证医疗临床用血需要和安全，保障献血者和用血者身体健康，发扬人道主义精神，弘扬社会主义核心价值观，推动献血事业健康发展，根据《中华人民共和国献血法》《山东省实施〈中华人民共和国献血法〉办法》等法律、法规，结合本市实际，制定本办法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黑体" w:hAnsi="黑体" w:eastAsia="黑体" w:cs="黑体"/>
        </w:rPr>
        <w:t>第二条</w:t>
      </w:r>
      <w:r>
        <w:rPr>
          <w:rFonts w:hint="eastAsia" w:ascii="仿宋_GB2312"/>
        </w:rPr>
        <w:t xml:space="preserve"> 本市依法实行无偿献血制度。提倡十八周岁至五十五周岁的健康公民自愿献血；既往无献血反应、符合健康检查要求的多次献血者主动要求再次献血的，献血年龄可以延长至六十周岁。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 w:hAnsi="Calibri"/>
          <w:bCs/>
          <w:kern w:val="2"/>
        </w:rPr>
        <w:t>鼓励</w:t>
      </w:r>
      <w:r>
        <w:rPr>
          <w:rFonts w:hint="eastAsia" w:ascii="仿宋_GB2312"/>
          <w:bCs/>
          <w:kern w:val="2"/>
        </w:rPr>
        <w:t>国家工作人员、现役军人、医务人员、高等学校在校学生积极献血，发挥示范引领作用。</w:t>
      </w:r>
    </w:p>
    <w:p>
      <w:pPr>
        <w:adjustRightInd w:val="0"/>
        <w:snapToGrid w:val="0"/>
        <w:spacing w:line="560" w:lineRule="exact"/>
        <w:ind w:firstLine="640" w:firstLineChars="200"/>
      </w:pPr>
      <w:r>
        <w:rPr>
          <w:rFonts w:hint="eastAsia" w:ascii="仿宋_GB2312"/>
        </w:rPr>
        <w:t>鼓励适龄、健康的公民多次、定期献血以及捐献造血干细胞。</w:t>
      </w:r>
      <w:bookmarkStart w:id="0" w:name="_GoBack"/>
      <w:bookmarkEnd w:id="0"/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黑体" w:hAnsi="黑体" w:eastAsia="黑体" w:cs="黑体"/>
        </w:rPr>
        <w:t>第三条</w:t>
      </w:r>
      <w:r>
        <w:rPr>
          <w:rFonts w:hint="eastAsia" w:ascii="仿宋_GB2312"/>
        </w:rPr>
        <w:t xml:space="preserve"> 市、县(市、区)人民政府应当建立献血工作协调机制和应急用血保障机制，统一规划并负责组织、协调有关部门共同做好献血工作，将献血工作经费纳入本级财政预算。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/>
        </w:rPr>
        <w:t>市、县(市、区)卫生健康行政部门负责本行政区域内献血工作的监督管理。红十字会依法参与、推动献血工作。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Calibri"/>
          <w:kern w:val="2"/>
        </w:rPr>
      </w:pPr>
      <w:r>
        <w:rPr>
          <w:rFonts w:hint="eastAsia" w:ascii="仿宋_GB2312" w:hAnsi="Calibri"/>
          <w:kern w:val="2"/>
        </w:rPr>
        <w:t>献血工作情况应当纳入本市对文明村镇、文明社区、文明单位的考核指标体系。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  <w:bCs/>
          <w:color w:val="000000"/>
        </w:rPr>
      </w:pPr>
      <w:r>
        <w:rPr>
          <w:rFonts w:hint="eastAsia" w:ascii="黑体" w:hAnsi="黑体" w:eastAsia="黑体" w:cs="黑体"/>
        </w:rPr>
        <w:t>第四条</w:t>
      </w:r>
      <w:r>
        <w:rPr>
          <w:rFonts w:hint="eastAsia" w:ascii="仿宋_GB2312"/>
          <w:bCs/>
          <w:color w:val="000000"/>
        </w:rPr>
        <w:t xml:space="preserve"> 血站承担献血日常工作，应当遵守下列规定：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  <w:kern w:val="2"/>
          <w:u w:val="single"/>
        </w:rPr>
      </w:pPr>
      <w:r>
        <w:rPr>
          <w:rFonts w:hint="eastAsia" w:ascii="仿宋_GB2312"/>
          <w:bCs/>
          <w:color w:val="000000"/>
        </w:rPr>
        <w:t>（一）加强献血保障能力建设，</w:t>
      </w:r>
      <w:r>
        <w:rPr>
          <w:rFonts w:hint="eastAsia" w:ascii="仿宋_GB2312" w:hAnsi="Calibri"/>
          <w:kern w:val="2"/>
        </w:rPr>
        <w:t>为献血者提供安全、卫生、便利的</w:t>
      </w:r>
      <w:r>
        <w:rPr>
          <w:rFonts w:hint="eastAsia" w:ascii="仿宋_GB2312"/>
          <w:kern w:val="2"/>
        </w:rPr>
        <w:t>献血</w:t>
      </w:r>
      <w:r>
        <w:rPr>
          <w:rFonts w:hint="eastAsia" w:ascii="仿宋_GB2312" w:hAnsi="Calibri"/>
          <w:kern w:val="2"/>
        </w:rPr>
        <w:t>条件</w:t>
      </w:r>
      <w:r>
        <w:rPr>
          <w:rFonts w:hint="eastAsia" w:ascii="仿宋_GB2312"/>
          <w:kern w:val="2"/>
        </w:rPr>
        <w:t>；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  <w:bCs/>
          <w:color w:val="000000"/>
        </w:rPr>
      </w:pPr>
      <w:r>
        <w:rPr>
          <w:rFonts w:hint="eastAsia" w:ascii="仿宋_GB2312"/>
          <w:bCs/>
          <w:color w:val="000000"/>
        </w:rPr>
        <w:t>（二）在采血场所显著位置完整公示国家标准对单次献血量的规定，供献血者选择；</w:t>
      </w:r>
    </w:p>
    <w:p>
      <w:pPr>
        <w:adjustRightInd w:val="0"/>
        <w:snapToGrid w:val="0"/>
        <w:spacing w:line="560" w:lineRule="exact"/>
        <w:ind w:firstLine="640" w:firstLineChars="200"/>
      </w:pPr>
      <w:r>
        <w:rPr>
          <w:rFonts w:hint="eastAsia" w:ascii="仿宋_GB2312" w:hAnsi="仿宋_GB2312" w:cs="仿宋_GB2312"/>
          <w:bCs/>
        </w:rPr>
        <w:t>（三）</w:t>
      </w:r>
      <w:r>
        <w:rPr>
          <w:rFonts w:hint="eastAsia" w:ascii="仿宋_GB2312" w:hAnsi="Calibri"/>
          <w:bCs/>
          <w:color w:val="000000"/>
          <w:kern w:val="2"/>
        </w:rPr>
        <w:t>单位、社区等组织的献血人数较多时，提供预约采血、上门采血等服务</w:t>
      </w:r>
      <w:r>
        <w:rPr>
          <w:rFonts w:hint="eastAsia" w:ascii="仿宋_GB2312"/>
          <w:bCs/>
          <w:color w:val="000000"/>
          <w:kern w:val="2"/>
        </w:rPr>
        <w:t>；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（四）</w:t>
      </w:r>
      <w:r>
        <w:rPr>
          <w:rFonts w:ascii="仿宋_GB2312" w:hAnsi="仿宋_GB2312" w:cs="仿宋_GB2312"/>
        </w:rPr>
        <w:t>定期向社会公开采血量、用血量和免交临床用血费用数额等信息，供公众查询</w:t>
      </w:r>
      <w:r>
        <w:rPr>
          <w:rFonts w:hint="eastAsia" w:ascii="仿宋_GB2312" w:hAnsi="仿宋_GB2312" w:cs="仿宋_GB2312"/>
        </w:rPr>
        <w:t>；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cs="仿宋_GB2312"/>
        </w:rPr>
      </w:pPr>
      <w:r>
        <w:rPr>
          <w:rFonts w:hint="eastAsia" w:ascii="仿宋_GB2312" w:hAnsi="仿宋_GB2312" w:cs="仿宋_GB2312"/>
        </w:rPr>
        <w:t>（五）为献血者发放由国务院卫生健康行政部门制作的《无偿献血证》；</w:t>
      </w:r>
    </w:p>
    <w:p>
      <w:pPr>
        <w:adjustRightInd w:val="0"/>
        <w:snapToGrid w:val="0"/>
        <w:spacing w:line="560" w:lineRule="exact"/>
        <w:ind w:firstLine="640" w:firstLineChars="200"/>
      </w:pPr>
      <w:r>
        <w:rPr>
          <w:rFonts w:hint="eastAsia" w:ascii="仿宋_GB2312" w:hAnsi="仿宋_GB2312" w:cs="仿宋_GB2312"/>
        </w:rPr>
        <w:t>（六）</w:t>
      </w:r>
      <w:r>
        <w:rPr>
          <w:rFonts w:ascii="仿宋_GB2312" w:hAnsi="仿宋_GB2312" w:cs="仿宋_GB2312"/>
        </w:rPr>
        <w:t>对献血者的个人资料、献血信息、血液检测结果</w:t>
      </w:r>
      <w:r>
        <w:rPr>
          <w:rFonts w:hint="eastAsia" w:ascii="仿宋_GB2312" w:hAnsi="仿宋_GB2312" w:cs="仿宋_GB2312"/>
        </w:rPr>
        <w:t>以</w:t>
      </w:r>
      <w:r>
        <w:rPr>
          <w:rFonts w:ascii="仿宋_GB2312" w:hAnsi="仿宋_GB2312" w:cs="仿宋_GB2312"/>
        </w:rPr>
        <w:t>及相应的血液使用信息等保密，防止未授权接触和对外泄露。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黑体" w:hAnsi="黑体" w:eastAsia="黑体" w:cs="黑体"/>
        </w:rPr>
        <w:t>第五条</w:t>
      </w:r>
      <w:r>
        <w:rPr>
          <w:rFonts w:hint="eastAsia" w:ascii="仿宋_GB2312"/>
        </w:rPr>
        <w:t xml:space="preserve"> 鼓励国家机关、企事业单位、社会团体、基层群众性自治组织建立献血志愿服务组织，纳入志愿服务体系。鼓励公民加入献血志愿服务组织，参加献血志愿服务活动。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  <w:b/>
          <w:bCs/>
        </w:rPr>
      </w:pPr>
      <w:r>
        <w:rPr>
          <w:rFonts w:hint="eastAsia" w:ascii="仿宋_GB2312"/>
        </w:rPr>
        <w:t>志愿者参加献血志愿服务活动的，血站可以给予适当的交通、误餐等补贴，其他权益按照国家和省有关规定予以保障。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黑体" w:hAnsi="黑体" w:eastAsia="黑体" w:cs="黑体"/>
        </w:rPr>
        <w:t>第六条</w:t>
      </w:r>
      <w:r>
        <w:rPr>
          <w:rFonts w:hint="eastAsia" w:ascii="仿宋_GB2312"/>
        </w:rPr>
        <w:t xml:space="preserve"> 市、县(市、区)人民政府应当按照城乡统筹、方便献血的原则，合理规划布局固定献血屋(点)。因城乡建设等原因需要拆除、迁移固定献血屋(点)或者改变其功能、用途的，应当按照先建后拆（迁）的原则变更固定献血屋（点），并及时向社会公布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/>
        </w:rPr>
        <w:t>卫生健康行政部门负责协调固定献血屋(点)的设置，财政、自然资源和规划、住房和城乡建设、行政审批服务、城市管理（综合行政执法）等部门应当给予支持配合，其他有关组织和个人应当提供便利。</w:t>
      </w:r>
    </w:p>
    <w:p>
      <w:pPr>
        <w:pStyle w:val="3"/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/>
        </w:rPr>
        <w:t>卫生健康行政部门应当会同公安机关交通管理、城市管理（综合行政执法）等部门确定流动献血车、可移动献血房车采血停放的地点，并及时向社会公布。车站、广场、商场、公园等停靠场所的经营管理单位，应当为流动献血车、可移动献血房车提供停靠、用电、用水等便利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_GB2312" w:cs="仿宋_GB2312"/>
          <w:color w:val="000000"/>
        </w:rPr>
      </w:pPr>
      <w:r>
        <w:rPr>
          <w:rFonts w:hint="eastAsia" w:ascii="黑体" w:hAnsi="黑体" w:eastAsia="黑体" w:cs="黑体"/>
        </w:rPr>
        <w:t>第七条</w:t>
      </w:r>
      <w:r>
        <w:rPr>
          <w:rFonts w:hint="eastAsia" w:ascii="仿宋_GB2312" w:hAnsi="仿宋_GB2312" w:cs="仿宋_GB2312"/>
          <w:color w:val="000000"/>
        </w:rPr>
        <w:t xml:space="preserve"> 献血者累计献血不满一千毫升的，</w:t>
      </w:r>
      <w:r>
        <w:rPr>
          <w:rFonts w:hint="eastAsia" w:ascii="仿宋_GB2312" w:hAnsi="宋体" w:cs="仿宋_GB2312"/>
          <w:lang w:bidi="ar"/>
        </w:rPr>
        <w:t>终身享受与献血量等量的免费用血，自献血之日起</w:t>
      </w:r>
      <w:r>
        <w:rPr>
          <w:rFonts w:hint="eastAsia" w:ascii="仿宋_GB2312" w:hAnsi="仿宋_GB2312" w:cs="仿宋_GB2312"/>
          <w:color w:val="000000"/>
        </w:rPr>
        <w:t>五年内可以累计享受献血量五倍的免费用血；献血者累计献血一千毫升以上的，可以终身享受无限量免费用血。献血者的配偶、父母、子女、配偶的父母、子女的配偶可以合计享受与献血者献血量等量的免费用血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/>
        </w:rPr>
        <w:t>无偿捐献造血干细胞的，本人终身享受无限量免费用血；其配偶、父母、子女、配偶的父母、子女的配偶可以合计享受不超过一千毫升的免费用血。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黑体" w:hAnsi="黑体" w:eastAsia="黑体" w:cs="黑体"/>
        </w:rPr>
        <w:t xml:space="preserve">第八条 </w:t>
      </w:r>
      <w:r>
        <w:rPr>
          <w:rFonts w:hint="eastAsia" w:ascii="仿宋_GB2312"/>
        </w:rPr>
        <w:t>公民参加献血的，其所在单位应当给予支持，并提供便利条件。鼓励所在单位给予献血者适当的补贴或者补休。献机采成分血的，血站应当按规定给予交通、误餐补贴。无偿捐献造血干细胞的，所在单位应当给予不少于两周的捐献时间，正常发放工资和其他福利待遇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/>
        </w:rPr>
        <w:t>本市获得国家无偿献血奉献奖、无偿捐献造血干细胞奖或者无偿献血志愿服务终身荣誉奖的个人，到公立医疗机构就诊免交门诊诊察费，可以免费游览本市范围内政府投资主办的公园、旅游景区景点、纪念场馆，免费乘坐政府补贴的城市公交车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/>
        </w:rPr>
        <w:t>市卫生健康行政部门应当会同市财政、发展改革、交通运输、文化和旅游、城市管理、红十字会等部门、单位，对本条规定的激励措施制定具体实施办法。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黑体" w:hAnsi="黑体" w:eastAsia="黑体" w:cs="黑体"/>
        </w:rPr>
        <w:t>第九条</w:t>
      </w:r>
      <w:r>
        <w:rPr>
          <w:rFonts w:hint="eastAsia" w:ascii="仿宋_GB2312"/>
          <w:b/>
        </w:rPr>
        <w:t xml:space="preserve"> </w:t>
      </w:r>
      <w:r>
        <w:rPr>
          <w:rFonts w:hint="eastAsia" w:ascii="仿宋_GB2312"/>
        </w:rPr>
        <w:t>市、县(市、区)人民政府负责组织、协调、指导有关部门、单位开展献血宣传工作，倡树献血文明、献血光荣理念。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/>
        </w:rPr>
      </w:pPr>
      <w:r>
        <w:rPr>
          <w:rFonts w:hint="eastAsia" w:ascii="仿宋_GB2312"/>
        </w:rPr>
        <w:t>医疗卫生机构应当加强对献血法律法规、献血科学知识、献血者权利义务的宣传。新闻媒体应当积极主动开展关于献血的社会公益性宣传，褒扬献血先进事迹、典型人物。</w:t>
      </w:r>
    </w:p>
    <w:p>
      <w:pPr>
        <w:adjustRightInd w:val="0"/>
        <w:snapToGrid w:val="0"/>
        <w:spacing w:line="560" w:lineRule="exact"/>
        <w:ind w:firstLine="640" w:firstLineChars="200"/>
      </w:pPr>
      <w:r>
        <w:rPr>
          <w:rFonts w:hint="eastAsia" w:ascii="仿宋_GB2312"/>
        </w:rPr>
        <w:t>鼓励车站、广场、公园、商场、影剧院、旅游景区等公共场所的经营管理单位和公交车、出租车等公共交通工具的运营单位，利用其设置或者管理的广告牌、宣传栏、公共视听载体等设施，积极开展献血公益性宣传。</w:t>
      </w:r>
    </w:p>
    <w:p>
      <w:pPr>
        <w:adjustRightInd w:val="0"/>
        <w:snapToGrid w:val="0"/>
        <w:spacing w:line="560" w:lineRule="exact"/>
        <w:ind w:firstLine="640" w:firstLineChars="200"/>
      </w:pPr>
      <w:r>
        <w:rPr>
          <w:rFonts w:hint="eastAsia" w:ascii="黑体" w:hAnsi="黑体" w:eastAsia="黑体" w:cs="黑体"/>
        </w:rPr>
        <w:t>第十条</w:t>
      </w:r>
      <w:r>
        <w:rPr>
          <w:rFonts w:hint="eastAsia" w:ascii="仿宋_GB2312"/>
        </w:rPr>
        <w:t xml:space="preserve"> 本办法自2022年10月1日起施行。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楷体_GB2312">
    <w:altName w:val="方正楷体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楷体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320" w:leftChars="100" w:right="320" w:rightChars="100"/>
                            <w:textAlignment w:val="auto"/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upright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FgAAAGRycy9QSwECFAAUAAAA&#10;CACHTuJAs0lY7tAAAAAFAQAADwAAAAAAAAABACAAAAA4AAAAZHJzL2Rvd25yZXYueG1sUEsBAhQA&#10;FAAAAAgAh07iQHZIUkvIAgAA7AUAAA4AAAAAAAAAAQAgAAAANQEAAGRycy9lMm9Eb2MueG1sUEsF&#10;BgAAAAAGAAYAWQEAAG8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320" w:leftChars="100" w:right="320" w:rightChars="100"/>
                      <w:textAlignment w:val="auto"/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japaneseCounting"/>
      <w:lvlText w:val="第%1章"/>
      <w:lvlJc w:val="left"/>
      <w:pPr>
        <w:ind w:left="1320" w:hanging="1320"/>
      </w:pPr>
      <w:rPr>
        <w:rFonts w:hint="default"/>
      </w:rPr>
    </w:lvl>
    <w:lvl w:ilvl="1" w:tentative="0">
      <w:start w:val="1"/>
      <w:numFmt w:val="lowerLetter"/>
      <w:pStyle w:val="2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DC1C1"/>
    <w:rsid w:val="FFBDC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snapToGrid w:val="0"/>
      <w:sz w:val="32"/>
      <w:szCs w:val="3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360"/>
      </w:tabs>
      <w:spacing w:before="260" w:after="260" w:line="413" w:lineRule="auto"/>
      <w:outlineLvl w:val="2"/>
    </w:pPr>
    <w:rPr>
      <w:rFonts w:eastAsia="宋体"/>
      <w:b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Office_11.8.2.9831_F1E327BC-269C-435d-A152-05C5408002CA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2022-08-19T15:38:00Z</dcterms:created>
  <dc:creator>user</dc:creator>
  <cp:lastModifiedBy>user</cp:lastModifiedBy>
  <dcterms:modified xsi:type="dcterms:W3CDTF">2022-08-19T16:01:12Z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2052-11.8.2.9831</vt:lpwstr>
  </property>
</Properties>
</file>