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80" w:lineRule="exact"/>
        <w:ind w:firstLine="640" w:firstLineChars="200"/>
        <w:rPr>
          <w:rFonts w:ascii="仿宋_GB2312" w:hAnsi="Calibri" w:cs="仿宋_GB2312"/>
          <w:kern w:val="2"/>
        </w:rPr>
      </w:pPr>
      <w:bookmarkStart w:id="0" w:name="_GoBack"/>
      <w:bookmarkEnd w:id="0"/>
    </w:p>
    <w:p>
      <w:pPr>
        <w:spacing w:line="580" w:lineRule="exact"/>
        <w:ind w:firstLine="640" w:firstLineChars="200"/>
        <w:rPr>
          <w:rFonts w:ascii="仿宋_GB2312" w:hAnsi="Calibri" w:cs="仿宋_GB2312"/>
          <w:kern w:val="2"/>
        </w:rPr>
      </w:pPr>
    </w:p>
    <w:p>
      <w:pPr>
        <w:spacing w:line="580" w:lineRule="exact"/>
        <w:jc w:val="center"/>
        <w:rPr>
          <w:rFonts w:ascii="宋体" w:hAnsi="宋体" w:eastAsia="宋体" w:cs="宋体"/>
        </w:rPr>
      </w:pPr>
      <w:r>
        <w:rPr>
          <w:rFonts w:hint="eastAsia" w:ascii="宋体" w:hAnsi="宋体" w:eastAsia="宋体" w:cs="宋体"/>
          <w:snapToGrid/>
          <w:kern w:val="2"/>
          <w:sz w:val="44"/>
          <w:szCs w:val="44"/>
        </w:rPr>
        <w:t>菏泽市土壤污染防治条例</w:t>
      </w:r>
    </w:p>
    <w:p>
      <w:pPr>
        <w:spacing w:line="580" w:lineRule="exact"/>
        <w:ind w:firstLine="640" w:firstLineChars="200"/>
        <w:rPr>
          <w:rFonts w:ascii="宋体" w:hAnsi="宋体" w:eastAsia="宋体" w:cs="宋体"/>
          <w:kern w:val="2"/>
        </w:rPr>
      </w:pPr>
    </w:p>
    <w:p>
      <w:pPr>
        <w:tabs>
          <w:tab w:val="left" w:pos="8212"/>
        </w:tabs>
        <w:spacing w:line="580" w:lineRule="exact"/>
        <w:ind w:left="640" w:leftChars="200" w:right="630" w:rightChars="197"/>
        <w:rPr>
          <w:rFonts w:ascii="楷体_GB2312" w:hAnsi="仿宋_GB2312" w:eastAsia="楷体_GB2312" w:cs="楷体_GB2312"/>
          <w:shd w:val="clear" w:color="auto" w:fill="FFFFFF"/>
        </w:rPr>
      </w:pPr>
      <w:r>
        <w:rPr>
          <w:rFonts w:hint="eastAsia" w:ascii="宋体" w:hAnsi="宋体" w:eastAsia="楷体_GB2312" w:cs="宋体"/>
          <w:snapToGrid/>
          <w:color w:val="000000"/>
          <w:szCs w:val="28"/>
        </w:rPr>
        <w:t>（</w:t>
      </w:r>
      <w:r>
        <w:rPr>
          <w:rFonts w:ascii="楷体_GB2312" w:hAnsi="仿宋_GB2312" w:eastAsia="楷体_GB2312" w:cs="楷体_GB2312"/>
          <w:snapToGrid/>
          <w:shd w:val="clear" w:color="auto" w:fill="FFFFFF"/>
        </w:rPr>
        <w:t>202</w:t>
      </w:r>
      <w:r>
        <w:rPr>
          <w:rFonts w:hint="eastAsia" w:ascii="楷体_GB2312" w:hAnsi="仿宋_GB2312" w:eastAsia="楷体_GB2312" w:cs="楷体_GB2312"/>
          <w:snapToGrid/>
          <w:shd w:val="clear" w:color="auto" w:fill="FFFFFF"/>
        </w:rPr>
        <w:t>1年10月21日菏泽市第十九届人民代表大会常务委员会第四十次会议通过  2021年</w:t>
      </w:r>
      <w:r>
        <w:rPr>
          <w:rFonts w:ascii="楷体_GB2312" w:hAnsi="仿宋_GB2312" w:eastAsia="楷体_GB2312" w:cs="楷体_GB2312"/>
          <w:snapToGrid/>
          <w:shd w:val="clear" w:color="auto" w:fill="FFFFFF"/>
          <w:lang w:val="en"/>
        </w:rPr>
        <w:t>12</w:t>
      </w:r>
      <w:r>
        <w:rPr>
          <w:rFonts w:hint="eastAsia" w:ascii="楷体_GB2312" w:hAnsi="仿宋_GB2312" w:eastAsia="楷体_GB2312" w:cs="楷体_GB2312"/>
          <w:snapToGrid/>
          <w:shd w:val="clear" w:color="auto" w:fill="FFFFFF"/>
        </w:rPr>
        <w:t>月</w:t>
      </w:r>
      <w:r>
        <w:rPr>
          <w:rFonts w:ascii="楷体_GB2312" w:hAnsi="仿宋_GB2312" w:eastAsia="楷体_GB2312" w:cs="楷体_GB2312"/>
          <w:snapToGrid/>
          <w:shd w:val="clear" w:color="auto" w:fill="FFFFFF"/>
          <w:lang w:val="en"/>
        </w:rPr>
        <w:t>3</w:t>
      </w:r>
      <w:r>
        <w:rPr>
          <w:rFonts w:hint="eastAsia" w:ascii="楷体_GB2312" w:hAnsi="仿宋_GB2312" w:eastAsia="楷体_GB2312" w:cs="楷体_GB2312"/>
          <w:snapToGrid/>
          <w:shd w:val="clear" w:color="auto" w:fill="FFFFFF"/>
        </w:rPr>
        <w:t>日山东省第十三届人民代表大会常务委员会第三十二次会议批准）</w:t>
      </w:r>
    </w:p>
    <w:p>
      <w:pPr>
        <w:spacing w:line="580" w:lineRule="exact"/>
        <w:ind w:firstLine="646" w:firstLineChars="202"/>
        <w:rPr>
          <w:rFonts w:ascii="宋体" w:hAnsi="宋体" w:eastAsia="宋体" w:cs="宋体"/>
          <w:kern w:val="2"/>
        </w:rPr>
      </w:pPr>
    </w:p>
    <w:p>
      <w:pPr>
        <w:adjustRightInd w:val="0"/>
        <w:snapToGrid w:val="0"/>
        <w:spacing w:line="580" w:lineRule="exact"/>
        <w:jc w:val="center"/>
        <w:rPr>
          <w:rFonts w:ascii="楷体_GB2312" w:hAnsi="楷体_GB2312" w:eastAsia="楷体_GB2312" w:cs="楷体_GB2312"/>
          <w:color w:val="000000"/>
          <w:lang w:val="en"/>
        </w:rPr>
      </w:pPr>
      <w:r>
        <w:rPr>
          <w:rFonts w:hint="eastAsia" w:ascii="楷体_GB2312" w:hAnsi="楷体_GB2312" w:eastAsia="楷体_GB2312" w:cs="楷体_GB2312"/>
          <w:snapToGrid/>
          <w:color w:val="000000"/>
          <w:kern w:val="2"/>
          <w:lang w:val="en"/>
        </w:rPr>
        <w:t>目</w:t>
      </w:r>
      <w:r>
        <w:rPr>
          <w:rFonts w:hint="eastAsia" w:ascii="楷体_GB2312" w:hAnsi="楷体_GB2312" w:eastAsia="楷体_GB2312" w:cs="楷体_GB2312"/>
          <w:snapToGrid/>
          <w:color w:val="000000"/>
          <w:kern w:val="2"/>
        </w:rPr>
        <w:t xml:space="preserve">  </w:t>
      </w:r>
      <w:r>
        <w:rPr>
          <w:rFonts w:hint="eastAsia" w:ascii="楷体_GB2312" w:hAnsi="楷体_GB2312" w:eastAsia="楷体_GB2312" w:cs="楷体_GB2312"/>
          <w:snapToGrid/>
          <w:color w:val="000000"/>
          <w:kern w:val="2"/>
          <w:lang w:val="en"/>
        </w:rPr>
        <w:t>录</w:t>
      </w:r>
    </w:p>
    <w:p>
      <w:pPr>
        <w:adjustRightInd w:val="0"/>
        <w:snapToGrid w:val="0"/>
        <w:spacing w:line="580" w:lineRule="exact"/>
        <w:ind w:firstLine="720" w:firstLineChars="225"/>
        <w:rPr>
          <w:rFonts w:ascii="楷体_GB2312" w:hAnsi="楷体_GB2312" w:eastAsia="楷体_GB2312" w:cs="楷体_GB2312"/>
          <w:color w:val="000000"/>
        </w:rPr>
      </w:pPr>
      <w:r>
        <w:rPr>
          <w:rFonts w:hint="eastAsia" w:ascii="楷体_GB2312" w:hAnsi="楷体_GB2312" w:eastAsia="楷体_GB2312" w:cs="楷体_GB2312"/>
          <w:snapToGrid/>
          <w:color w:val="000000"/>
          <w:kern w:val="2"/>
          <w:lang w:val="en"/>
        </w:rPr>
        <w:t>第一章</w:t>
      </w:r>
      <w:r>
        <w:rPr>
          <w:rFonts w:hint="eastAsia" w:ascii="楷体_GB2312" w:hAnsi="楷体_GB2312" w:eastAsia="楷体_GB2312" w:cs="楷体_GB2312"/>
          <w:snapToGrid/>
          <w:color w:val="000000"/>
          <w:kern w:val="2"/>
        </w:rPr>
        <w:t xml:space="preserve">  总则 </w:t>
      </w:r>
    </w:p>
    <w:p>
      <w:pPr>
        <w:adjustRightInd w:val="0"/>
        <w:snapToGrid w:val="0"/>
        <w:spacing w:line="580" w:lineRule="exact"/>
        <w:ind w:firstLine="720" w:firstLineChars="225"/>
        <w:rPr>
          <w:rFonts w:ascii="楷体_GB2312" w:hAnsi="楷体_GB2312" w:eastAsia="楷体_GB2312" w:cs="楷体_GB2312"/>
          <w:color w:val="000000"/>
        </w:rPr>
      </w:pPr>
      <w:r>
        <w:rPr>
          <w:rFonts w:hint="eastAsia" w:ascii="楷体_GB2312" w:hAnsi="楷体_GB2312" w:eastAsia="楷体_GB2312" w:cs="楷体_GB2312"/>
          <w:snapToGrid/>
          <w:color w:val="000000"/>
          <w:kern w:val="2"/>
        </w:rPr>
        <w:t>第二章  监管机制</w:t>
      </w:r>
    </w:p>
    <w:p>
      <w:pPr>
        <w:adjustRightInd w:val="0"/>
        <w:snapToGrid w:val="0"/>
        <w:spacing w:line="580" w:lineRule="exact"/>
        <w:ind w:firstLine="720" w:firstLineChars="225"/>
        <w:rPr>
          <w:rFonts w:ascii="楷体_GB2312" w:hAnsi="楷体_GB2312" w:eastAsia="楷体_GB2312" w:cs="楷体_GB2312"/>
          <w:color w:val="000000"/>
        </w:rPr>
      </w:pPr>
      <w:r>
        <w:rPr>
          <w:rFonts w:hint="eastAsia" w:ascii="楷体_GB2312" w:hAnsi="楷体_GB2312" w:eastAsia="楷体_GB2312" w:cs="楷体_GB2312"/>
          <w:snapToGrid/>
          <w:color w:val="000000"/>
          <w:kern w:val="2"/>
        </w:rPr>
        <w:t>第三章  防治措施</w:t>
      </w:r>
    </w:p>
    <w:p>
      <w:pPr>
        <w:adjustRightInd w:val="0"/>
        <w:snapToGrid w:val="0"/>
        <w:spacing w:line="580" w:lineRule="exact"/>
        <w:ind w:firstLine="720" w:firstLineChars="225"/>
        <w:rPr>
          <w:rFonts w:ascii="楷体_GB2312" w:hAnsi="楷体_GB2312" w:eastAsia="楷体_GB2312" w:cs="楷体_GB2312"/>
          <w:color w:val="000000"/>
        </w:rPr>
      </w:pPr>
      <w:r>
        <w:rPr>
          <w:rFonts w:hint="eastAsia" w:ascii="楷体_GB2312" w:hAnsi="楷体_GB2312" w:eastAsia="楷体_GB2312" w:cs="楷体_GB2312"/>
          <w:snapToGrid/>
          <w:color w:val="000000"/>
          <w:kern w:val="2"/>
        </w:rPr>
        <w:t>第四章  法律责任</w:t>
      </w:r>
    </w:p>
    <w:p>
      <w:pPr>
        <w:adjustRightInd w:val="0"/>
        <w:snapToGrid w:val="0"/>
        <w:spacing w:line="580" w:lineRule="exact"/>
        <w:ind w:firstLine="720" w:firstLineChars="225"/>
        <w:rPr>
          <w:rFonts w:ascii="楷体_GB2312" w:hAnsi="楷体_GB2312" w:eastAsia="楷体_GB2312" w:cs="楷体_GB2312"/>
          <w:color w:val="000000"/>
        </w:rPr>
      </w:pPr>
      <w:r>
        <w:rPr>
          <w:rFonts w:hint="eastAsia" w:ascii="楷体_GB2312" w:hAnsi="楷体_GB2312" w:eastAsia="楷体_GB2312" w:cs="楷体_GB2312"/>
          <w:snapToGrid/>
          <w:color w:val="000000"/>
          <w:kern w:val="2"/>
        </w:rPr>
        <w:t>第五章  附则</w:t>
      </w:r>
    </w:p>
    <w:p>
      <w:pPr>
        <w:spacing w:line="580" w:lineRule="exact"/>
        <w:ind w:firstLine="640" w:firstLineChars="200"/>
        <w:rPr>
          <w:rFonts w:ascii="宋体" w:hAnsi="宋体" w:eastAsia="宋体" w:cs="宋体"/>
          <w:kern w:val="2"/>
        </w:rPr>
      </w:pPr>
    </w:p>
    <w:p>
      <w:pPr>
        <w:adjustRightInd w:val="0"/>
        <w:snapToGrid w:val="0"/>
        <w:spacing w:line="580" w:lineRule="exact"/>
        <w:jc w:val="center"/>
        <w:rPr>
          <w:rFonts w:ascii="黑体" w:hAnsi="黑体" w:eastAsia="黑体" w:cs="黑体"/>
          <w:color w:val="000000"/>
        </w:rPr>
      </w:pPr>
      <w:r>
        <w:rPr>
          <w:rFonts w:hint="eastAsia" w:ascii="黑体" w:hAnsi="黑体" w:eastAsia="黑体" w:cs="黑体"/>
          <w:snapToGrid/>
          <w:color w:val="000000"/>
          <w:kern w:val="2"/>
          <w:lang w:val="en"/>
        </w:rPr>
        <w:t>第一章</w:t>
      </w:r>
      <w:r>
        <w:rPr>
          <w:rFonts w:hint="eastAsia" w:ascii="黑体" w:hAnsi="黑体" w:eastAsia="黑体" w:cs="黑体"/>
          <w:snapToGrid/>
          <w:color w:val="000000"/>
          <w:kern w:val="2"/>
        </w:rPr>
        <w:t xml:space="preserve">  总则</w:t>
      </w:r>
    </w:p>
    <w:p>
      <w:pPr>
        <w:pStyle w:val="10"/>
        <w:widowControl/>
        <w:shd w:val="clear" w:color="auto" w:fill="FFFFFF"/>
        <w:spacing w:before="0" w:beforeAutospacing="0" w:after="0" w:afterAutospacing="0" w:line="580" w:lineRule="exact"/>
        <w:ind w:firstLine="640" w:firstLineChars="200"/>
        <w:jc w:val="both"/>
        <w:rPr>
          <w:rFonts w:ascii="黑体" w:hAnsi="黑体" w:eastAsia="黑体" w:cs="黑体"/>
          <w:snapToGrid/>
          <w:sz w:val="32"/>
          <w:shd w:val="clear" w:color="auto" w:fill="FFFFFF"/>
        </w:rPr>
      </w:pPr>
    </w:p>
    <w:p>
      <w:pPr>
        <w:pStyle w:val="10"/>
        <w:widowControl/>
        <w:shd w:val="clear" w:color="auto" w:fill="FFFFFF"/>
        <w:spacing w:before="0" w:beforeAutospacing="0" w:after="0" w:afterAutospacing="0" w:line="580" w:lineRule="exact"/>
        <w:ind w:firstLine="640" w:firstLineChars="200"/>
        <w:jc w:val="both"/>
        <w:rPr>
          <w:rFonts w:ascii="仿宋_GB2312" w:hAnsi="仿宋_GB2312" w:cs="仿宋_GB2312"/>
          <w:snapToGrid/>
          <w:sz w:val="32"/>
          <w:shd w:val="clear" w:color="auto" w:fill="FFFFFF"/>
        </w:rPr>
      </w:pPr>
      <w:r>
        <w:rPr>
          <w:rFonts w:hint="eastAsia" w:ascii="黑体" w:hAnsi="黑体" w:eastAsia="黑体" w:cs="黑体"/>
          <w:snapToGrid/>
          <w:sz w:val="32"/>
          <w:shd w:val="clear" w:color="auto" w:fill="FFFFFF"/>
        </w:rPr>
        <w:t>第一条</w:t>
      </w:r>
      <w:r>
        <w:rPr>
          <w:rFonts w:hint="eastAsia" w:ascii="仿宋_GB2312" w:hAnsi="仿宋_GB2312" w:cs="仿宋_GB2312"/>
          <w:snapToGrid/>
          <w:sz w:val="32"/>
          <w:shd w:val="clear" w:color="auto" w:fill="FFFFFF"/>
        </w:rPr>
        <w:t>　为了保护和改善土壤生态环境，预防和治理土壤污染，推动土壤资源永续利用，保障公众健康和生命安全，推进生态文明建设，根据《中华人民共和国土壤污染防治法》《山东省土壤污染防治条例》等法律法规，结合本市实际，制定本条例。</w:t>
      </w:r>
    </w:p>
    <w:p>
      <w:pPr>
        <w:spacing w:line="580" w:lineRule="exact"/>
        <w:ind w:firstLine="640" w:firstLineChars="200"/>
        <w:rPr>
          <w:rFonts w:ascii="仿宋_GB2312" w:hAnsi="仿宋_GB2312" w:cs="仿宋_GB2312"/>
          <w:shd w:val="clear" w:color="auto" w:fill="FFFFFF"/>
          <w:lang w:bidi="ar"/>
        </w:rPr>
      </w:pPr>
      <w:r>
        <w:rPr>
          <w:rFonts w:hint="eastAsia" w:ascii="黑体" w:hAnsi="黑体" w:eastAsia="黑体" w:cs="黑体"/>
          <w:snapToGrid/>
          <w:kern w:val="2"/>
          <w:shd w:val="clear" w:color="auto" w:fill="FFFFFF"/>
        </w:rPr>
        <w:t xml:space="preserve">第二条  </w:t>
      </w:r>
      <w:r>
        <w:rPr>
          <w:rFonts w:hint="eastAsia" w:ascii="仿宋_GB2312" w:hAnsi="仿宋_GB2312" w:cs="仿宋_GB2312"/>
          <w:snapToGrid/>
          <w:shd w:val="clear" w:color="auto" w:fill="FFFFFF"/>
          <w:lang w:bidi="ar"/>
        </w:rPr>
        <w:t>本条例适用于本市行政区域内的土壤污染防治以及相关活动。</w:t>
      </w:r>
    </w:p>
    <w:p>
      <w:pPr>
        <w:spacing w:line="580" w:lineRule="exact"/>
        <w:ind w:firstLine="640" w:firstLineChars="200"/>
        <w:rPr>
          <w:rFonts w:ascii="仿宋_GB2312" w:hAnsi="仿宋_GB2312" w:cs="仿宋_GB2312"/>
          <w:shd w:val="clear" w:color="auto" w:fill="FFFFFF"/>
          <w:lang w:bidi="ar"/>
        </w:rPr>
      </w:pPr>
      <w:r>
        <w:rPr>
          <w:rFonts w:hint="eastAsia" w:ascii="黑体" w:hAnsi="黑体" w:eastAsia="黑体" w:cs="黑体"/>
          <w:snapToGrid/>
          <w:kern w:val="2"/>
          <w:shd w:val="clear" w:color="auto" w:fill="FFFFFF"/>
        </w:rPr>
        <w:t xml:space="preserve">第三条  </w:t>
      </w:r>
      <w:r>
        <w:rPr>
          <w:rFonts w:hint="eastAsia" w:ascii="仿宋_GB2312" w:hAnsi="仿宋_GB2312" w:cs="仿宋_GB2312"/>
          <w:snapToGrid/>
          <w:shd w:val="clear" w:color="auto" w:fill="FFFFFF"/>
          <w:lang w:bidi="ar"/>
        </w:rPr>
        <w:t>土壤污染防治应当坚持预防为主、保护优先、分类管理、风险管控、污染担责、公众参与的原则。</w:t>
      </w:r>
    </w:p>
    <w:p>
      <w:pPr>
        <w:spacing w:line="580" w:lineRule="exact"/>
        <w:ind w:firstLine="640" w:firstLineChars="200"/>
        <w:rPr>
          <w:rFonts w:ascii="仿宋_GB2312" w:hAnsi="仿宋_GB2312" w:cs="仿宋_GB2312"/>
          <w:strike/>
          <w:lang w:val="zh-CN"/>
        </w:rPr>
      </w:pPr>
      <w:r>
        <w:rPr>
          <w:rFonts w:hint="eastAsia" w:ascii="黑体" w:hAnsi="黑体" w:eastAsia="黑体" w:cs="黑体"/>
          <w:snapToGrid/>
          <w:kern w:val="2"/>
          <w:shd w:val="clear" w:color="auto" w:fill="FFFFFF"/>
        </w:rPr>
        <w:t>第四条</w:t>
      </w:r>
      <w:r>
        <w:rPr>
          <w:rFonts w:hint="eastAsia" w:ascii="仿宋_GB2312" w:hAnsi="仿宋_GB2312" w:cs="仿宋_GB2312"/>
          <w:snapToGrid/>
          <w:kern w:val="2"/>
          <w:shd w:val="clear" w:color="auto" w:fill="FFFFFF"/>
        </w:rPr>
        <w:t>　</w:t>
      </w:r>
      <w:r>
        <w:rPr>
          <w:rFonts w:hint="eastAsia" w:ascii="仿宋_GB2312" w:hAnsi="仿宋_GB2312" w:cs="仿宋_GB2312"/>
          <w:snapToGrid/>
          <w:kern w:val="2"/>
          <w:lang w:val="zh-CN"/>
        </w:rPr>
        <w:t>市、县（区）人民政府</w:t>
      </w:r>
      <w:r>
        <w:rPr>
          <w:rFonts w:hint="eastAsia" w:ascii="仿宋_GB2312" w:hAnsi="仿宋_GB2312" w:cs="仿宋_GB2312"/>
          <w:snapToGrid/>
          <w:kern w:val="2"/>
        </w:rPr>
        <w:t>应当对本行政区域内的土壤污染防治和安全利用负责，加强对土壤污染防治工作的领导，建立土壤污染防治工作协调机制，将土壤污染防治工作纳入国民经济和社会发展规划，完善多元化资金投入和保障机制，采取有效措施防治土壤污染。</w:t>
      </w:r>
    </w:p>
    <w:p>
      <w:pPr>
        <w:pStyle w:val="10"/>
        <w:widowControl/>
        <w:shd w:val="clear" w:color="auto" w:fill="FFFFFF"/>
        <w:spacing w:before="0" w:beforeAutospacing="0" w:after="0" w:afterAutospacing="0" w:line="580" w:lineRule="exact"/>
        <w:ind w:firstLine="720"/>
        <w:jc w:val="both"/>
        <w:rPr>
          <w:rFonts w:ascii="仿宋_GB2312" w:hAnsi="仿宋_GB2312" w:cs="仿宋_GB2312"/>
          <w:snapToGrid/>
          <w:sz w:val="32"/>
        </w:rPr>
      </w:pPr>
      <w:r>
        <w:rPr>
          <w:rFonts w:hint="eastAsia" w:ascii="黑体" w:hAnsi="黑体" w:eastAsia="黑体" w:cs="黑体"/>
          <w:snapToGrid/>
          <w:sz w:val="32"/>
          <w:shd w:val="clear" w:color="auto" w:fill="FFFFFF"/>
        </w:rPr>
        <w:t>第五条</w:t>
      </w:r>
      <w:r>
        <w:rPr>
          <w:rFonts w:hint="eastAsia" w:ascii="仿宋_GB2312" w:hAnsi="仿宋_GB2312" w:cs="仿宋_GB2312"/>
          <w:snapToGrid/>
          <w:sz w:val="32"/>
          <w:shd w:val="clear" w:color="auto" w:fill="FFFFFF"/>
        </w:rPr>
        <w:t>　市人民政府生态环境主管部门对本市土壤污染防治工作实施统一监督管理。</w:t>
      </w:r>
    </w:p>
    <w:p>
      <w:pPr>
        <w:pStyle w:val="10"/>
        <w:widowControl/>
        <w:shd w:val="clear" w:color="auto" w:fill="FFFFFF"/>
        <w:spacing w:before="0" w:beforeAutospacing="0" w:after="0" w:afterAutospacing="0" w:line="580" w:lineRule="exact"/>
        <w:ind w:firstLine="720"/>
        <w:jc w:val="both"/>
        <w:rPr>
          <w:rFonts w:ascii="仿宋_GB2312" w:hAnsi="仿宋_GB2312" w:cs="仿宋_GB2312"/>
          <w:snapToGrid/>
          <w:sz w:val="32"/>
          <w:shd w:val="clear" w:color="auto" w:fill="FFFFFF"/>
        </w:rPr>
      </w:pPr>
      <w:r>
        <w:rPr>
          <w:rFonts w:hint="eastAsia" w:ascii="仿宋_GB2312" w:hAnsi="仿宋_GB2312" w:cs="仿宋_GB2312"/>
          <w:snapToGrid/>
          <w:sz w:val="32"/>
          <w:shd w:val="clear" w:color="auto" w:fill="FFFFFF"/>
        </w:rPr>
        <w:t>市、县（区）人民政府发展改革、工业和信息化、自然资源和规划、住房城乡建设、城管、交通运输、水务、农业农村、卫生健康、应急、林业等部门，在各自职责范围内对土壤污染防治工作实施监督管理。</w:t>
      </w:r>
    </w:p>
    <w:p>
      <w:pPr>
        <w:spacing w:line="580" w:lineRule="exact"/>
        <w:ind w:firstLine="640" w:firstLineChars="200"/>
        <w:rPr>
          <w:rFonts w:ascii="仿宋_GB2312" w:hAnsi="仿宋_GB2312" w:cs="仿宋_GB2312"/>
          <w:lang w:val="zh-CN"/>
        </w:rPr>
      </w:pPr>
      <w:r>
        <w:rPr>
          <w:rFonts w:hint="eastAsia" w:ascii="仿宋_GB2312" w:hAnsi="仿宋_GB2312" w:cs="仿宋_GB2312"/>
          <w:snapToGrid/>
          <w:kern w:val="2"/>
          <w:lang w:val="zh-CN"/>
        </w:rPr>
        <w:t>乡镇人民政府和街道办事处应当配合做好土壤生态保护、农业投入品及其废弃物的监督管理等土壤污染防治相关工作。</w:t>
      </w:r>
    </w:p>
    <w:p>
      <w:pPr>
        <w:spacing w:line="580" w:lineRule="exact"/>
        <w:ind w:firstLine="665"/>
        <w:rPr>
          <w:rFonts w:ascii="黑体" w:hAnsi="黑体" w:eastAsia="黑体" w:cs="黑体"/>
          <w:shd w:val="clear" w:color="auto" w:fill="FFFFFF"/>
        </w:rPr>
      </w:pPr>
      <w:r>
        <w:rPr>
          <w:rFonts w:hint="eastAsia" w:ascii="仿宋_GB2312" w:hAnsi="仿宋_GB2312" w:cs="仿宋_GB2312"/>
          <w:snapToGrid/>
          <w:kern w:val="2"/>
          <w:lang w:val="zh-CN"/>
        </w:rPr>
        <w:t>村民委员会和居民委员会应当协助做好土壤污染防治相关工作，引导村民和居民保护土壤环境。</w:t>
      </w:r>
    </w:p>
    <w:p>
      <w:pPr>
        <w:spacing w:line="580" w:lineRule="exact"/>
        <w:ind w:firstLine="640" w:firstLineChars="200"/>
        <w:rPr>
          <w:rFonts w:ascii="仿宋_GB2312" w:hAnsi="仿宋_GB2312" w:cs="仿宋_GB2312"/>
          <w:shd w:val="clear" w:color="auto" w:fill="FFFFFF"/>
        </w:rPr>
      </w:pPr>
      <w:r>
        <w:rPr>
          <w:rFonts w:hint="eastAsia" w:ascii="黑体" w:hAnsi="黑体" w:eastAsia="黑体" w:cs="黑体"/>
          <w:snapToGrid/>
          <w:kern w:val="2"/>
          <w:shd w:val="clear" w:color="auto" w:fill="FFFFFF"/>
        </w:rPr>
        <w:t xml:space="preserve">第六条  </w:t>
      </w:r>
      <w:r>
        <w:rPr>
          <w:rFonts w:hint="eastAsia" w:ascii="仿宋_GB2312" w:hAnsi="仿宋_GB2312" w:cs="仿宋_GB2312"/>
          <w:snapToGrid/>
          <w:kern w:val="2"/>
          <w:shd w:val="clear" w:color="auto" w:fill="FFFFFF"/>
        </w:rPr>
        <w:t>市人民政府生态环境主管部门应当会同其他有关部门协同推进大气、水、土壤污染治理和监督管理工作，督促相关企业改进治理工艺和技术，</w:t>
      </w:r>
      <w:r>
        <w:rPr>
          <w:rFonts w:hint="eastAsia" w:ascii="仿宋_GB2312" w:hAnsi="仿宋_GB2312" w:cs="仿宋_GB2312"/>
          <w:snapToGrid/>
          <w:kern w:val="2"/>
        </w:rPr>
        <w:t>阻断土壤污染源，提高土壤污染治理成效。</w:t>
      </w:r>
    </w:p>
    <w:p>
      <w:pPr>
        <w:pStyle w:val="10"/>
        <w:widowControl/>
        <w:shd w:val="clear" w:color="auto" w:fill="FFFFFF"/>
        <w:spacing w:before="0" w:beforeAutospacing="0" w:after="0" w:afterAutospacing="0" w:line="580" w:lineRule="exact"/>
        <w:ind w:firstLine="640" w:firstLineChars="200"/>
        <w:jc w:val="both"/>
        <w:rPr>
          <w:rFonts w:ascii="黑体" w:hAnsi="黑体" w:eastAsia="黑体" w:cs="黑体"/>
          <w:snapToGrid/>
          <w:sz w:val="32"/>
          <w:shd w:val="clear" w:color="auto" w:fill="FFFFFF"/>
        </w:rPr>
      </w:pPr>
      <w:r>
        <w:rPr>
          <w:rFonts w:hint="eastAsia" w:ascii="黑体" w:hAnsi="黑体" w:eastAsia="黑体" w:cs="黑体"/>
          <w:snapToGrid/>
          <w:sz w:val="32"/>
        </w:rPr>
        <w:t>第七条</w:t>
      </w:r>
      <w:r>
        <w:rPr>
          <w:rFonts w:hint="eastAsia" w:ascii="仿宋_GB2312" w:hAnsi="仿宋_GB2312" w:cs="仿宋_GB2312"/>
          <w:snapToGrid/>
          <w:sz w:val="32"/>
        </w:rPr>
        <w:t xml:space="preserve">  鼓励公众通过</w:t>
      </w:r>
      <w:r>
        <w:rPr>
          <w:rFonts w:hint="eastAsia" w:ascii="仿宋_GB2312" w:hAnsi="黑体" w:cs="仿宋_GB2312"/>
          <w:snapToGrid/>
          <w:sz w:val="32"/>
        </w:rPr>
        <w:t>“12369”</w:t>
      </w:r>
      <w:r>
        <w:rPr>
          <w:rFonts w:hint="eastAsia" w:ascii="仿宋_GB2312" w:hAnsi="仿宋_GB2312" w:cs="仿宋_GB2312"/>
          <w:snapToGrid/>
          <w:sz w:val="32"/>
        </w:rPr>
        <w:t>环保举报热线、信函、电子邮件、政府网站、微信平台等途径，对污染土壤的环境违法行为进行举报。接到举报的生态环境主管部门和其他负有土壤污染防治监督管理职责的部门应当及时处理，并对举报人的相关信息予以保密，处理结果向举报人反馈；经查证属实的，按照规定给予奖励。</w:t>
      </w:r>
    </w:p>
    <w:p>
      <w:pPr>
        <w:pStyle w:val="10"/>
        <w:widowControl/>
        <w:shd w:val="clear" w:color="auto" w:fill="FFFFFF"/>
        <w:spacing w:before="0" w:beforeAutospacing="0" w:after="0" w:afterAutospacing="0" w:line="580" w:lineRule="exact"/>
        <w:jc w:val="center"/>
        <w:rPr>
          <w:rFonts w:ascii="黑体" w:hAnsi="黑体" w:eastAsia="黑体" w:cs="黑体"/>
          <w:snapToGrid/>
          <w:sz w:val="32"/>
        </w:rPr>
      </w:pPr>
    </w:p>
    <w:p>
      <w:pPr>
        <w:pStyle w:val="10"/>
        <w:widowControl/>
        <w:shd w:val="clear" w:color="auto" w:fill="FFFFFF"/>
        <w:spacing w:before="0" w:beforeAutospacing="0" w:after="0" w:afterAutospacing="0" w:line="580" w:lineRule="exact"/>
        <w:jc w:val="center"/>
        <w:rPr>
          <w:rFonts w:ascii="黑体" w:hAnsi="黑体" w:eastAsia="黑体" w:cs="黑体"/>
          <w:snapToGrid/>
          <w:sz w:val="32"/>
        </w:rPr>
      </w:pPr>
      <w:r>
        <w:rPr>
          <w:rFonts w:hint="eastAsia" w:ascii="黑体" w:hAnsi="黑体" w:eastAsia="黑体" w:cs="黑体"/>
          <w:snapToGrid/>
          <w:sz w:val="32"/>
        </w:rPr>
        <w:t>第二章  监管机制</w:t>
      </w:r>
    </w:p>
    <w:p>
      <w:pPr>
        <w:spacing w:line="580" w:lineRule="exact"/>
        <w:ind w:firstLine="640" w:firstLineChars="200"/>
        <w:rPr>
          <w:rFonts w:ascii="黑体" w:hAnsi="黑体" w:eastAsia="黑体" w:cs="黑体"/>
          <w:lang w:val="zh-CN"/>
        </w:rPr>
      </w:pPr>
    </w:p>
    <w:p>
      <w:pPr>
        <w:spacing w:line="580" w:lineRule="exact"/>
        <w:ind w:firstLine="640" w:firstLineChars="200"/>
        <w:rPr>
          <w:rFonts w:ascii="仿宋_GB2312" w:hAnsi="仿宋_GB2312" w:cs="仿宋_GB2312"/>
          <w:shd w:val="clear" w:color="auto" w:fill="FFFFFF"/>
        </w:rPr>
      </w:pPr>
      <w:r>
        <w:rPr>
          <w:rFonts w:hint="eastAsia" w:ascii="黑体" w:hAnsi="黑体" w:eastAsia="黑体" w:cs="黑体"/>
          <w:snapToGrid/>
          <w:kern w:val="2"/>
          <w:lang w:val="zh-CN"/>
        </w:rPr>
        <w:t>第八条</w:t>
      </w:r>
      <w:r>
        <w:rPr>
          <w:rFonts w:hint="eastAsia" w:ascii="黑体" w:hAnsi="黑体" w:eastAsia="黑体" w:cs="黑体"/>
          <w:snapToGrid/>
          <w:kern w:val="2"/>
        </w:rPr>
        <w:t xml:space="preserve"> </w:t>
      </w:r>
      <w:r>
        <w:rPr>
          <w:rFonts w:hint="eastAsia" w:ascii="仿宋_GB2312" w:hAnsi="仿宋_GB2312" w:cs="仿宋_GB2312"/>
          <w:snapToGrid/>
          <w:kern w:val="2"/>
        </w:rPr>
        <w:t xml:space="preserve"> </w:t>
      </w:r>
      <w:r>
        <w:rPr>
          <w:rFonts w:hint="eastAsia" w:ascii="仿宋_GB2312" w:hAnsi="仿宋_GB2312" w:cs="仿宋_GB2312"/>
          <w:snapToGrid/>
          <w:kern w:val="2"/>
          <w:shd w:val="clear" w:color="auto" w:fill="FFFFFF"/>
        </w:rPr>
        <w:t>市人民政府生态环境主管部门应当会同发展改革、农业农村、自然资源和规划、住房城乡建设、林业等部门，根据生态环境保护规划要求、土地用途、土壤污染状况普查和监测结果等，编制土壤污染防治规划，报市人民政府批准后公布实施。</w:t>
      </w:r>
    </w:p>
    <w:p>
      <w:pPr>
        <w:spacing w:line="580" w:lineRule="exact"/>
        <w:ind w:firstLine="640" w:firstLineChars="200"/>
        <w:rPr>
          <w:rFonts w:ascii="黑体" w:hAnsi="黑体" w:eastAsia="黑体" w:cs="黑体"/>
          <w:lang w:val="zh-CN"/>
        </w:rPr>
      </w:pPr>
      <w:r>
        <w:rPr>
          <w:rFonts w:hint="eastAsia" w:ascii="仿宋_GB2312" w:hAnsi="仿宋_GB2312" w:cs="仿宋_GB2312"/>
          <w:snapToGrid/>
          <w:kern w:val="2"/>
          <w:shd w:val="clear" w:color="auto" w:fill="FFFFFF"/>
          <w:lang w:val="zh-CN"/>
        </w:rPr>
        <w:t>市、县（区）人民政府应当根据土壤污染防治规划编制土壤污染防治年度工作计划，明确土壤污染防治工作目标和主要任务，并组织实施。</w:t>
      </w:r>
    </w:p>
    <w:p>
      <w:pPr>
        <w:spacing w:line="580" w:lineRule="exact"/>
        <w:ind w:firstLine="640" w:firstLineChars="200"/>
        <w:rPr>
          <w:rFonts w:ascii="仿宋_GB2312" w:hAnsi="仿宋_GB2312" w:cs="仿宋_GB2312"/>
          <w:shd w:val="clear" w:color="auto" w:fill="FFFFFF"/>
          <w:lang w:val="zh-CN"/>
        </w:rPr>
      </w:pPr>
      <w:r>
        <w:rPr>
          <w:rFonts w:hint="eastAsia" w:ascii="黑体" w:hAnsi="黑体" w:eastAsia="黑体" w:cs="黑体"/>
          <w:snapToGrid/>
          <w:kern w:val="2"/>
          <w:lang w:val="zh-CN"/>
        </w:rPr>
        <w:t>第九条</w:t>
      </w:r>
      <w:r>
        <w:rPr>
          <w:rFonts w:hint="eastAsia" w:ascii="仿宋_GB2312" w:hAnsi="仿宋_GB2312" w:cs="仿宋_GB2312"/>
          <w:snapToGrid/>
          <w:kern w:val="2"/>
        </w:rPr>
        <w:t xml:space="preserve">  </w:t>
      </w:r>
      <w:r>
        <w:rPr>
          <w:rFonts w:hint="eastAsia" w:ascii="仿宋_GB2312" w:hAnsi="仿宋_GB2312" w:cs="仿宋_GB2312"/>
          <w:snapToGrid/>
          <w:kern w:val="2"/>
          <w:shd w:val="clear" w:color="auto" w:fill="FFFFFF"/>
          <w:lang w:val="zh-CN"/>
        </w:rPr>
        <w:t>建立土壤污染状况定期调查制度。</w:t>
      </w:r>
    </w:p>
    <w:p>
      <w:pPr>
        <w:spacing w:line="580" w:lineRule="exact"/>
        <w:ind w:firstLine="640" w:firstLineChars="200"/>
        <w:rPr>
          <w:rFonts w:ascii="黑体" w:hAnsi="黑体" w:eastAsia="黑体" w:cs="黑体"/>
          <w:lang w:val="zh-CN"/>
        </w:rPr>
      </w:pPr>
      <w:r>
        <w:rPr>
          <w:rFonts w:hint="eastAsia" w:ascii="仿宋_GB2312" w:hAnsi="仿宋_GB2312" w:cs="仿宋_GB2312"/>
          <w:snapToGrid/>
          <w:kern w:val="2"/>
          <w:shd w:val="clear" w:color="auto" w:fill="FFFFFF"/>
          <w:lang w:val="zh-CN"/>
        </w:rPr>
        <w:t>市人民政府统一领导全市土壤污染状况调查，建立污染土壤档案，及时公布土壤污染状况以及防治情况信息。</w:t>
      </w:r>
    </w:p>
    <w:p>
      <w:pPr>
        <w:spacing w:line="580" w:lineRule="exact"/>
        <w:ind w:firstLine="640" w:firstLineChars="200"/>
        <w:rPr>
          <w:rFonts w:ascii="仿宋_GB2312" w:hAnsi="仿宋_GB2312" w:cs="仿宋_GB2312"/>
          <w:shd w:val="clear" w:color="auto" w:fill="FFFFFF"/>
          <w:lang w:val="zh-CN"/>
        </w:rPr>
      </w:pPr>
      <w:r>
        <w:rPr>
          <w:rFonts w:hint="eastAsia" w:ascii="仿宋_GB2312" w:hAnsi="仿宋_GB2312" w:cs="仿宋_GB2312"/>
          <w:snapToGrid/>
          <w:kern w:val="2"/>
          <w:shd w:val="clear" w:color="auto" w:fill="FFFFFF"/>
          <w:lang w:val="zh-CN"/>
        </w:rPr>
        <w:t>土壤污染状况调查至少每</w:t>
      </w:r>
      <w:r>
        <w:rPr>
          <w:rFonts w:hint="eastAsia" w:ascii="仿宋_GB2312" w:hAnsi="黑体" w:cs="仿宋_GB2312"/>
          <w:snapToGrid/>
          <w:kern w:val="2"/>
          <w:shd w:val="clear" w:color="auto" w:fill="FFFFFF"/>
          <w:lang w:val="zh-CN"/>
        </w:rPr>
        <w:t>10年开展一次，</w:t>
      </w:r>
      <w:r>
        <w:rPr>
          <w:rFonts w:hint="eastAsia" w:ascii="仿宋_GB2312" w:hAnsi="黑体" w:cs="仿宋_GB2312"/>
          <w:snapToGrid/>
          <w:kern w:val="2"/>
        </w:rPr>
        <w:t>饮用水水源保护区、食用农产品产地等土壤敏感区域，至少每5</w:t>
      </w:r>
      <w:r>
        <w:rPr>
          <w:rFonts w:hint="eastAsia" w:ascii="仿宋_GB2312" w:hAnsi="仿宋_GB2312" w:cs="仿宋_GB2312"/>
          <w:snapToGrid/>
          <w:kern w:val="2"/>
        </w:rPr>
        <w:t>年调查一次</w:t>
      </w:r>
      <w:r>
        <w:rPr>
          <w:rFonts w:hint="eastAsia" w:ascii="仿宋_GB2312" w:hAnsi="仿宋_GB2312" w:cs="仿宋_GB2312"/>
          <w:snapToGrid/>
          <w:kern w:val="2"/>
          <w:shd w:val="clear" w:color="auto" w:fill="FFFFFF"/>
          <w:lang w:val="zh-CN"/>
        </w:rPr>
        <w:t>。</w:t>
      </w:r>
    </w:p>
    <w:p>
      <w:pPr>
        <w:spacing w:line="580" w:lineRule="exact"/>
        <w:ind w:firstLine="640" w:firstLineChars="200"/>
        <w:rPr>
          <w:rFonts w:ascii="仿宋_GB2312" w:hAnsi="仿宋_GB2312" w:cs="仿宋_GB2312"/>
          <w:shd w:val="clear" w:color="auto" w:fill="FFFFFF"/>
          <w:lang w:val="zh-CN"/>
        </w:rPr>
      </w:pPr>
      <w:r>
        <w:rPr>
          <w:rFonts w:hint="eastAsia" w:ascii="仿宋_GB2312" w:hAnsi="仿宋_GB2312" w:cs="仿宋_GB2312"/>
          <w:snapToGrid/>
          <w:kern w:val="2"/>
          <w:shd w:val="clear" w:color="auto" w:fill="FFFFFF"/>
          <w:lang w:val="zh-CN"/>
        </w:rPr>
        <w:t>市人民政府农业农村、林业部门应当会同生态环境、</w:t>
      </w:r>
      <w:r>
        <w:rPr>
          <w:rFonts w:hint="eastAsia" w:ascii="仿宋_GB2312" w:hAnsi="仿宋_GB2312" w:cs="仿宋_GB2312"/>
          <w:snapToGrid/>
          <w:kern w:val="2"/>
          <w:shd w:val="clear" w:color="auto" w:fill="FFFFFF"/>
        </w:rPr>
        <w:t>自然资源和规划</w:t>
      </w:r>
      <w:r>
        <w:rPr>
          <w:rFonts w:hint="eastAsia" w:ascii="仿宋_GB2312" w:hAnsi="仿宋_GB2312" w:cs="仿宋_GB2312"/>
          <w:snapToGrid/>
          <w:kern w:val="2"/>
          <w:shd w:val="clear" w:color="auto" w:fill="FFFFFF"/>
          <w:lang w:val="zh-CN"/>
        </w:rPr>
        <w:t>等部门以农用地为重点开展土壤污染状况详查，查明农用地土壤污染的面积、分布及其对农产品质量的影响。</w:t>
      </w:r>
    </w:p>
    <w:p>
      <w:pPr>
        <w:spacing w:line="580" w:lineRule="exact"/>
        <w:ind w:firstLine="640" w:firstLineChars="200"/>
        <w:rPr>
          <w:rFonts w:ascii="仿宋_GB2312" w:hAnsi="仿宋_GB2312" w:cs="仿宋_GB2312"/>
          <w:shd w:val="clear" w:color="auto" w:fill="FFFFFF"/>
          <w:lang w:val="zh-CN"/>
        </w:rPr>
      </w:pPr>
      <w:r>
        <w:rPr>
          <w:rFonts w:hint="eastAsia" w:ascii="仿宋_GB2312" w:hAnsi="仿宋_GB2312" w:cs="仿宋_GB2312"/>
          <w:snapToGrid/>
          <w:kern w:val="2"/>
          <w:shd w:val="clear" w:color="auto" w:fill="FFFFFF"/>
          <w:lang w:val="zh-CN"/>
        </w:rPr>
        <w:t>市人民政府生态环境主管部门应当会同</w:t>
      </w:r>
      <w:r>
        <w:rPr>
          <w:rFonts w:hint="eastAsia" w:ascii="仿宋_GB2312" w:hAnsi="仿宋_GB2312" w:cs="仿宋_GB2312"/>
          <w:snapToGrid/>
          <w:kern w:val="2"/>
          <w:shd w:val="clear" w:color="auto" w:fill="FFFFFF"/>
        </w:rPr>
        <w:t>自然资源和规划、住房城乡建设、工业和信息化</w:t>
      </w:r>
      <w:r>
        <w:rPr>
          <w:rFonts w:hint="eastAsia" w:ascii="仿宋_GB2312" w:hAnsi="仿宋_GB2312" w:cs="仿宋_GB2312"/>
          <w:snapToGrid/>
          <w:kern w:val="2"/>
          <w:shd w:val="clear" w:color="auto" w:fill="FFFFFF"/>
          <w:lang w:val="zh-CN"/>
        </w:rPr>
        <w:t>等部门以重点行业企业用地为重点开展土壤污染状况详查，掌握重点行业企业用地中的污染地块分布及其环境风险情况，建立污染地块清单。</w:t>
      </w:r>
    </w:p>
    <w:p>
      <w:pPr>
        <w:pStyle w:val="10"/>
        <w:widowControl/>
        <w:shd w:val="clear" w:color="auto" w:fill="FFFFFF"/>
        <w:spacing w:before="0" w:beforeAutospacing="0" w:after="0" w:afterAutospacing="0" w:line="580" w:lineRule="exact"/>
        <w:ind w:firstLine="720"/>
        <w:jc w:val="both"/>
        <w:rPr>
          <w:rFonts w:ascii="仿宋_GB2312" w:hAnsi="仿宋_GB2312" w:cs="仿宋_GB2312"/>
          <w:snapToGrid/>
          <w:sz w:val="32"/>
          <w:shd w:val="clear" w:color="auto" w:fill="FFFFFF"/>
        </w:rPr>
      </w:pPr>
      <w:r>
        <w:rPr>
          <w:rFonts w:hint="eastAsia" w:ascii="黑体" w:hAnsi="黑体" w:eastAsia="黑体" w:cs="黑体"/>
          <w:snapToGrid/>
          <w:sz w:val="32"/>
          <w:shd w:val="clear" w:color="auto" w:fill="FFFFFF"/>
        </w:rPr>
        <w:t xml:space="preserve">第十条  </w:t>
      </w:r>
      <w:r>
        <w:rPr>
          <w:rFonts w:hint="eastAsia" w:ascii="仿宋_GB2312" w:hAnsi="仿宋_GB2312" w:cs="仿宋_GB2312"/>
          <w:snapToGrid/>
          <w:sz w:val="32"/>
          <w:shd w:val="clear" w:color="auto" w:fill="FFFFFF"/>
        </w:rPr>
        <w:t>建立土壤环境信息化管理和共享制度。</w:t>
      </w:r>
    </w:p>
    <w:p>
      <w:pPr>
        <w:pStyle w:val="10"/>
        <w:widowControl/>
        <w:shd w:val="clear" w:color="auto" w:fill="FFFFFF"/>
        <w:spacing w:before="0" w:beforeAutospacing="0" w:after="0" w:afterAutospacing="0" w:line="580" w:lineRule="exact"/>
        <w:ind w:firstLine="720"/>
        <w:jc w:val="both"/>
        <w:rPr>
          <w:rFonts w:ascii="仿宋_GB2312" w:hAnsi="仿宋_GB2312" w:cs="仿宋_GB2312"/>
          <w:snapToGrid/>
          <w:sz w:val="32"/>
          <w:shd w:val="clear" w:color="auto" w:fill="FFFFFF"/>
        </w:rPr>
      </w:pPr>
      <w:r>
        <w:rPr>
          <w:rFonts w:hint="eastAsia" w:ascii="仿宋_GB2312" w:hAnsi="仿宋_GB2312" w:cs="仿宋_GB2312"/>
          <w:snapToGrid/>
          <w:sz w:val="32"/>
          <w:shd w:val="clear" w:color="auto" w:fill="FFFFFF"/>
        </w:rPr>
        <w:t>市人民政府应当运用省级土壤环境信息化管理平台，编制市级数据资源共享目录，明确共享权限和方式，完善部门联动信息沟通机制，实现数据共享。</w:t>
      </w:r>
    </w:p>
    <w:p>
      <w:pPr>
        <w:pStyle w:val="10"/>
        <w:widowControl/>
        <w:shd w:val="clear" w:color="auto" w:fill="FFFFFF"/>
        <w:spacing w:before="0" w:beforeAutospacing="0" w:after="0" w:afterAutospacing="0" w:line="580" w:lineRule="exact"/>
        <w:ind w:firstLine="720"/>
        <w:jc w:val="both"/>
        <w:rPr>
          <w:rFonts w:ascii="仿宋_GB2312" w:hAnsi="仿宋_GB2312" w:cs="仿宋_GB2312"/>
          <w:snapToGrid/>
          <w:sz w:val="32"/>
          <w:shd w:val="clear" w:color="auto" w:fill="FFFFFF"/>
        </w:rPr>
      </w:pPr>
      <w:r>
        <w:rPr>
          <w:rFonts w:hint="eastAsia" w:ascii="仿宋_GB2312" w:hAnsi="仿宋_GB2312" w:cs="仿宋_GB2312"/>
          <w:snapToGrid/>
          <w:sz w:val="32"/>
          <w:shd w:val="clear" w:color="auto" w:fill="FFFFFF"/>
        </w:rPr>
        <w:t>市人民政府生态环境主管部门应当会同农业农村、自然资源和规划、住房城乡建设、工业和信息化、水务、卫生健康、城管等部门建立土壤环境基础数据库并上传国家和省土壤环境信息平台，实行数据共享和动态更新。</w:t>
      </w:r>
    </w:p>
    <w:p>
      <w:pPr>
        <w:pStyle w:val="10"/>
        <w:widowControl/>
        <w:shd w:val="clear" w:color="auto" w:fill="FFFFFF"/>
        <w:spacing w:before="0" w:beforeAutospacing="0" w:after="0" w:afterAutospacing="0" w:line="580" w:lineRule="exact"/>
        <w:ind w:firstLine="720"/>
        <w:jc w:val="both"/>
        <w:rPr>
          <w:rFonts w:ascii="仿宋_GB2312" w:hAnsi="仿宋_GB2312" w:cs="仿宋_GB2312"/>
          <w:snapToGrid/>
          <w:sz w:val="32"/>
          <w:shd w:val="clear" w:color="auto" w:fill="FFFFFF"/>
        </w:rPr>
      </w:pPr>
      <w:r>
        <w:rPr>
          <w:rFonts w:hint="eastAsia" w:ascii="黑体" w:hAnsi="黑体" w:eastAsia="黑体" w:cs="黑体"/>
          <w:snapToGrid/>
          <w:sz w:val="32"/>
          <w:shd w:val="clear" w:color="auto" w:fill="FFFFFF"/>
        </w:rPr>
        <w:t xml:space="preserve">第十一条 </w:t>
      </w:r>
      <w:r>
        <w:rPr>
          <w:rFonts w:hint="eastAsia" w:ascii="仿宋_GB2312" w:hAnsi="仿宋_GB2312" w:cs="仿宋_GB2312"/>
          <w:snapToGrid/>
          <w:sz w:val="32"/>
          <w:shd w:val="clear" w:color="auto" w:fill="FFFFFF"/>
        </w:rPr>
        <w:t xml:space="preserve"> 建立土壤污染防治区域协作工作机制。</w:t>
      </w:r>
    </w:p>
    <w:p>
      <w:pPr>
        <w:pStyle w:val="10"/>
        <w:widowControl/>
        <w:shd w:val="clear" w:color="auto" w:fill="FFFFFF"/>
        <w:spacing w:before="0" w:beforeAutospacing="0" w:after="0" w:afterAutospacing="0" w:line="580" w:lineRule="exact"/>
        <w:ind w:firstLine="720"/>
        <w:jc w:val="both"/>
        <w:rPr>
          <w:rFonts w:ascii="仿宋_GB2312" w:hAnsi="仿宋_GB2312" w:cs="仿宋_GB2312"/>
          <w:snapToGrid/>
          <w:sz w:val="32"/>
          <w:shd w:val="clear" w:color="auto" w:fill="FFFFFF"/>
        </w:rPr>
      </w:pPr>
      <w:r>
        <w:rPr>
          <w:rFonts w:hint="eastAsia" w:ascii="仿宋_GB2312" w:hAnsi="仿宋_GB2312" w:cs="仿宋_GB2312"/>
          <w:snapToGrid/>
          <w:sz w:val="32"/>
          <w:shd w:val="clear" w:color="auto" w:fill="FFFFFF"/>
        </w:rPr>
        <w:t>市、县（区）人民政府及其负有土壤污染防治监督管理职责的部门应当根据国家和省有关规定加强与本市接壤的周边市、县（区）及淮海经济区相关市、县（区）人民政府及其相关部门沟通、协调和合作。在土壤污染环境质量调查、土壤污染风险管控与修复、土壤污染联合执法与应急处置等方面广泛开展区域协作。</w:t>
      </w:r>
    </w:p>
    <w:p>
      <w:pPr>
        <w:pStyle w:val="10"/>
        <w:widowControl/>
        <w:shd w:val="clear" w:color="auto" w:fill="FFFFFF"/>
        <w:spacing w:before="0" w:beforeAutospacing="0" w:after="0" w:afterAutospacing="0" w:line="580" w:lineRule="exact"/>
        <w:ind w:firstLine="720"/>
        <w:jc w:val="both"/>
        <w:rPr>
          <w:rFonts w:ascii="仿宋_GB2312" w:hAnsi="仿宋_GB2312" w:cs="仿宋_GB2312"/>
          <w:snapToGrid/>
          <w:sz w:val="32"/>
          <w:shd w:val="clear" w:color="auto" w:fill="FFFFFF"/>
        </w:rPr>
      </w:pPr>
      <w:r>
        <w:rPr>
          <w:rFonts w:hint="eastAsia" w:ascii="黑体" w:hAnsi="黑体" w:eastAsia="黑体" w:cs="黑体"/>
          <w:snapToGrid/>
          <w:sz w:val="32"/>
          <w:shd w:val="clear" w:color="auto" w:fill="FFFFFF"/>
        </w:rPr>
        <w:t>第十二条</w:t>
      </w:r>
      <w:r>
        <w:rPr>
          <w:rFonts w:hint="eastAsia" w:ascii="仿宋_GB2312" w:hAnsi="仿宋_GB2312" w:cs="仿宋_GB2312"/>
          <w:snapToGrid/>
          <w:sz w:val="32"/>
          <w:shd w:val="clear" w:color="auto" w:fill="FFFFFF"/>
        </w:rPr>
        <w:t>　建立土壤污染防治目标责任制和考核评价制度。</w:t>
      </w:r>
    </w:p>
    <w:p>
      <w:pPr>
        <w:pStyle w:val="10"/>
        <w:widowControl/>
        <w:shd w:val="clear" w:color="auto" w:fill="FFFFFF"/>
        <w:spacing w:before="0" w:beforeAutospacing="0" w:after="0" w:afterAutospacing="0" w:line="580" w:lineRule="exact"/>
        <w:ind w:firstLine="720"/>
        <w:jc w:val="both"/>
        <w:rPr>
          <w:rFonts w:ascii="仿宋_GB2312" w:hAnsi="仿宋_GB2312" w:cs="仿宋_GB2312"/>
          <w:snapToGrid/>
          <w:sz w:val="32"/>
          <w:shd w:val="clear" w:color="auto" w:fill="FFFFFF"/>
        </w:rPr>
      </w:pPr>
      <w:r>
        <w:rPr>
          <w:rFonts w:hint="eastAsia" w:ascii="仿宋_GB2312" w:hAnsi="仿宋_GB2312" w:cs="仿宋_GB2312"/>
          <w:snapToGrid/>
          <w:sz w:val="32"/>
          <w:shd w:val="clear" w:color="auto" w:fill="FFFFFF"/>
        </w:rPr>
        <w:t>市、县（区）人民政府应当建立考核评价工作体系，制定考核评价办法，明确考核评价目标任务，并按年度对本市各级人民政府及其负责人、负有土壤污染防治监督管理职责的部门及其负责人进行考核评价。考核评价结果作为综合考核评价、自然资源资产离任审计的重要依据，并向社会公开。</w:t>
      </w:r>
    </w:p>
    <w:p>
      <w:pPr>
        <w:pStyle w:val="10"/>
        <w:widowControl/>
        <w:shd w:val="clear" w:color="auto" w:fill="FFFFFF"/>
        <w:spacing w:before="0" w:beforeAutospacing="0" w:after="0" w:afterAutospacing="0" w:line="580" w:lineRule="exact"/>
        <w:jc w:val="center"/>
        <w:rPr>
          <w:rFonts w:ascii="黑体" w:hAnsi="黑体" w:eastAsia="黑体" w:cs="黑体"/>
          <w:snapToGrid/>
          <w:sz w:val="32"/>
          <w:shd w:val="clear" w:color="auto" w:fill="FFFFFF"/>
          <w:lang w:bidi="ar"/>
        </w:rPr>
      </w:pPr>
    </w:p>
    <w:p>
      <w:pPr>
        <w:pStyle w:val="10"/>
        <w:widowControl/>
        <w:shd w:val="clear" w:color="auto" w:fill="FFFFFF"/>
        <w:spacing w:before="0" w:beforeAutospacing="0" w:after="0" w:afterAutospacing="0" w:line="580" w:lineRule="exact"/>
        <w:jc w:val="center"/>
        <w:rPr>
          <w:rFonts w:ascii="黑体" w:hAnsi="黑体" w:eastAsia="黑体" w:cs="黑体"/>
          <w:snapToGrid/>
          <w:sz w:val="32"/>
          <w:shd w:val="clear" w:color="auto" w:fill="FFFFFF"/>
          <w:lang w:bidi="ar"/>
        </w:rPr>
      </w:pPr>
      <w:r>
        <w:rPr>
          <w:rFonts w:hint="eastAsia" w:ascii="黑体" w:hAnsi="黑体" w:eastAsia="黑体" w:cs="黑体"/>
          <w:snapToGrid/>
          <w:sz w:val="32"/>
          <w:shd w:val="clear" w:color="auto" w:fill="FFFFFF"/>
          <w:lang w:bidi="ar"/>
        </w:rPr>
        <w:t>第三章  防治措施</w:t>
      </w:r>
    </w:p>
    <w:p>
      <w:pPr>
        <w:pStyle w:val="10"/>
        <w:widowControl/>
        <w:shd w:val="clear" w:color="auto" w:fill="FFFFFF"/>
        <w:spacing w:before="0" w:beforeAutospacing="0" w:after="0" w:afterAutospacing="0" w:line="580" w:lineRule="exact"/>
        <w:ind w:firstLine="640" w:firstLineChars="200"/>
        <w:jc w:val="both"/>
        <w:rPr>
          <w:rFonts w:ascii="黑体" w:hAnsi="黑体" w:eastAsia="黑体" w:cs="黑体"/>
          <w:snapToGrid/>
          <w:sz w:val="32"/>
          <w:shd w:val="clear" w:color="auto" w:fill="FFFFFF"/>
          <w:lang w:bidi="ar"/>
        </w:rPr>
      </w:pPr>
    </w:p>
    <w:p>
      <w:pPr>
        <w:pStyle w:val="10"/>
        <w:widowControl/>
        <w:shd w:val="clear" w:color="auto" w:fill="FFFFFF"/>
        <w:spacing w:before="0" w:beforeAutospacing="0" w:after="0" w:afterAutospacing="0" w:line="580" w:lineRule="exact"/>
        <w:ind w:firstLine="640" w:firstLineChars="200"/>
        <w:jc w:val="both"/>
        <w:rPr>
          <w:rFonts w:ascii="仿宋_GB2312" w:hAnsi="仿宋_GB2312" w:cs="仿宋_GB2312"/>
          <w:snapToGrid/>
          <w:sz w:val="32"/>
          <w:shd w:val="clear" w:color="auto" w:fill="FFFFFF"/>
        </w:rPr>
      </w:pPr>
      <w:r>
        <w:rPr>
          <w:rFonts w:hint="eastAsia" w:ascii="黑体" w:hAnsi="黑体" w:eastAsia="黑体" w:cs="黑体"/>
          <w:snapToGrid/>
          <w:sz w:val="32"/>
          <w:shd w:val="clear" w:color="auto" w:fill="FFFFFF"/>
          <w:lang w:bidi="ar"/>
        </w:rPr>
        <w:t xml:space="preserve">第十三条 </w:t>
      </w:r>
      <w:r>
        <w:rPr>
          <w:rFonts w:hint="eastAsia" w:ascii="仿宋_GB2312" w:hAnsi="仿宋_GB2312" w:cs="仿宋_GB2312"/>
          <w:snapToGrid/>
          <w:sz w:val="32"/>
          <w:shd w:val="clear" w:color="auto" w:fill="FFFFFF"/>
        </w:rPr>
        <w:t xml:space="preserve"> 实行农用地分类管理制度。</w:t>
      </w:r>
    </w:p>
    <w:p>
      <w:pPr>
        <w:pStyle w:val="10"/>
        <w:widowControl/>
        <w:shd w:val="clear" w:color="auto" w:fill="FFFFFF"/>
        <w:spacing w:before="0" w:beforeAutospacing="0" w:after="0" w:afterAutospacing="0" w:line="580" w:lineRule="exact"/>
        <w:ind w:firstLine="640" w:firstLineChars="200"/>
        <w:jc w:val="both"/>
        <w:rPr>
          <w:rFonts w:ascii="黑体" w:hAnsi="黑体" w:eastAsia="黑体" w:cs="黑体"/>
          <w:snapToGrid/>
          <w:sz w:val="32"/>
          <w:shd w:val="clear" w:color="auto" w:fill="FFFFFF"/>
          <w:lang w:bidi="ar"/>
        </w:rPr>
      </w:pPr>
      <w:r>
        <w:rPr>
          <w:rFonts w:hint="eastAsia" w:ascii="仿宋_GB2312" w:hAnsi="仿宋_GB2312" w:cs="仿宋_GB2312"/>
          <w:snapToGrid/>
          <w:sz w:val="32"/>
          <w:shd w:val="clear" w:color="auto" w:fill="FFFFFF"/>
        </w:rPr>
        <w:t>市、县（区）人民政府应当按照省人民政府审定的农用地风险管控类别建立农用地分类管理档案，依法进行分类管理。</w:t>
      </w:r>
    </w:p>
    <w:p>
      <w:pPr>
        <w:pStyle w:val="10"/>
        <w:widowControl/>
        <w:shd w:val="clear" w:color="auto" w:fill="FFFFFF"/>
        <w:spacing w:before="0" w:beforeAutospacing="0" w:after="0" w:afterAutospacing="0" w:line="580" w:lineRule="exact"/>
        <w:ind w:firstLine="720"/>
        <w:jc w:val="both"/>
        <w:rPr>
          <w:rFonts w:ascii="仿宋_GB2312" w:hAnsi="仿宋_GB2312" w:cs="仿宋_GB2312"/>
          <w:snapToGrid/>
          <w:sz w:val="32"/>
          <w:shd w:val="clear" w:color="auto" w:fill="FFFFFF"/>
        </w:rPr>
      </w:pPr>
      <w:r>
        <w:rPr>
          <w:rFonts w:hint="eastAsia" w:ascii="黑体" w:hAnsi="黑体" w:eastAsia="黑体" w:cs="黑体"/>
          <w:snapToGrid/>
          <w:sz w:val="32"/>
          <w:shd w:val="clear" w:color="auto" w:fill="FFFFFF"/>
          <w:lang w:bidi="ar"/>
        </w:rPr>
        <w:t xml:space="preserve">第十四条  </w:t>
      </w:r>
      <w:r>
        <w:rPr>
          <w:rFonts w:hint="eastAsia" w:ascii="仿宋_GB2312" w:hAnsi="仿宋_GB2312" w:cs="仿宋_GB2312"/>
          <w:snapToGrid/>
          <w:sz w:val="32"/>
          <w:shd w:val="clear" w:color="auto" w:fill="FFFFFF"/>
        </w:rPr>
        <w:t>市、县（区）人民政府应当依法将符合条件的优先保护类耕地划为永久基本农田，实行严格保护，确保其面积不减少、土壤环境质量不下降。</w:t>
      </w:r>
    </w:p>
    <w:p>
      <w:pPr>
        <w:pStyle w:val="10"/>
        <w:widowControl/>
        <w:shd w:val="clear" w:color="auto" w:fill="FFFFFF"/>
        <w:spacing w:before="0" w:beforeAutospacing="0" w:after="0" w:afterAutospacing="0" w:line="580" w:lineRule="exact"/>
        <w:ind w:firstLine="720"/>
        <w:jc w:val="both"/>
        <w:rPr>
          <w:rFonts w:ascii="黑体" w:hAnsi="黑体" w:eastAsia="黑体" w:cs="黑体"/>
          <w:snapToGrid/>
          <w:sz w:val="32"/>
          <w:shd w:val="clear" w:color="auto" w:fill="FFFFFF"/>
          <w:lang w:bidi="ar"/>
        </w:rPr>
      </w:pPr>
      <w:r>
        <w:rPr>
          <w:rFonts w:hint="eastAsia" w:ascii="黑体" w:hAnsi="黑体" w:eastAsia="黑体" w:cs="黑体"/>
          <w:snapToGrid/>
          <w:sz w:val="32"/>
          <w:shd w:val="clear" w:color="auto" w:fill="FFFFFF"/>
          <w:lang w:bidi="ar"/>
        </w:rPr>
        <w:t xml:space="preserve">第十五条  </w:t>
      </w:r>
      <w:r>
        <w:rPr>
          <w:rFonts w:hint="eastAsia" w:ascii="仿宋_GB2312" w:hAnsi="仿宋_GB2312" w:cs="仿宋_GB2312"/>
          <w:snapToGrid/>
          <w:sz w:val="32"/>
          <w:shd w:val="clear" w:color="auto" w:fill="FFFFFF"/>
        </w:rPr>
        <w:t>未利用地、复垦土地等拟开垦为耕地的，由市、县（区）人民政府农业农村部门会同生态环境、自然资源和规划部门进行土壤污染状况调查，依法进行分类管理。</w:t>
      </w:r>
    </w:p>
    <w:p>
      <w:pPr>
        <w:pStyle w:val="10"/>
        <w:widowControl/>
        <w:shd w:val="clear" w:color="auto" w:fill="FFFFFF"/>
        <w:spacing w:before="0" w:beforeAutospacing="0" w:after="0" w:afterAutospacing="0" w:line="580" w:lineRule="exact"/>
        <w:ind w:firstLine="720"/>
        <w:jc w:val="both"/>
        <w:rPr>
          <w:rFonts w:ascii="仿宋_GB2312" w:hAnsi="仿宋_GB2312" w:cs="仿宋_GB2312"/>
          <w:snapToGrid/>
          <w:sz w:val="32"/>
          <w:shd w:val="clear" w:color="auto" w:fill="FFFFFF"/>
        </w:rPr>
      </w:pPr>
      <w:r>
        <w:rPr>
          <w:rFonts w:hint="eastAsia" w:ascii="黑体" w:hAnsi="黑体" w:eastAsia="黑体" w:cs="黑体"/>
          <w:snapToGrid/>
          <w:sz w:val="32"/>
          <w:shd w:val="clear" w:color="auto" w:fill="FFFFFF"/>
          <w:lang w:bidi="ar"/>
        </w:rPr>
        <w:t>第十六条　</w:t>
      </w:r>
      <w:r>
        <w:rPr>
          <w:rFonts w:hint="eastAsia" w:ascii="仿宋_GB2312" w:hAnsi="仿宋_GB2312" w:cs="仿宋_GB2312"/>
          <w:snapToGrid/>
          <w:sz w:val="32"/>
          <w:shd w:val="clear" w:color="auto" w:fill="FFFFFF"/>
        </w:rPr>
        <w:t>禁止生产、销售、使用国家明令禁止或者不符合强制性国家标准的农业投入品及其包装物。</w:t>
      </w:r>
    </w:p>
    <w:p>
      <w:pPr>
        <w:pStyle w:val="10"/>
        <w:widowControl/>
        <w:shd w:val="clear" w:color="auto" w:fill="FFFFFF"/>
        <w:spacing w:before="0" w:beforeAutospacing="0" w:after="0" w:afterAutospacing="0" w:line="580" w:lineRule="exact"/>
        <w:ind w:firstLine="720"/>
        <w:jc w:val="both"/>
        <w:rPr>
          <w:rFonts w:ascii="仿宋_GB2312" w:hAnsi="仿宋_GB2312" w:cs="仿宋_GB2312"/>
          <w:snapToGrid/>
          <w:sz w:val="32"/>
          <w:shd w:val="clear" w:color="auto" w:fill="FFFFFF"/>
        </w:rPr>
      </w:pPr>
      <w:r>
        <w:rPr>
          <w:rFonts w:hint="eastAsia" w:ascii="仿宋_GB2312" w:hAnsi="仿宋_GB2312" w:cs="仿宋_GB2312"/>
          <w:snapToGrid/>
          <w:sz w:val="32"/>
          <w:shd w:val="clear" w:color="auto" w:fill="FFFFFF"/>
        </w:rPr>
        <w:t>市、县（区）人民政府农业农村部门应当开展农用地土壤污染防治宣传和技术培训，指导农业生产者合理使用农业投入品，推广测土配方施肥和农用薄膜减量措施，提高耕地质量，保护和改善土壤环境。</w:t>
      </w:r>
    </w:p>
    <w:p>
      <w:pPr>
        <w:pStyle w:val="10"/>
        <w:widowControl/>
        <w:shd w:val="clear" w:color="auto" w:fill="FFFFFF"/>
        <w:spacing w:before="0" w:beforeAutospacing="0" w:after="0" w:afterAutospacing="0" w:line="580" w:lineRule="exact"/>
        <w:ind w:firstLine="720"/>
        <w:jc w:val="both"/>
        <w:rPr>
          <w:rFonts w:ascii="仿宋_GB2312" w:hAnsi="仿宋_GB2312" w:cs="仿宋_GB2312"/>
          <w:snapToGrid/>
          <w:sz w:val="32"/>
          <w:shd w:val="clear" w:color="auto" w:fill="FFFFFF"/>
        </w:rPr>
      </w:pPr>
      <w:r>
        <w:rPr>
          <w:rFonts w:hint="eastAsia" w:ascii="仿宋_GB2312" w:hAnsi="仿宋_GB2312" w:cs="仿宋_GB2312"/>
          <w:snapToGrid/>
          <w:sz w:val="32"/>
          <w:shd w:val="clear" w:color="auto" w:fill="FFFFFF"/>
        </w:rPr>
        <w:t>农业生产者应当严格控制化肥、农用薄膜等农业投入品使用量，按照规定的用药品种、用药量、用药次数、用药方法和安全间隔期施用农药。</w:t>
      </w:r>
    </w:p>
    <w:p>
      <w:pPr>
        <w:pStyle w:val="10"/>
        <w:widowControl/>
        <w:shd w:val="clear" w:color="auto" w:fill="FFFFFF"/>
        <w:spacing w:before="0" w:beforeAutospacing="0" w:after="0" w:afterAutospacing="0" w:line="580" w:lineRule="exact"/>
        <w:ind w:firstLine="640" w:firstLineChars="200"/>
        <w:jc w:val="both"/>
        <w:rPr>
          <w:rFonts w:ascii="仿宋_GB2312" w:hAnsi="仿宋_GB2312" w:cs="仿宋_GB2312"/>
          <w:snapToGrid/>
          <w:sz w:val="32"/>
          <w:shd w:val="clear" w:color="auto" w:fill="FFFFFF"/>
        </w:rPr>
      </w:pPr>
      <w:r>
        <w:rPr>
          <w:rFonts w:hint="eastAsia" w:ascii="黑体" w:hAnsi="黑体" w:eastAsia="黑体" w:cs="黑体"/>
          <w:snapToGrid/>
          <w:sz w:val="32"/>
          <w:shd w:val="clear" w:color="auto" w:fill="FFFFFF"/>
          <w:lang w:bidi="ar"/>
        </w:rPr>
        <w:t>第十七条</w:t>
      </w:r>
      <w:r>
        <w:rPr>
          <w:rFonts w:hint="eastAsia" w:ascii="仿宋_GB2312" w:hAnsi="仿宋_GB2312" w:cs="仿宋_GB2312"/>
          <w:snapToGrid/>
          <w:sz w:val="32"/>
          <w:shd w:val="clear" w:color="auto" w:fill="FFFFFF"/>
        </w:rPr>
        <w:t xml:space="preserve">  市、县（区）人民政府应当合理布局设立农药、兽药、肥料等农业投入品的包装废弃物和农用薄膜回收点，健全回收、贮运和综合利用网络，实施集中无害化处理。</w:t>
      </w:r>
    </w:p>
    <w:p>
      <w:pPr>
        <w:pStyle w:val="10"/>
        <w:widowControl/>
        <w:shd w:val="clear" w:color="auto" w:fill="FFFFFF"/>
        <w:spacing w:before="0" w:beforeAutospacing="0" w:after="0" w:afterAutospacing="0" w:line="580" w:lineRule="exact"/>
        <w:ind w:firstLine="640" w:firstLineChars="200"/>
        <w:jc w:val="both"/>
        <w:rPr>
          <w:rFonts w:ascii="仿宋_GB2312" w:hAnsi="仿宋_GB2312" w:cs="仿宋_GB2312"/>
          <w:snapToGrid/>
          <w:sz w:val="32"/>
          <w:shd w:val="clear" w:color="auto" w:fill="FFFFFF"/>
        </w:rPr>
      </w:pPr>
      <w:r>
        <w:rPr>
          <w:rFonts w:hint="eastAsia" w:ascii="仿宋_GB2312" w:hAnsi="仿宋_GB2312" w:cs="仿宋_GB2312"/>
          <w:snapToGrid/>
          <w:sz w:val="32"/>
          <w:shd w:val="clear" w:color="auto" w:fill="FFFFFF"/>
        </w:rPr>
        <w:t>回收的农业投入品废弃物</w:t>
      </w:r>
      <w:r>
        <w:rPr>
          <w:rFonts w:ascii="仿宋_GB2312" w:hAnsi="仿宋_GB2312" w:cs="仿宋_GB2312"/>
          <w:snapToGrid/>
          <w:sz w:val="32"/>
          <w:shd w:val="clear" w:color="auto" w:fill="FFFFFF"/>
        </w:rPr>
        <w:t>难以明确回收处理责任主体的</w:t>
      </w:r>
      <w:r>
        <w:rPr>
          <w:rFonts w:hint="eastAsia" w:ascii="仿宋_GB2312" w:hAnsi="仿宋_GB2312" w:cs="仿宋_GB2312"/>
          <w:snapToGrid/>
          <w:sz w:val="32"/>
          <w:shd w:val="clear" w:color="auto" w:fill="FFFFFF"/>
        </w:rPr>
        <w:t>，</w:t>
      </w:r>
      <w:r>
        <w:rPr>
          <w:rFonts w:ascii="仿宋_GB2312" w:hAnsi="仿宋_GB2312" w:cs="仿宋_GB2312"/>
          <w:snapToGrid/>
          <w:sz w:val="32"/>
          <w:shd w:val="clear" w:color="auto" w:fill="FFFFFF"/>
        </w:rPr>
        <w:t>回收处理费用</w:t>
      </w:r>
      <w:r>
        <w:rPr>
          <w:rFonts w:hint="eastAsia" w:ascii="仿宋_GB2312" w:hAnsi="仿宋_GB2312" w:cs="仿宋_GB2312"/>
          <w:snapToGrid/>
          <w:sz w:val="32"/>
          <w:shd w:val="clear" w:color="auto" w:fill="FFFFFF"/>
        </w:rPr>
        <w:t>由县（区）人民政府财政列支。</w:t>
      </w:r>
    </w:p>
    <w:p>
      <w:pPr>
        <w:pStyle w:val="10"/>
        <w:widowControl/>
        <w:shd w:val="clear" w:color="auto" w:fill="FFFFFF"/>
        <w:spacing w:before="0" w:beforeAutospacing="0" w:after="0" w:afterAutospacing="0" w:line="580" w:lineRule="exact"/>
        <w:ind w:firstLine="640" w:firstLineChars="200"/>
        <w:jc w:val="both"/>
        <w:rPr>
          <w:rFonts w:ascii="仿宋_GB2312" w:hAnsi="仿宋_GB2312" w:cs="仿宋_GB2312"/>
          <w:snapToGrid/>
          <w:sz w:val="32"/>
          <w:shd w:val="clear" w:color="auto" w:fill="FFFFFF"/>
        </w:rPr>
      </w:pPr>
      <w:r>
        <w:rPr>
          <w:rFonts w:hint="eastAsia" w:ascii="黑体" w:hAnsi="黑体" w:eastAsia="黑体" w:cs="黑体"/>
          <w:snapToGrid/>
          <w:sz w:val="32"/>
          <w:shd w:val="clear" w:color="auto" w:fill="FFFFFF"/>
          <w:lang w:bidi="ar"/>
        </w:rPr>
        <w:t>第十八条　</w:t>
      </w:r>
      <w:r>
        <w:rPr>
          <w:rFonts w:hint="eastAsia" w:ascii="仿宋_GB2312" w:hAnsi="仿宋_GB2312" w:cs="仿宋_GB2312"/>
          <w:snapToGrid/>
          <w:sz w:val="32"/>
          <w:shd w:val="clear" w:color="auto" w:fill="FFFFFF"/>
        </w:rPr>
        <w:t>农业投入品生产者、销售者、使用者应当及时回收农药、兽药、肥料等农业投入品的包装废弃物和农用薄膜，并将农药包装废弃物交由专门机构或者组织进行无害化处理。</w:t>
      </w:r>
    </w:p>
    <w:p>
      <w:pPr>
        <w:pStyle w:val="10"/>
        <w:widowControl/>
        <w:shd w:val="clear" w:color="auto" w:fill="FFFFFF"/>
        <w:spacing w:before="0" w:beforeAutospacing="0" w:after="0" w:afterAutospacing="0" w:line="580" w:lineRule="exact"/>
        <w:ind w:firstLine="640" w:firstLineChars="200"/>
        <w:jc w:val="both"/>
        <w:rPr>
          <w:rFonts w:ascii="仿宋_GB2312" w:hAnsi="仿宋_GB2312" w:cs="仿宋_GB2312"/>
          <w:snapToGrid/>
          <w:sz w:val="32"/>
          <w:shd w:val="clear" w:color="auto" w:fill="FFFFFF"/>
        </w:rPr>
      </w:pPr>
      <w:r>
        <w:rPr>
          <w:rFonts w:hint="eastAsia" w:ascii="仿宋_GB2312" w:hAnsi="仿宋_GB2312" w:cs="仿宋_GB2312"/>
          <w:snapToGrid/>
          <w:sz w:val="32"/>
          <w:shd w:val="clear" w:color="auto" w:fill="FFFFFF"/>
        </w:rPr>
        <w:t>农业投入品使用者应当及时收集田间废弃的非全生物降解农用薄膜和农药、肥料等包装废弃物，并收集清运至农业投入品废弃物回收点，不得随意弃置、掩埋、焚烧或者利用机械设备翻埋于土壤中。</w:t>
      </w:r>
    </w:p>
    <w:p>
      <w:pPr>
        <w:spacing w:line="580" w:lineRule="exact"/>
        <w:ind w:firstLine="640" w:firstLineChars="200"/>
        <w:rPr>
          <w:rFonts w:ascii="仿宋_GB2312" w:hAnsi="仿宋_GB2312" w:cs="仿宋_GB2312"/>
          <w:shd w:val="clear" w:color="auto" w:fill="FFFFFF"/>
        </w:rPr>
      </w:pPr>
      <w:r>
        <w:rPr>
          <w:rFonts w:hint="eastAsia" w:ascii="黑体" w:hAnsi="黑体" w:eastAsia="黑体" w:cs="黑体"/>
          <w:snapToGrid/>
          <w:kern w:val="2"/>
          <w:shd w:val="clear" w:color="auto" w:fill="FFFFFF"/>
        </w:rPr>
        <w:t xml:space="preserve">第十九条  </w:t>
      </w:r>
      <w:r>
        <w:rPr>
          <w:rFonts w:hint="eastAsia" w:ascii="仿宋_GB2312" w:hAnsi="仿宋_GB2312" w:cs="仿宋_GB2312"/>
          <w:snapToGrid/>
          <w:kern w:val="2"/>
          <w:shd w:val="clear" w:color="auto" w:fill="FFFFFF"/>
        </w:rPr>
        <w:t>禁止向农用地排放重金属或者其他有毒有害物质含量超标的污水、污泥，以及可能造成土壤污染的清淤底泥、尾矿、矿渣等。</w:t>
      </w:r>
    </w:p>
    <w:p>
      <w:pPr>
        <w:pStyle w:val="10"/>
        <w:widowControl/>
        <w:shd w:val="clear" w:color="auto" w:fill="FFFFFF"/>
        <w:spacing w:before="0" w:beforeAutospacing="0" w:after="0" w:afterAutospacing="0" w:line="580" w:lineRule="exact"/>
        <w:ind w:firstLine="640" w:firstLineChars="200"/>
        <w:jc w:val="both"/>
        <w:rPr>
          <w:rFonts w:ascii="仿宋_GB2312" w:hAnsi="仿宋_GB2312" w:cs="仿宋_GB2312"/>
          <w:snapToGrid/>
          <w:sz w:val="32"/>
          <w:shd w:val="clear" w:color="auto" w:fill="FFFFFF"/>
          <w:lang w:bidi="ar"/>
        </w:rPr>
      </w:pPr>
      <w:r>
        <w:rPr>
          <w:rFonts w:hint="eastAsia" w:ascii="黑体" w:hAnsi="黑体" w:eastAsia="黑体" w:cs="黑体"/>
          <w:snapToGrid/>
          <w:sz w:val="32"/>
          <w:shd w:val="clear" w:color="auto" w:fill="FFFFFF"/>
        </w:rPr>
        <w:t xml:space="preserve">第二十条 </w:t>
      </w:r>
      <w:r>
        <w:rPr>
          <w:rFonts w:hint="eastAsia" w:ascii="宋体" w:hAnsi="宋体" w:eastAsia="宋体" w:cs="宋体"/>
          <w:snapToGrid/>
          <w:sz w:val="32"/>
          <w:shd w:val="clear" w:color="auto" w:fill="FFFFFF"/>
        </w:rPr>
        <w:t xml:space="preserve"> </w:t>
      </w:r>
      <w:r>
        <w:rPr>
          <w:rFonts w:hint="eastAsia" w:ascii="仿宋_GB2312" w:hAnsi="仿宋_GB2312" w:cs="仿宋_GB2312"/>
          <w:snapToGrid/>
          <w:sz w:val="32"/>
          <w:shd w:val="clear" w:color="auto" w:fill="FFFFFF"/>
          <w:lang w:bidi="ar"/>
        </w:rPr>
        <w:t>市</w:t>
      </w:r>
      <w:r>
        <w:rPr>
          <w:rFonts w:hint="eastAsia" w:ascii="仿宋_GB2312" w:hAnsi="仿宋_GB2312" w:cs="仿宋_GB2312"/>
          <w:snapToGrid/>
          <w:sz w:val="32"/>
          <w:shd w:val="clear" w:color="auto" w:fill="FFFFFF"/>
        </w:rPr>
        <w:t>人民政府</w:t>
      </w:r>
      <w:r>
        <w:rPr>
          <w:rFonts w:hint="eastAsia" w:ascii="仿宋_GB2312" w:hAnsi="仿宋_GB2312" w:cs="仿宋_GB2312"/>
          <w:snapToGrid/>
          <w:sz w:val="32"/>
          <w:shd w:val="clear" w:color="auto" w:fill="FFFFFF"/>
          <w:lang w:bidi="ar"/>
        </w:rPr>
        <w:t>生态环境主管部门应当会同农业农村、水务部门定期监测农田灌溉用水水质，监测报告报同级人民政府并向社会公布。未达到农田灌溉用水水质标准的，</w:t>
      </w:r>
      <w:r>
        <w:rPr>
          <w:rFonts w:hint="eastAsia" w:ascii="仿宋_GB2312" w:hAnsi="仿宋_GB2312" w:cs="仿宋_GB2312"/>
          <w:snapToGrid/>
          <w:sz w:val="32"/>
          <w:shd w:val="clear" w:color="auto" w:fill="FFFFFF"/>
        </w:rPr>
        <w:t>县（区）</w:t>
      </w:r>
      <w:r>
        <w:rPr>
          <w:rFonts w:hint="eastAsia" w:ascii="仿宋_GB2312" w:hAnsi="仿宋_GB2312" w:cs="仿宋_GB2312"/>
          <w:snapToGrid/>
          <w:sz w:val="32"/>
          <w:shd w:val="clear" w:color="auto" w:fill="FFFFFF"/>
          <w:lang w:bidi="ar"/>
        </w:rPr>
        <w:t>人民政府应当采取措施限期予以改善。</w:t>
      </w:r>
    </w:p>
    <w:p>
      <w:pPr>
        <w:pStyle w:val="10"/>
        <w:widowControl/>
        <w:shd w:val="clear" w:color="auto" w:fill="FFFFFF"/>
        <w:spacing w:before="0" w:beforeAutospacing="0" w:after="0" w:afterAutospacing="0" w:line="580" w:lineRule="exact"/>
        <w:ind w:firstLine="640" w:firstLineChars="200"/>
        <w:jc w:val="both"/>
        <w:rPr>
          <w:rFonts w:ascii="仿宋_GB2312" w:hAnsi="仿宋_GB2312" w:cs="仿宋_GB2312"/>
          <w:snapToGrid/>
          <w:sz w:val="32"/>
          <w:shd w:val="clear" w:color="auto" w:fill="FFFFFF"/>
          <w:lang w:bidi="ar"/>
        </w:rPr>
      </w:pPr>
      <w:r>
        <w:rPr>
          <w:rFonts w:hint="eastAsia" w:ascii="仿宋_GB2312" w:hAnsi="仿宋_GB2312" w:cs="仿宋_GB2312"/>
          <w:snapToGrid/>
          <w:sz w:val="32"/>
          <w:shd w:val="clear" w:color="auto" w:fill="FFFFFF"/>
          <w:lang w:bidi="ar"/>
        </w:rPr>
        <w:t>禁止向农田灌溉渠道排放工业废水或者医疗污水。</w:t>
      </w:r>
    </w:p>
    <w:p>
      <w:pPr>
        <w:pStyle w:val="10"/>
        <w:widowControl/>
        <w:shd w:val="clear" w:color="auto" w:fill="FFFFFF"/>
        <w:spacing w:before="0" w:beforeAutospacing="0" w:after="0" w:afterAutospacing="0" w:line="580" w:lineRule="exact"/>
        <w:ind w:firstLine="720"/>
        <w:jc w:val="both"/>
        <w:rPr>
          <w:rFonts w:ascii="仿宋_GB2312" w:hAnsi="仿宋_GB2312" w:cs="仿宋_GB2312"/>
          <w:snapToGrid/>
          <w:sz w:val="32"/>
          <w:shd w:val="clear" w:color="auto" w:fill="FFFFFF"/>
        </w:rPr>
      </w:pPr>
      <w:r>
        <w:rPr>
          <w:rFonts w:hint="eastAsia" w:ascii="黑体" w:hAnsi="黑体" w:eastAsia="黑体" w:cs="黑体"/>
          <w:snapToGrid/>
          <w:sz w:val="32"/>
          <w:shd w:val="clear" w:color="auto" w:fill="FFFFFF"/>
        </w:rPr>
        <w:t xml:space="preserve">第二十一条  </w:t>
      </w:r>
      <w:r>
        <w:rPr>
          <w:rFonts w:hint="eastAsia" w:ascii="仿宋_GB2312" w:hAnsi="仿宋_GB2312" w:cs="仿宋_GB2312"/>
          <w:snapToGrid/>
          <w:sz w:val="32"/>
          <w:shd w:val="clear" w:color="auto" w:fill="FFFFFF"/>
        </w:rPr>
        <w:t>市人民政府生态环境主管部门应当按照国务院和省生态环境主管部门的规定，根据有毒有害物质排放情况，制定土壤污染重点监管单位名录，向社会公示并适时更新。</w:t>
      </w:r>
    </w:p>
    <w:p>
      <w:pPr>
        <w:pStyle w:val="10"/>
        <w:widowControl/>
        <w:shd w:val="clear" w:color="auto" w:fill="FFFFFF"/>
        <w:spacing w:before="0" w:beforeAutospacing="0" w:after="0" w:afterAutospacing="0" w:line="580" w:lineRule="exact"/>
        <w:ind w:firstLine="640" w:firstLineChars="200"/>
        <w:jc w:val="both"/>
        <w:textAlignment w:val="top"/>
        <w:rPr>
          <w:rFonts w:ascii="仿宋_GB2312" w:hAnsi="仿宋_GB2312" w:cs="仿宋_GB2312"/>
          <w:snapToGrid/>
          <w:sz w:val="32"/>
          <w:shd w:val="clear" w:color="auto" w:fill="FFFFFF"/>
        </w:rPr>
      </w:pPr>
      <w:r>
        <w:rPr>
          <w:rFonts w:hint="eastAsia" w:ascii="仿宋_GB2312" w:hAnsi="仿宋_GB2312" w:cs="仿宋_GB2312"/>
          <w:snapToGrid/>
          <w:sz w:val="32"/>
          <w:shd w:val="clear" w:color="auto" w:fill="FFFFFF"/>
        </w:rPr>
        <w:t>有色金属矿采选、有色金属冶炼、石油开采加工、化工、医药、焦化、制革、电镀、危险废物经营、固体废物填埋等行业中纳入排污许可重点管理的企业事业单位，应当列入土壤污染重点监管单位名录。</w:t>
      </w:r>
    </w:p>
    <w:p>
      <w:pPr>
        <w:pStyle w:val="10"/>
        <w:widowControl/>
        <w:shd w:val="clear" w:color="auto" w:fill="FFFFFF"/>
        <w:spacing w:before="0" w:beforeAutospacing="0" w:after="0" w:afterAutospacing="0" w:line="580" w:lineRule="exact"/>
        <w:jc w:val="both"/>
        <w:textAlignment w:val="top"/>
        <w:rPr>
          <w:rFonts w:ascii="仿宋_GB2312" w:hAnsi="仿宋_GB2312" w:cs="仿宋_GB2312"/>
          <w:strike/>
          <w:snapToGrid/>
          <w:sz w:val="32"/>
          <w:shd w:val="clear" w:color="auto" w:fill="FFFFFF"/>
        </w:rPr>
      </w:pPr>
      <w:r>
        <w:rPr>
          <w:rFonts w:hint="eastAsia" w:ascii="仿宋_GB2312" w:hAnsi="仿宋_GB2312" w:cs="仿宋_GB2312"/>
          <w:snapToGrid/>
          <w:sz w:val="32"/>
          <w:shd w:val="clear" w:color="auto" w:fill="FFFFFF"/>
        </w:rPr>
        <w:t>　　市人民政府生态环境主管部门应当定期对名录内单位周边土壤污染状况进行监测，并将监测数据及时上传土壤环境信息平台。</w:t>
      </w:r>
    </w:p>
    <w:p>
      <w:pPr>
        <w:pStyle w:val="10"/>
        <w:widowControl/>
        <w:shd w:val="clear" w:color="auto" w:fill="FFFFFF"/>
        <w:spacing w:before="0" w:beforeAutospacing="0" w:after="0" w:afterAutospacing="0" w:line="580" w:lineRule="exact"/>
        <w:ind w:firstLine="720"/>
        <w:jc w:val="both"/>
        <w:rPr>
          <w:rFonts w:ascii="仿宋_GB2312" w:hAnsi="仿宋_GB2312" w:cs="仿宋_GB2312"/>
          <w:snapToGrid/>
          <w:sz w:val="32"/>
          <w:shd w:val="clear" w:color="auto" w:fill="FFFFFF"/>
        </w:rPr>
      </w:pPr>
      <w:r>
        <w:rPr>
          <w:rFonts w:hint="eastAsia" w:ascii="黑体" w:hAnsi="黑体" w:eastAsia="黑体" w:cs="黑体"/>
          <w:snapToGrid/>
          <w:sz w:val="32"/>
          <w:shd w:val="clear" w:color="auto" w:fill="FFFFFF"/>
        </w:rPr>
        <w:t>第二十二条</w:t>
      </w:r>
      <w:r>
        <w:rPr>
          <w:rFonts w:hint="eastAsia" w:ascii="仿宋_GB2312" w:hAnsi="仿宋_GB2312" w:cs="仿宋_GB2312"/>
          <w:snapToGrid/>
          <w:sz w:val="32"/>
          <w:shd w:val="clear" w:color="auto" w:fill="FFFFFF"/>
        </w:rPr>
        <w:t xml:space="preserve">  土壤污染重点监管单位应当建立有毒有害污染物管理制度，严格控制有毒有害物质排放，并按年度向市人民政府生态环境主管部门提交有毒有害物质排放报告。</w:t>
      </w:r>
    </w:p>
    <w:p>
      <w:pPr>
        <w:pStyle w:val="10"/>
        <w:widowControl/>
        <w:shd w:val="clear" w:color="auto" w:fill="FFFFFF"/>
        <w:spacing w:before="0" w:beforeAutospacing="0" w:after="0" w:afterAutospacing="0" w:line="580" w:lineRule="exact"/>
        <w:ind w:firstLine="640" w:firstLineChars="200"/>
        <w:jc w:val="both"/>
        <w:rPr>
          <w:rFonts w:ascii="仿宋_GB2312" w:hAnsi="仿宋_GB2312" w:cs="仿宋_GB2312"/>
          <w:snapToGrid/>
          <w:sz w:val="32"/>
          <w:shd w:val="clear" w:color="auto" w:fill="FFFFFF"/>
        </w:rPr>
      </w:pPr>
      <w:r>
        <w:rPr>
          <w:rFonts w:hint="eastAsia" w:ascii="仿宋_GB2312" w:hAnsi="仿宋_GB2312" w:cs="仿宋_GB2312"/>
          <w:snapToGrid/>
          <w:sz w:val="32"/>
          <w:shd w:val="clear" w:color="auto" w:fill="FFFFFF"/>
        </w:rPr>
        <w:t xml:space="preserve">土壤污染重点监管单位建设涉及有毒有害物质的生产装置、储罐和管道，或者建设污水处理池、应急池等存在土壤污染风险的设施，应当按照有关标准和规范的要求，设计、建设和安装有关防腐蚀、防渗漏设施和泄漏监测装置，防止污染土壤和地下水。    </w:t>
      </w:r>
    </w:p>
    <w:p>
      <w:pPr>
        <w:pStyle w:val="10"/>
        <w:widowControl/>
        <w:shd w:val="clear" w:color="auto" w:fill="FFFFFF"/>
        <w:spacing w:before="0" w:beforeAutospacing="0" w:after="0" w:afterAutospacing="0" w:line="580" w:lineRule="exact"/>
        <w:ind w:firstLine="720"/>
        <w:jc w:val="both"/>
        <w:rPr>
          <w:rFonts w:ascii="仿宋_GB2312" w:hAnsi="仿宋_GB2312" w:cs="仿宋_GB2312"/>
          <w:snapToGrid/>
          <w:sz w:val="32"/>
          <w:shd w:val="clear" w:color="auto" w:fill="FFFFFF"/>
        </w:rPr>
      </w:pPr>
      <w:r>
        <w:rPr>
          <w:rFonts w:hint="eastAsia" w:ascii="仿宋_GB2312" w:hAnsi="仿宋_GB2312" w:cs="仿宋_GB2312"/>
          <w:snapToGrid/>
          <w:sz w:val="32"/>
          <w:shd w:val="clear" w:color="auto" w:fill="FFFFFF"/>
        </w:rPr>
        <w:t>产生危险废物的土壤污染重点监管单位，应当按照有关规定和环境保护标准要求贮存、利用、处置危险废物，不得擅自倾倒、堆放、填埋，防止污染土壤和地下水。</w:t>
      </w:r>
    </w:p>
    <w:p>
      <w:pPr>
        <w:pStyle w:val="10"/>
        <w:widowControl/>
        <w:shd w:val="clear" w:color="auto" w:fill="FFFFFF"/>
        <w:spacing w:before="0" w:beforeAutospacing="0" w:after="0" w:afterAutospacing="0" w:line="580" w:lineRule="exact"/>
        <w:ind w:firstLine="720"/>
        <w:jc w:val="both"/>
        <w:rPr>
          <w:rFonts w:ascii="仿宋_GB2312" w:hAnsi="仿宋_GB2312" w:cs="仿宋_GB2312"/>
          <w:snapToGrid/>
          <w:sz w:val="32"/>
          <w:shd w:val="clear" w:color="auto" w:fill="FFFFFF"/>
        </w:rPr>
      </w:pPr>
      <w:r>
        <w:rPr>
          <w:rFonts w:hint="eastAsia" w:ascii="黑体" w:hAnsi="黑体" w:eastAsia="黑体" w:cs="黑体"/>
          <w:snapToGrid/>
          <w:sz w:val="32"/>
          <w:shd w:val="clear" w:color="auto" w:fill="FFFFFF"/>
        </w:rPr>
        <w:t xml:space="preserve">第二十三条  </w:t>
      </w:r>
      <w:r>
        <w:rPr>
          <w:rFonts w:hint="eastAsia" w:ascii="仿宋_GB2312" w:hAnsi="仿宋_GB2312" w:cs="仿宋_GB2312"/>
          <w:snapToGrid/>
          <w:sz w:val="32"/>
          <w:shd w:val="clear" w:color="auto" w:fill="FFFFFF"/>
        </w:rPr>
        <w:t>土壤污染重点监管单位应当建立土壤污染隐患排查制度，每季度对重点区域、重点设施开展土壤污染隐患排查，防止有毒有害物质渗漏、流失、扬散。发现污染隐患的，应当立即制定整改方案，及时采取技术、管理等措施消除隐患。</w:t>
      </w:r>
    </w:p>
    <w:p>
      <w:pPr>
        <w:pStyle w:val="10"/>
        <w:widowControl/>
        <w:shd w:val="clear" w:color="auto" w:fill="FFFFFF"/>
        <w:spacing w:before="0" w:beforeAutospacing="0" w:after="0" w:afterAutospacing="0" w:line="580" w:lineRule="exact"/>
        <w:ind w:firstLine="720"/>
        <w:jc w:val="both"/>
        <w:rPr>
          <w:rFonts w:ascii="仿宋_GB2312" w:hAnsi="仿宋_GB2312" w:cs="仿宋_GB2312"/>
          <w:snapToGrid/>
          <w:sz w:val="32"/>
          <w:shd w:val="clear" w:color="auto" w:fill="FFFFFF"/>
        </w:rPr>
      </w:pPr>
      <w:r>
        <w:rPr>
          <w:rFonts w:hint="eastAsia" w:ascii="黑体" w:hAnsi="黑体" w:eastAsia="黑体" w:cs="黑体"/>
          <w:snapToGrid/>
          <w:sz w:val="32"/>
          <w:shd w:val="clear" w:color="auto" w:fill="FFFFFF"/>
        </w:rPr>
        <w:t xml:space="preserve">第二十四条  </w:t>
      </w:r>
      <w:r>
        <w:rPr>
          <w:rFonts w:hint="eastAsia" w:ascii="仿宋_GB2312" w:hAnsi="仿宋_GB2312" w:cs="仿宋_GB2312"/>
          <w:snapToGrid/>
          <w:sz w:val="32"/>
          <w:shd w:val="clear" w:color="auto" w:fill="FFFFFF"/>
        </w:rPr>
        <w:t>土壤污染重点监管单位应当建立自行监测制度，制定年度自行监测方案，并按照自行监测方案和监测规范，对其用地土壤环境每年至少进行一次监测；对地下水环境每年至少在枯水期和丰水期分别进行一次监测。监测报告报市人民政府生态环境主管部门，并向社会公示。</w:t>
      </w:r>
    </w:p>
    <w:p>
      <w:pPr>
        <w:pStyle w:val="10"/>
        <w:widowControl/>
        <w:shd w:val="clear" w:color="auto" w:fill="FFFFFF"/>
        <w:spacing w:before="0" w:beforeAutospacing="0" w:after="0" w:afterAutospacing="0" w:line="580" w:lineRule="exact"/>
        <w:ind w:firstLine="720"/>
        <w:jc w:val="both"/>
        <w:rPr>
          <w:rFonts w:ascii="仿宋_GB2312" w:hAnsi="仿宋_GB2312" w:cs="仿宋_GB2312"/>
          <w:snapToGrid/>
          <w:sz w:val="32"/>
          <w:shd w:val="clear" w:color="auto" w:fill="FFFFFF"/>
          <w:lang w:val="zh-CN"/>
        </w:rPr>
      </w:pPr>
      <w:r>
        <w:rPr>
          <w:rFonts w:hint="eastAsia" w:ascii="仿宋_GB2312" w:hAnsi="仿宋_GB2312" w:cs="仿宋_GB2312"/>
          <w:snapToGrid/>
          <w:sz w:val="32"/>
          <w:shd w:val="clear" w:color="auto" w:fill="FFFFFF"/>
          <w:lang w:val="zh-CN"/>
        </w:rPr>
        <w:t>土壤污染重点监管单位可以自行监测，也可以委托第三方机构实施监测，并对监测数据的真实性、完整性、准确性负责。市人民政府生态环境主管部门发现监测数据异常的，应当及时进行调查处理。</w:t>
      </w:r>
    </w:p>
    <w:p>
      <w:pPr>
        <w:pStyle w:val="10"/>
        <w:widowControl/>
        <w:shd w:val="clear" w:color="auto" w:fill="FFFFFF"/>
        <w:spacing w:before="0" w:beforeAutospacing="0" w:after="0" w:afterAutospacing="0" w:line="580" w:lineRule="exact"/>
        <w:ind w:firstLine="720"/>
        <w:jc w:val="both"/>
        <w:rPr>
          <w:rFonts w:ascii="仿宋_GB2312" w:hAnsi="仿宋_GB2312" w:cs="仿宋_GB2312"/>
          <w:snapToGrid/>
          <w:sz w:val="32"/>
          <w:shd w:val="clear" w:color="auto" w:fill="FFFFFF"/>
        </w:rPr>
      </w:pPr>
      <w:r>
        <w:rPr>
          <w:rFonts w:hint="eastAsia" w:ascii="黑体" w:hAnsi="黑体" w:eastAsia="黑体" w:cs="黑体"/>
          <w:snapToGrid/>
          <w:sz w:val="32"/>
          <w:shd w:val="clear" w:color="auto" w:fill="FFFFFF"/>
        </w:rPr>
        <w:t xml:space="preserve">第二十五条  </w:t>
      </w:r>
      <w:r>
        <w:rPr>
          <w:rFonts w:hint="eastAsia" w:ascii="仿宋_GB2312" w:hAnsi="仿宋_GB2312" w:cs="仿宋_GB2312"/>
          <w:snapToGrid/>
          <w:sz w:val="32"/>
          <w:lang w:val="zh-CN"/>
        </w:rPr>
        <w:t>土壤污染重点监管单位应当制定突发环境事件应急预案并按照相关法律法规和标准规范的要求备案、演练。</w:t>
      </w:r>
    </w:p>
    <w:p>
      <w:pPr>
        <w:pStyle w:val="10"/>
        <w:widowControl/>
        <w:shd w:val="clear" w:color="auto" w:fill="FFFFFF"/>
        <w:spacing w:before="0" w:beforeAutospacing="0" w:after="0" w:afterAutospacing="0" w:line="580" w:lineRule="exact"/>
        <w:ind w:firstLine="720"/>
        <w:jc w:val="both"/>
        <w:rPr>
          <w:rFonts w:ascii="仿宋_GB2312" w:hAnsi="仿宋_GB2312" w:cs="仿宋_GB2312"/>
          <w:snapToGrid/>
          <w:sz w:val="32"/>
        </w:rPr>
      </w:pPr>
      <w:r>
        <w:rPr>
          <w:rFonts w:hint="eastAsia" w:ascii="黑体" w:hAnsi="黑体" w:eastAsia="黑体" w:cs="黑体"/>
          <w:snapToGrid/>
          <w:sz w:val="32"/>
          <w:shd w:val="clear" w:color="auto" w:fill="FFFFFF"/>
        </w:rPr>
        <w:t xml:space="preserve">第二十六条 </w:t>
      </w:r>
      <w:r>
        <w:rPr>
          <w:rFonts w:hint="eastAsia" w:ascii="仿宋_GB2312" w:hAnsi="仿宋_GB2312" w:cs="仿宋_GB2312"/>
          <w:snapToGrid/>
          <w:sz w:val="32"/>
        </w:rPr>
        <w:t xml:space="preserve"> 企业事业单位拆除设施、设备或者建筑物、构筑物，可能造成二次污染的，应当采取相应的防渗漏、污染物收集等防治措施。</w:t>
      </w:r>
    </w:p>
    <w:p>
      <w:pPr>
        <w:pStyle w:val="10"/>
        <w:widowControl/>
        <w:shd w:val="clear" w:color="auto" w:fill="FFFFFF"/>
        <w:spacing w:before="0" w:beforeAutospacing="0" w:after="0" w:afterAutospacing="0" w:line="580" w:lineRule="exact"/>
        <w:ind w:firstLine="720"/>
        <w:jc w:val="both"/>
        <w:rPr>
          <w:rFonts w:ascii="仿宋_GB2312" w:hAnsi="仿宋_GB2312" w:cs="仿宋_GB2312"/>
          <w:snapToGrid/>
          <w:sz w:val="32"/>
        </w:rPr>
      </w:pPr>
      <w:r>
        <w:rPr>
          <w:rFonts w:hint="eastAsia" w:ascii="仿宋_GB2312" w:hAnsi="仿宋_GB2312" w:cs="仿宋_GB2312"/>
          <w:snapToGrid/>
          <w:sz w:val="32"/>
        </w:rPr>
        <w:t>土壤污染重点监管单位拆除设施、设备或者建筑物、构筑物的，应当制定、实施土壤污染防治工作方案，并在拆除活动十五个工作日前报所在地人民政府生态环境、工业和信息化部门备案。</w:t>
      </w:r>
    </w:p>
    <w:p>
      <w:pPr>
        <w:pStyle w:val="10"/>
        <w:widowControl/>
        <w:shd w:val="clear" w:color="auto" w:fill="FFFFFF"/>
        <w:spacing w:before="0" w:beforeAutospacing="0" w:after="0" w:afterAutospacing="0" w:line="580" w:lineRule="exact"/>
        <w:ind w:firstLine="720"/>
        <w:jc w:val="both"/>
        <w:rPr>
          <w:rFonts w:ascii="仿宋_GB2312" w:hAnsi="仿宋_GB2312" w:cs="仿宋_GB2312"/>
          <w:snapToGrid/>
          <w:sz w:val="32"/>
        </w:rPr>
      </w:pPr>
      <w:r>
        <w:rPr>
          <w:rFonts w:hint="eastAsia" w:ascii="仿宋_GB2312" w:hAnsi="仿宋_GB2312" w:cs="仿宋_GB2312"/>
          <w:snapToGrid/>
          <w:sz w:val="32"/>
        </w:rPr>
        <w:t>土壤污染防治工作方案应当包括被拆除设施、设备或者建筑物、构筑物的基本情况，残留污染物清理、安全处置以及应急措施，土壤污染防治技术要求和对周边环境的污染防治要求等内容。</w:t>
      </w:r>
    </w:p>
    <w:p>
      <w:pPr>
        <w:pStyle w:val="10"/>
        <w:widowControl/>
        <w:shd w:val="clear" w:color="auto" w:fill="FFFFFF"/>
        <w:spacing w:before="0" w:beforeAutospacing="0" w:after="0" w:afterAutospacing="0" w:line="580" w:lineRule="exact"/>
        <w:ind w:firstLine="640" w:firstLineChars="200"/>
        <w:rPr>
          <w:rFonts w:ascii="仿宋_GB2312" w:hAnsi="仿宋_GB2312" w:cs="仿宋_GB2312"/>
          <w:snapToGrid/>
          <w:color w:val="000000"/>
          <w:sz w:val="32"/>
        </w:rPr>
      </w:pPr>
      <w:r>
        <w:rPr>
          <w:rFonts w:hint="eastAsia" w:ascii="黑体" w:hAnsi="黑体" w:eastAsia="黑体" w:cs="黑体"/>
          <w:snapToGrid/>
          <w:color w:val="000000"/>
          <w:sz w:val="32"/>
          <w:shd w:val="clear" w:color="auto" w:fill="FFFFFF"/>
        </w:rPr>
        <w:t>第二十七条</w:t>
      </w:r>
      <w:r>
        <w:rPr>
          <w:rFonts w:hint="eastAsia" w:ascii="仿宋_GB2312" w:hAnsi="仿宋_GB2312" w:cs="仿宋_GB2312"/>
          <w:snapToGrid/>
          <w:color w:val="000000"/>
          <w:sz w:val="32"/>
          <w:shd w:val="clear" w:color="auto" w:fill="FFFFFF"/>
        </w:rPr>
        <w:t>　市、县（区）人民政府及其有关部门应当合理布局废旧物回收网点和交易市场，引导废旧电器电子产品、电池、车船、轮胎、塑料等回收利用项目按照规定进入相应产业园区。废旧物回收网点和交易市场应当符合环境保护、安全和消防等规定。</w:t>
      </w:r>
    </w:p>
    <w:p>
      <w:pPr>
        <w:pStyle w:val="10"/>
        <w:widowControl/>
        <w:shd w:val="clear" w:color="auto" w:fill="FFFFFF"/>
        <w:spacing w:before="0" w:beforeAutospacing="0" w:after="0" w:afterAutospacing="0" w:line="580" w:lineRule="exact"/>
        <w:ind w:firstLine="720"/>
        <w:jc w:val="both"/>
        <w:rPr>
          <w:rFonts w:ascii="仿宋_GB2312" w:hAnsi="仿宋_GB2312" w:cs="仿宋_GB2312"/>
          <w:snapToGrid/>
          <w:color w:val="000000"/>
          <w:sz w:val="32"/>
          <w:shd w:val="clear" w:color="auto" w:fill="FFFFFF"/>
        </w:rPr>
      </w:pPr>
      <w:r>
        <w:rPr>
          <w:rFonts w:hint="eastAsia" w:ascii="仿宋_GB2312" w:hAnsi="仿宋_GB2312" w:cs="仿宋_GB2312"/>
          <w:snapToGrid/>
          <w:color w:val="000000"/>
          <w:sz w:val="32"/>
          <w:shd w:val="clear" w:color="auto" w:fill="FFFFFF"/>
        </w:rPr>
        <w:t>从事废旧电器电子产品、电池、车船、轮胎、塑料等回收利用的单位和个人，应当采取预防土壤污染的措施，不得采用国家明令淘汰或者禁止使用的回收利用技术、工艺和有毒有害物质。</w:t>
      </w:r>
    </w:p>
    <w:p>
      <w:pPr>
        <w:spacing w:line="580" w:lineRule="exact"/>
        <w:ind w:firstLine="640" w:firstLineChars="200"/>
        <w:rPr>
          <w:rFonts w:ascii="仿宋_GB2312"/>
        </w:rPr>
      </w:pPr>
      <w:r>
        <w:rPr>
          <w:rFonts w:hint="eastAsia" w:ascii="黑体" w:hAnsi="黑体" w:eastAsia="黑体" w:cs="黑体"/>
          <w:snapToGrid/>
          <w:shd w:val="clear" w:color="auto" w:fill="FFFFFF"/>
          <w:lang w:bidi="ar"/>
        </w:rPr>
        <w:t xml:space="preserve">第二十八条  </w:t>
      </w:r>
      <w:r>
        <w:rPr>
          <w:rFonts w:hint="eastAsia" w:ascii="仿宋_GB2312" w:hAnsi="Calibri" w:cs="Calibri"/>
          <w:snapToGrid/>
          <w:kern w:val="2"/>
        </w:rPr>
        <w:t>建设用地地块有以下情形之一的，市人民政府生态环境主管部门应当要求土地使用权人依法开展土壤污染状况调查：</w:t>
      </w:r>
    </w:p>
    <w:p>
      <w:pPr>
        <w:spacing w:line="580" w:lineRule="exact"/>
        <w:ind w:firstLine="640" w:firstLineChars="200"/>
        <w:rPr>
          <w:rFonts w:ascii="仿宋_GB2312"/>
        </w:rPr>
      </w:pPr>
      <w:r>
        <w:rPr>
          <w:rFonts w:hint="eastAsia" w:ascii="仿宋_GB2312" w:hAnsi="Calibri" w:cs="Calibri"/>
          <w:snapToGrid/>
          <w:kern w:val="2"/>
        </w:rPr>
        <w:t>（一）土壤污染状况普查、详查和监测、现场检查表明有土壤污染风险的；</w:t>
      </w:r>
    </w:p>
    <w:p>
      <w:pPr>
        <w:spacing w:line="580" w:lineRule="exact"/>
        <w:ind w:firstLine="640" w:firstLineChars="200"/>
        <w:rPr>
          <w:rFonts w:ascii="仿宋_GB2312"/>
        </w:rPr>
      </w:pPr>
      <w:r>
        <w:rPr>
          <w:rFonts w:hint="eastAsia" w:ascii="仿宋_GB2312" w:hAnsi="Calibri" w:cs="Calibri"/>
          <w:snapToGrid/>
          <w:kern w:val="2"/>
        </w:rPr>
        <w:t>（二）土壤污染重点监管单位的生产经营用地用途拟变更或者土地使用权拟收回、转让的；</w:t>
      </w:r>
    </w:p>
    <w:p>
      <w:pPr>
        <w:spacing w:line="580" w:lineRule="exact"/>
        <w:ind w:firstLine="640" w:firstLineChars="200"/>
        <w:rPr>
          <w:rFonts w:ascii="仿宋_GB2312"/>
        </w:rPr>
      </w:pPr>
      <w:r>
        <w:rPr>
          <w:rFonts w:hint="eastAsia" w:ascii="仿宋_GB2312" w:hAnsi="Calibri" w:cs="Calibri"/>
          <w:snapToGrid/>
          <w:kern w:val="2"/>
        </w:rPr>
        <w:t>（三）法律法规规定的其他情形。</w:t>
      </w:r>
    </w:p>
    <w:p>
      <w:pPr>
        <w:spacing w:line="580" w:lineRule="exact"/>
        <w:ind w:firstLine="640" w:firstLineChars="200"/>
        <w:rPr>
          <w:rFonts w:ascii="仿宋_GB2312"/>
        </w:rPr>
      </w:pPr>
      <w:r>
        <w:rPr>
          <w:rFonts w:hint="eastAsia" w:ascii="仿宋_GB2312" w:hAnsi="Calibri" w:cs="Calibri"/>
          <w:snapToGrid/>
          <w:kern w:val="2"/>
        </w:rPr>
        <w:t>用途变更为住宅、公共管理与公共服务用地的，变更前应当按照规定进行土壤污染状况调查。</w:t>
      </w:r>
    </w:p>
    <w:p>
      <w:pPr>
        <w:spacing w:line="580" w:lineRule="exact"/>
        <w:ind w:firstLine="640" w:firstLineChars="200"/>
        <w:rPr>
          <w:rFonts w:ascii="仿宋_GB2312" w:hAnsi="宋体"/>
        </w:rPr>
      </w:pPr>
      <w:r>
        <w:rPr>
          <w:rFonts w:hint="eastAsia" w:ascii="黑体" w:hAnsi="黑体" w:eastAsia="黑体" w:cs="黑体"/>
          <w:snapToGrid/>
          <w:shd w:val="clear" w:color="auto" w:fill="FFFFFF"/>
          <w:lang w:bidi="ar"/>
        </w:rPr>
        <w:t xml:space="preserve">第二十九条  </w:t>
      </w:r>
      <w:r>
        <w:rPr>
          <w:rFonts w:hint="eastAsia" w:ascii="仿宋_GB2312" w:hAnsi="宋体" w:cs="Calibri"/>
          <w:snapToGrid/>
          <w:kern w:val="2"/>
        </w:rPr>
        <w:t>市人民政府生态环境主管部门、自然资源和规划部门应当建立巡查制度，采取定期巡查、不定期抽查形式，加强过程监管，发现未达到土壤污染风险管控、修复目标的建设用地开工建设任何与风险管控、修复无关项目的，依法进行处理。</w:t>
      </w:r>
    </w:p>
    <w:p>
      <w:pPr>
        <w:spacing w:line="580" w:lineRule="exact"/>
        <w:ind w:firstLine="640" w:firstLineChars="200"/>
        <w:rPr>
          <w:rFonts w:ascii="仿宋_GB2312" w:hAnsi="宋体"/>
        </w:rPr>
      </w:pPr>
      <w:r>
        <w:rPr>
          <w:rFonts w:hint="eastAsia" w:ascii="黑体" w:hAnsi="黑体" w:eastAsia="黑体" w:cs="黑体"/>
          <w:snapToGrid/>
          <w:shd w:val="clear" w:color="auto" w:fill="FFFFFF"/>
          <w:lang w:bidi="ar"/>
        </w:rPr>
        <w:t>第三十条　</w:t>
      </w:r>
      <w:r>
        <w:rPr>
          <w:rFonts w:hint="eastAsia" w:ascii="仿宋_GB2312" w:hAnsi="宋体" w:cs="Calibri"/>
          <w:snapToGrid/>
          <w:kern w:val="2"/>
        </w:rPr>
        <w:t>市人民政府生态环境主管部门及其环境执法机构和其他负有土壤污染防治监督管理职责的部门，有权对从事可能造成土壤污染活动的企业事业单位和其他生产经营者进行现场检查、取样，要求被检查者提供有关资料、就有关问题作出说明。</w:t>
      </w:r>
    </w:p>
    <w:p>
      <w:pPr>
        <w:spacing w:line="580" w:lineRule="exact"/>
        <w:ind w:firstLine="640" w:firstLineChars="200"/>
        <w:rPr>
          <w:rFonts w:ascii="仿宋_GB2312" w:hAnsi="宋体"/>
        </w:rPr>
      </w:pPr>
      <w:r>
        <w:rPr>
          <w:rFonts w:hint="eastAsia" w:ascii="仿宋_GB2312" w:hAnsi="宋体" w:cs="Calibri"/>
          <w:snapToGrid/>
          <w:kern w:val="2"/>
        </w:rPr>
        <w:t>被检查者应当配合检查工作，如实反映情况，提供必要的资料。</w:t>
      </w:r>
    </w:p>
    <w:p>
      <w:pPr>
        <w:spacing w:line="580" w:lineRule="exact"/>
        <w:ind w:firstLine="640" w:firstLineChars="200"/>
        <w:rPr>
          <w:sz w:val="21"/>
          <w:szCs w:val="24"/>
        </w:rPr>
      </w:pPr>
      <w:r>
        <w:rPr>
          <w:rFonts w:hint="eastAsia" w:ascii="仿宋_GB2312" w:hAnsi="宋体" w:cs="Calibri"/>
          <w:snapToGrid/>
          <w:kern w:val="2"/>
        </w:rPr>
        <w:t>实施现场检查的部门、机构及其工作人员应当为被检查者保守商业秘密。</w:t>
      </w:r>
    </w:p>
    <w:p>
      <w:pPr>
        <w:pStyle w:val="10"/>
        <w:widowControl/>
        <w:shd w:val="clear" w:color="auto" w:fill="FFFFFF"/>
        <w:spacing w:before="0" w:beforeAutospacing="0" w:after="0" w:afterAutospacing="0" w:line="580" w:lineRule="exact"/>
        <w:rPr>
          <w:rFonts w:ascii="黑体" w:hAnsi="黑体" w:eastAsia="黑体" w:cs="黑体"/>
          <w:snapToGrid/>
          <w:sz w:val="32"/>
          <w:shd w:val="clear" w:color="auto" w:fill="FFFFFF"/>
        </w:rPr>
      </w:pPr>
    </w:p>
    <w:p>
      <w:pPr>
        <w:pStyle w:val="10"/>
        <w:widowControl/>
        <w:shd w:val="clear" w:color="auto" w:fill="FFFFFF"/>
        <w:spacing w:before="0" w:beforeAutospacing="0" w:after="0" w:afterAutospacing="0" w:line="580" w:lineRule="exact"/>
        <w:jc w:val="center"/>
        <w:rPr>
          <w:rFonts w:ascii="黑体" w:hAnsi="黑体" w:eastAsia="黑体" w:cs="黑体"/>
          <w:snapToGrid/>
          <w:sz w:val="32"/>
          <w:shd w:val="clear" w:color="auto" w:fill="FFFFFF"/>
        </w:rPr>
      </w:pPr>
      <w:r>
        <w:rPr>
          <w:rFonts w:hint="eastAsia" w:ascii="黑体" w:hAnsi="黑体" w:eastAsia="黑体" w:cs="黑体"/>
          <w:snapToGrid/>
          <w:sz w:val="32"/>
          <w:shd w:val="clear" w:color="auto" w:fill="FFFFFF"/>
        </w:rPr>
        <w:t>第四章  法律责任</w:t>
      </w:r>
    </w:p>
    <w:p>
      <w:pPr>
        <w:spacing w:line="580" w:lineRule="exact"/>
        <w:ind w:firstLine="640" w:firstLineChars="200"/>
        <w:rPr>
          <w:rFonts w:ascii="黑体" w:hAnsi="黑体" w:eastAsia="黑体" w:cs="黑体"/>
          <w:shd w:val="clear" w:color="auto" w:fill="FFFFFF"/>
          <w:lang w:bidi="ar"/>
        </w:rPr>
      </w:pPr>
    </w:p>
    <w:p>
      <w:pPr>
        <w:spacing w:line="580" w:lineRule="exact"/>
        <w:ind w:firstLine="640" w:firstLineChars="200"/>
        <w:rPr>
          <w:rFonts w:ascii="黑体" w:hAnsi="黑体" w:eastAsia="黑体" w:cs="黑体"/>
          <w:shd w:val="clear" w:color="auto" w:fill="FFFFFF"/>
          <w:lang w:bidi="ar"/>
        </w:rPr>
      </w:pPr>
      <w:r>
        <w:rPr>
          <w:rFonts w:hint="eastAsia" w:ascii="黑体" w:hAnsi="黑体" w:eastAsia="黑体" w:cs="黑体"/>
          <w:snapToGrid/>
          <w:shd w:val="clear" w:color="auto" w:fill="FFFFFF"/>
          <w:lang w:bidi="ar"/>
        </w:rPr>
        <w:t xml:space="preserve">第三十一条  </w:t>
      </w:r>
      <w:r>
        <w:rPr>
          <w:rFonts w:hint="eastAsia" w:ascii="仿宋_GB2312" w:hAnsi="Calibri" w:cs="Calibri"/>
          <w:snapToGrid/>
          <w:kern w:val="2"/>
        </w:rPr>
        <w:t>违反本条例规定的行为，法律、法规已经规定法律责任的，适用其规定。</w:t>
      </w:r>
    </w:p>
    <w:p>
      <w:pPr>
        <w:spacing w:line="580" w:lineRule="exact"/>
        <w:ind w:firstLine="640" w:firstLineChars="200"/>
        <w:rPr>
          <w:rFonts w:ascii="仿宋_GB2312"/>
        </w:rPr>
      </w:pPr>
      <w:r>
        <w:rPr>
          <w:rFonts w:hint="eastAsia" w:ascii="黑体" w:hAnsi="黑体" w:eastAsia="黑体" w:cs="黑体"/>
          <w:snapToGrid/>
          <w:shd w:val="clear" w:color="auto" w:fill="FFFFFF"/>
          <w:lang w:bidi="ar"/>
        </w:rPr>
        <w:t xml:space="preserve">第三十二条  </w:t>
      </w:r>
      <w:r>
        <w:rPr>
          <w:rFonts w:hint="eastAsia" w:ascii="仿宋_GB2312" w:hAnsi="Calibri" w:cs="Calibri"/>
          <w:snapToGrid/>
          <w:kern w:val="2"/>
        </w:rPr>
        <w:t>本市各级人民政府、生态环境主管部门和其他负有土壤污染防治监督管理职责的部门在土壤污染防治工作中，有滥用职权、玩忽职守、徇私舞弊行为的，对直接负责的主管人员和其他直接责任人员依法给予处分。</w:t>
      </w:r>
    </w:p>
    <w:p>
      <w:pPr>
        <w:spacing w:line="580" w:lineRule="exact"/>
        <w:ind w:firstLine="640" w:firstLineChars="200"/>
        <w:rPr>
          <w:rFonts w:ascii="仿宋_GB2312"/>
        </w:rPr>
      </w:pPr>
      <w:r>
        <w:rPr>
          <w:rFonts w:hint="eastAsia" w:ascii="黑体" w:hAnsi="黑体" w:eastAsia="黑体" w:cs="黑体"/>
          <w:snapToGrid/>
          <w:shd w:val="clear" w:color="auto" w:fill="FFFFFF"/>
          <w:lang w:bidi="ar"/>
        </w:rPr>
        <w:t>第三十三条</w:t>
      </w:r>
      <w:r>
        <w:rPr>
          <w:rFonts w:hint="eastAsia" w:ascii="仿宋_GB2312" w:hAnsi="Calibri" w:cs="Calibri"/>
          <w:snapToGrid/>
          <w:kern w:val="2"/>
        </w:rPr>
        <w:t>   违反本条例规定，被检查者拒不配合检查，或者在接受检查时弄虚作假的，由市人民政府生态环境主管部门或者其他负有土壤污染防治监督管理职责的部门责令改正，处二万元以上二十万元以下的罚款；对直接负责的主管人员和其他直接责任人员处五千元以上二万元以下的罚款。</w:t>
      </w:r>
    </w:p>
    <w:p>
      <w:pPr>
        <w:spacing w:line="580" w:lineRule="exact"/>
        <w:ind w:firstLine="640" w:firstLineChars="200"/>
        <w:rPr>
          <w:rFonts w:ascii="黑体" w:hAnsi="黑体" w:eastAsia="黑体" w:cs="黑体"/>
          <w:shd w:val="clear" w:color="auto" w:fill="FFFFFF"/>
        </w:rPr>
      </w:pPr>
      <w:r>
        <w:rPr>
          <w:rFonts w:hint="eastAsia" w:ascii="黑体" w:hAnsi="黑体" w:eastAsia="黑体" w:cs="黑体"/>
          <w:snapToGrid/>
          <w:shd w:val="clear" w:color="auto" w:fill="FFFFFF"/>
          <w:lang w:bidi="ar"/>
        </w:rPr>
        <w:t>第三十四条</w:t>
      </w:r>
      <w:r>
        <w:rPr>
          <w:rFonts w:hint="eastAsia" w:ascii="仿宋_GB2312" w:hAnsi="Calibri" w:cs="Calibri"/>
          <w:snapToGrid/>
          <w:kern w:val="2"/>
        </w:rPr>
        <w:t> </w:t>
      </w:r>
      <w:r>
        <w:rPr>
          <w:rFonts w:hint="eastAsia" w:ascii="黑体" w:hAnsi="黑体" w:eastAsia="黑体" w:cs="黑体"/>
          <w:snapToGrid/>
          <w:shd w:val="clear" w:color="auto" w:fill="FFFFFF"/>
          <w:lang w:bidi="ar"/>
        </w:rPr>
        <w:t> </w:t>
      </w:r>
      <w:r>
        <w:rPr>
          <w:rFonts w:hint="eastAsia" w:ascii="仿宋_GB2312" w:hAnsi="Calibri" w:cs="Calibri"/>
          <w:snapToGrid/>
          <w:kern w:val="2"/>
        </w:rPr>
        <w:t xml:space="preserve"> 违反本条例规定，构成违反治安管理行为的，由公安机关依法给予治安管理处罚；构成犯罪的，依法追究刑事责任。</w:t>
      </w:r>
    </w:p>
    <w:p>
      <w:pPr>
        <w:pStyle w:val="10"/>
        <w:widowControl/>
        <w:shd w:val="clear" w:color="auto" w:fill="FFFFFF"/>
        <w:spacing w:before="0" w:beforeAutospacing="0" w:after="0" w:afterAutospacing="0" w:line="580" w:lineRule="exact"/>
        <w:jc w:val="center"/>
        <w:rPr>
          <w:rFonts w:ascii="黑体" w:hAnsi="黑体" w:eastAsia="黑体" w:cs="黑体"/>
          <w:snapToGrid/>
          <w:sz w:val="32"/>
          <w:shd w:val="clear" w:color="auto" w:fill="FFFFFF"/>
        </w:rPr>
      </w:pPr>
    </w:p>
    <w:p>
      <w:pPr>
        <w:pStyle w:val="10"/>
        <w:widowControl/>
        <w:shd w:val="clear" w:color="auto" w:fill="FFFFFF"/>
        <w:spacing w:before="0" w:beforeAutospacing="0" w:after="0" w:afterAutospacing="0" w:line="580" w:lineRule="exact"/>
        <w:jc w:val="center"/>
        <w:rPr>
          <w:rFonts w:ascii="黑体" w:hAnsi="黑体" w:eastAsia="黑体" w:cs="黑体"/>
          <w:snapToGrid/>
          <w:sz w:val="32"/>
          <w:shd w:val="clear" w:color="auto" w:fill="FFFFFF"/>
        </w:rPr>
      </w:pPr>
      <w:r>
        <w:rPr>
          <w:rFonts w:hint="eastAsia" w:ascii="黑体" w:hAnsi="黑体" w:eastAsia="黑体" w:cs="黑体"/>
          <w:snapToGrid/>
          <w:sz w:val="32"/>
          <w:shd w:val="clear" w:color="auto" w:fill="FFFFFF"/>
        </w:rPr>
        <w:t>第五章  附则</w:t>
      </w:r>
    </w:p>
    <w:p>
      <w:pPr>
        <w:spacing w:line="580" w:lineRule="exact"/>
        <w:ind w:firstLine="640" w:firstLineChars="200"/>
        <w:rPr>
          <w:rFonts w:ascii="黑体" w:hAnsi="黑体" w:eastAsia="黑体" w:cs="黑体"/>
          <w:shd w:val="clear" w:color="auto" w:fill="FFFFFF"/>
        </w:rPr>
      </w:pPr>
    </w:p>
    <w:p>
      <w:pPr>
        <w:spacing w:line="580" w:lineRule="exact"/>
        <w:ind w:firstLine="640" w:firstLineChars="200"/>
      </w:pPr>
      <w:r>
        <w:rPr>
          <w:rFonts w:hint="eastAsia" w:ascii="黑体" w:hAnsi="黑体" w:eastAsia="黑体" w:cs="黑体"/>
          <w:snapToGrid/>
          <w:kern w:val="2"/>
          <w:shd w:val="clear" w:color="auto" w:fill="FFFFFF"/>
        </w:rPr>
        <w:t>第三十五条</w:t>
      </w:r>
      <w:r>
        <w:rPr>
          <w:rFonts w:hint="eastAsia" w:ascii="仿宋_GB2312" w:hAnsi="仿宋_GB2312" w:cs="仿宋_GB2312"/>
          <w:snapToGrid/>
          <w:kern w:val="2"/>
          <w:shd w:val="clear" w:color="auto" w:fill="FFFFFF"/>
        </w:rPr>
        <w:t>　本条例自</w:t>
      </w:r>
      <w:r>
        <w:rPr>
          <w:rFonts w:hint="eastAsia" w:ascii="仿宋_GB2312" w:hAnsi="黑体" w:cs="仿宋_GB2312"/>
          <w:snapToGrid/>
          <w:kern w:val="2"/>
          <w:shd w:val="clear" w:color="auto" w:fill="FFFFFF"/>
          <w:lang w:val="zh-CN"/>
        </w:rPr>
        <w:t>2022年1月1日起</w:t>
      </w:r>
      <w:r>
        <w:rPr>
          <w:rFonts w:hint="eastAsia" w:ascii="仿宋_GB2312" w:hAnsi="仿宋_GB2312" w:cs="仿宋_GB2312"/>
          <w:snapToGrid/>
          <w:kern w:val="2"/>
          <w:shd w:val="clear" w:color="auto" w:fill="FFFFFF"/>
        </w:rPr>
        <w:t>施行。</w:t>
      </w:r>
    </w:p>
    <w:p>
      <w:pPr>
        <w:spacing w:line="560" w:lineRule="exact"/>
        <w:jc w:val="center"/>
        <w:rPr>
          <w:rFonts w:ascii="宋体" w:hAnsi="宋体" w:eastAsia="宋体"/>
          <w:color w:val="FF0000"/>
          <w:spacing w:val="20"/>
          <w:w w:val="55"/>
        </w:rPr>
      </w:pPr>
    </w:p>
    <w:p/>
    <w:p>
      <w:pPr>
        <w:pStyle w:val="2"/>
        <w:ind w:left="632" w:firstLine="632"/>
      </w:pPr>
    </w:p>
    <w:p/>
    <w:sectPr>
      <w:footerReference r:id="rId3" w:type="default"/>
      <w:pgSz w:w="11906" w:h="16838"/>
      <w:pgMar w:top="1440" w:right="1800" w:bottom="1440" w:left="1800" w:header="851" w:footer="992" w:gutter="0"/>
      <w:pgNumType w:fmt="numberInDash"/>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pStyle w:val="8"/>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hint="eastAsia" w:ascii="宋体" w:hAnsi="宋体" w:eastAsia="宋体" w:cs="宋体"/>
                              <w:sz w:val="28"/>
                              <w:szCs w:val="28"/>
                            </w:rPr>
                            <w:t>1</w:t>
                          </w:r>
                          <w:r>
                            <w:rPr>
                              <w:rFonts w:hint="eastAsia" w:ascii="宋体" w:hAnsi="宋体" w:eastAsia="宋体" w:cs="宋体"/>
                              <w:sz w:val="28"/>
                              <w:szCs w:val="28"/>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10G3Y3AgAAbw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QxQHSzMMBESn3p0Qrtvh34&#10;7E1xBk1n+jnxlm9qlLJlPjwwh8FA+Xg64R5LKQ1SmsGipDLuy7/OYzz6BS8lDQYtpxrvihL5XqOP&#10;AAyj4UZjPxr6qO4MJhe9QS2diQsuyNEsnVGf8Z5WMQdcTHNkymkYzbvQDzveIxerVRd0tK4+VP0F&#10;TKFlYat3lsc0USpvV8cAaTvFo0C9KuhU3GAOu54NbyYO+p/7LurxP7H8D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LNJWO7QAAAABQEAAA8AAAAAAAAAAQAgAAAAIgAAAGRycy9kb3ducmV2LnhtbFBL&#10;AQIUABQAAAAIAIdO4kC9dBt2NwIAAG8EAAAOAAAAAAAAAAEAIAAAAB8BAABkcnMvZTJvRG9jLnht&#10;bFBLBQYAAAAABgAGAFkBAADIBQAAAAA=&#10;">
              <v:fill on="f" focussize="0,0"/>
              <v:stroke on="f" weight="0.5pt"/>
              <v:imagedata o:title=""/>
              <o:lock v:ext="edit" aspectratio="f"/>
              <v:textbox inset="0mm,0mm,0mm,0mm" style="mso-fit-shape-to-text:t;">
                <w:txbxContent>
                  <w:p>
                    <w:pPr>
                      <w:pStyle w:val="8"/>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hint="eastAsia" w:ascii="宋体" w:hAnsi="宋体" w:eastAsia="宋体" w:cs="宋体"/>
                        <w:sz w:val="28"/>
                        <w:szCs w:val="28"/>
                      </w:rPr>
                      <w:t>1</w:t>
                    </w:r>
                    <w:r>
                      <w:rPr>
                        <w:rFonts w:hint="eastAsia" w:ascii="宋体" w:hAnsi="宋体" w:eastAsia="宋体" w:cs="宋体"/>
                        <w:sz w:val="28"/>
                        <w:szCs w:val="28"/>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1"/>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BD9F3D40"/>
    <w:rsid w:val="3F246D44"/>
    <w:rsid w:val="BD9F3D4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qFormat="1" w:uiPriority="39"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qFormat="1" w:unhideWhenUsed="0" w:uiPriority="99"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qFormat="1"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snapToGrid w:val="0"/>
      <w:sz w:val="32"/>
      <w:szCs w:val="32"/>
      <w:lang w:val="en-US" w:eastAsia="zh-CN" w:bidi="ar-SA"/>
    </w:rPr>
  </w:style>
  <w:style w:type="character" w:default="1" w:styleId="12">
    <w:name w:val="Default Paragraph Font"/>
    <w:semiHidden/>
    <w:qFormat/>
    <w:uiPriority w:val="0"/>
  </w:style>
  <w:style w:type="table" w:default="1" w:styleId="11">
    <w:name w:val="Normal Table"/>
    <w:semiHidden/>
    <w:qFormat/>
    <w:uiPriority w:val="0"/>
    <w:tblPr>
      <w:tblStyle w:val="11"/>
      <w:tblCellMar>
        <w:top w:w="0" w:type="dxa"/>
        <w:left w:w="108" w:type="dxa"/>
        <w:bottom w:w="0" w:type="dxa"/>
        <w:right w:w="108" w:type="dxa"/>
      </w:tblCellMar>
    </w:tblPr>
  </w:style>
  <w:style w:type="paragraph" w:styleId="2">
    <w:name w:val="Body Text First Indent 2"/>
    <w:basedOn w:val="3"/>
    <w:next w:val="5"/>
    <w:qFormat/>
    <w:uiPriority w:val="0"/>
    <w:pPr>
      <w:ind w:firstLine="420" w:firstLineChars="200"/>
    </w:pPr>
  </w:style>
  <w:style w:type="paragraph" w:styleId="3">
    <w:name w:val="Body Text Indent"/>
    <w:basedOn w:val="1"/>
    <w:next w:val="4"/>
    <w:qFormat/>
    <w:uiPriority w:val="99"/>
    <w:pPr>
      <w:spacing w:after="120"/>
      <w:ind w:left="420" w:leftChars="200"/>
    </w:pPr>
  </w:style>
  <w:style w:type="paragraph" w:styleId="4">
    <w:name w:val="Normal Indent"/>
    <w:basedOn w:val="1"/>
    <w:next w:val="1"/>
    <w:qFormat/>
    <w:uiPriority w:val="0"/>
    <w:pPr>
      <w:ind w:firstLine="420"/>
    </w:pPr>
    <w:rPr>
      <w:rFonts w:eastAsia="宋体"/>
      <w:sz w:val="21"/>
      <w:szCs w:val="20"/>
    </w:rPr>
  </w:style>
  <w:style w:type="paragraph" w:customStyle="1" w:styleId="5">
    <w:name w:val="Default"/>
    <w:basedOn w:val="6"/>
    <w:next w:val="7"/>
    <w:qFormat/>
    <w:uiPriority w:val="99"/>
    <w:pPr>
      <w:autoSpaceDE w:val="0"/>
      <w:autoSpaceDN w:val="0"/>
      <w:adjustRightInd w:val="0"/>
    </w:pPr>
    <w:rPr>
      <w:color w:val="000000"/>
      <w:sz w:val="24"/>
      <w:szCs w:val="24"/>
    </w:rPr>
  </w:style>
  <w:style w:type="paragraph" w:customStyle="1" w:styleId="6">
    <w:name w:val="正文 New"/>
    <w:next w:val="5"/>
    <w:qFormat/>
    <w:uiPriority w:val="0"/>
    <w:pPr>
      <w:widowControl w:val="0"/>
      <w:jc w:val="both"/>
    </w:pPr>
    <w:rPr>
      <w:rFonts w:ascii="Calibri" w:hAnsi="Calibri" w:eastAsia="宋体" w:cs="黑体"/>
      <w:kern w:val="2"/>
      <w:sz w:val="21"/>
      <w:szCs w:val="22"/>
      <w:lang w:val="en-US" w:eastAsia="zh-CN" w:bidi="ar-SA"/>
    </w:rPr>
  </w:style>
  <w:style w:type="paragraph" w:styleId="7">
    <w:name w:val="toc 8"/>
    <w:basedOn w:val="1"/>
    <w:next w:val="1"/>
    <w:unhideWhenUsed/>
    <w:qFormat/>
    <w:uiPriority w:val="39"/>
    <w:pPr>
      <w:ind w:left="2940" w:leftChars="1400"/>
    </w:pPr>
  </w:style>
  <w:style w:type="paragraph" w:styleId="8">
    <w:name w:val="footer"/>
    <w:basedOn w:val="1"/>
    <w:uiPriority w:val="0"/>
    <w:pPr>
      <w:tabs>
        <w:tab w:val="center" w:pos="4153"/>
        <w:tab w:val="right" w:pos="8306"/>
      </w:tabs>
      <w:snapToGrid w:val="0"/>
      <w:jc w:val="left"/>
    </w:pPr>
    <w:rPr>
      <w:sz w:val="18"/>
    </w:rPr>
  </w:style>
  <w:style w:type="paragraph" w:styleId="9">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0">
    <w:name w:val="Normal (Web)"/>
    <w:basedOn w:val="1"/>
    <w:qFormat/>
    <w:uiPriority w:val="0"/>
    <w:pPr>
      <w:spacing w:before="100" w:beforeAutospacing="1" w:after="100" w:afterAutospacing="1"/>
      <w:jc w:val="left"/>
    </w:pPr>
    <w:rPr>
      <w:sz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2021-12-28T16:32:00Z</dcterms:created>
  <dc:creator>user</dc:creator>
  <cp:lastModifiedBy>苏苏</cp:lastModifiedBy>
  <dcterms:modified xsi:type="dcterms:W3CDTF">2021-12-29T05:56:55Z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