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val="0"/>
        <w:bidi w:val="0"/>
        <w:spacing w:before="0" w:beforeLines="0" w:after="0" w:afterLines="0" w:line="640" w:lineRule="exact"/>
        <w:ind w:right="0" w:rightChars="0"/>
        <w:jc w:val="both"/>
        <w:textAlignment w:val="auto"/>
        <w:rPr>
          <w:rFonts w:hint="eastAsia" w:ascii="Calibri" w:hAnsi="宋体"/>
          <w:sz w:val="34"/>
          <w:szCs w:val="34"/>
          <w:lang w:val="en-US" w:eastAsia="zh-CN"/>
        </w:rPr>
      </w:pPr>
      <w:bookmarkStart w:id="0" w:name="_GoBack"/>
      <w:bookmarkEnd w:id="0"/>
    </w:p>
    <w:p>
      <w:pPr>
        <w:pageBreakBefore w:val="0"/>
        <w:widowControl w:val="0"/>
        <w:kinsoku/>
        <w:wordWrap/>
        <w:overflowPunct/>
        <w:topLinePunct w:val="0"/>
        <w:autoSpaceDE/>
        <w:autoSpaceDN/>
        <w:bidi w:val="0"/>
        <w:adjustRightInd/>
        <w:snapToGrid/>
        <w:spacing w:line="640" w:lineRule="exact"/>
        <w:ind w:firstLine="221" w:firstLineChars="50"/>
        <w:jc w:val="center"/>
        <w:textAlignment w:val="auto"/>
        <w:rPr>
          <w:rFonts w:hint="eastAsia" w:ascii="宋体" w:hAnsi="宋体" w:eastAsia="宋体" w:cs="宋体"/>
          <w:b/>
          <w:bCs/>
          <w:sz w:val="44"/>
          <w:szCs w:val="44"/>
          <w:lang w:eastAsia="zh-CN"/>
        </w:rPr>
      </w:pPr>
      <w:r>
        <w:rPr>
          <w:rFonts w:hint="eastAsia" w:ascii="宋体" w:hAnsi="宋体" w:cs="宋体"/>
          <w:b/>
          <w:bCs/>
          <w:sz w:val="44"/>
          <w:szCs w:val="44"/>
        </w:rPr>
        <w:t>太原市</w:t>
      </w:r>
      <w:r>
        <w:rPr>
          <w:rFonts w:hint="eastAsia" w:ascii="宋体" w:hAnsi="宋体" w:cs="宋体"/>
          <w:b/>
          <w:bCs/>
          <w:sz w:val="44"/>
          <w:szCs w:val="44"/>
          <w:lang w:eastAsia="zh-CN"/>
        </w:rPr>
        <w:t>养老机构条例</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宋体" w:hAnsi="宋体" w:eastAsia="宋体" w:cs="宋体"/>
          <w:b/>
          <w:bCs/>
          <w:color w:val="auto"/>
          <w:sz w:val="44"/>
          <w:szCs w:val="44"/>
        </w:rPr>
      </w:pP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(2015年12月30日太原市第十三届人民代表大会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常务委员会第三十七次会议通过</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2016年3月30日山西省第十二届人民代表大会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常务委员会第二十五次会议批准</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根据2020年11月27日山西省第十三届人民代表大会常务委员会第二十一次会议批准的2020年10月29日太原市第十四届人民代表大会常务委员会第三十六次会议《太原市人民代表大会常务委员会关于修改&lt;太原市城市供水管理办法&gt;等五件地方性法规的决定》修正）</w:t>
      </w:r>
    </w:p>
    <w:p>
      <w:pPr>
        <w:pageBreakBefore w:val="0"/>
        <w:widowControl w:val="0"/>
        <w:kinsoku/>
        <w:wordWrap/>
        <w:overflowPunct/>
        <w:topLinePunct w:val="0"/>
        <w:autoSpaceDE/>
        <w:autoSpaceDN/>
        <w:bidi w:val="0"/>
        <w:adjustRightInd/>
        <w:snapToGrid/>
        <w:spacing w:line="640" w:lineRule="exact"/>
        <w:ind w:firstLine="560" w:firstLineChars="200"/>
        <w:jc w:val="left"/>
        <w:textAlignment w:val="auto"/>
        <w:rPr>
          <w:rFonts w:hint="eastAsia" w:ascii="黑体" w:hAnsi="黑体" w:eastAsia="黑体"/>
          <w:sz w:val="28"/>
          <w:szCs w:val="28"/>
        </w:rPr>
      </w:pP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r>
        <w:rPr>
          <w:rFonts w:hint="eastAsia" w:ascii="黑体" w:hAnsi="黑体" w:eastAsia="黑体"/>
          <w:sz w:val="32"/>
          <w:szCs w:val="32"/>
        </w:rPr>
        <w:t>目录</w:t>
      </w: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ascii="黑体" w:hAnsi="黑体" w:eastAsia="黑体"/>
          <w:sz w:val="32"/>
          <w:szCs w:val="32"/>
        </w:rPr>
      </w:pPr>
      <w:r>
        <w:rPr>
          <w:rFonts w:hint="eastAsia" w:ascii="黑体" w:hAnsi="黑体" w:eastAsia="黑体"/>
          <w:sz w:val="32"/>
          <w:szCs w:val="32"/>
        </w:rPr>
        <w:t>第一章 总则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第二章 </w:t>
      </w:r>
      <w:r>
        <w:rPr>
          <w:rFonts w:hint="eastAsia" w:ascii="黑体" w:hAnsi="黑体" w:eastAsia="黑体"/>
          <w:sz w:val="32"/>
          <w:szCs w:val="32"/>
          <w:lang w:eastAsia="zh-CN"/>
        </w:rPr>
        <w:t>规划建设</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第三章 </w:t>
      </w:r>
      <w:r>
        <w:rPr>
          <w:rFonts w:hint="eastAsia" w:ascii="黑体" w:hAnsi="黑体" w:eastAsia="黑体"/>
          <w:sz w:val="32"/>
          <w:szCs w:val="32"/>
          <w:lang w:eastAsia="zh-CN"/>
        </w:rPr>
        <w:t>机构设立</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第四章 </w:t>
      </w:r>
      <w:r>
        <w:rPr>
          <w:rFonts w:hint="eastAsia" w:ascii="黑体" w:hAnsi="黑体" w:eastAsia="黑体"/>
          <w:sz w:val="32"/>
          <w:szCs w:val="32"/>
          <w:lang w:eastAsia="zh-CN"/>
        </w:rPr>
        <w:t>扶持发展</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第五章 </w:t>
      </w:r>
      <w:r>
        <w:rPr>
          <w:rFonts w:hint="eastAsia" w:ascii="黑体" w:hAnsi="黑体" w:eastAsia="黑体"/>
          <w:sz w:val="32"/>
          <w:szCs w:val="32"/>
          <w:lang w:eastAsia="zh-CN"/>
        </w:rPr>
        <w:t>服务规范</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eastAsia="zh-CN"/>
        </w:rPr>
        <w:t>第六章</w:t>
      </w:r>
      <w:r>
        <w:rPr>
          <w:rFonts w:hint="eastAsia" w:ascii="黑体" w:hAnsi="黑体" w:eastAsia="黑体"/>
          <w:sz w:val="32"/>
          <w:szCs w:val="32"/>
          <w:lang w:val="en-US" w:eastAsia="zh-CN"/>
        </w:rPr>
        <w:t xml:space="preserve"> 运营管理</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val="en-US" w:eastAsia="zh-CN"/>
        </w:rPr>
        <w:t>第七章 监督检查</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val="en-US" w:eastAsia="zh-CN"/>
        </w:rPr>
        <w:t>第八章 法律责任</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default" w:ascii="黑体" w:hAnsi="黑体" w:eastAsia="黑体"/>
          <w:sz w:val="32"/>
          <w:szCs w:val="32"/>
          <w:lang w:val="en-US" w:eastAsia="zh-CN"/>
        </w:rPr>
      </w:pPr>
      <w:r>
        <w:rPr>
          <w:rFonts w:hint="eastAsia" w:ascii="黑体" w:hAnsi="黑体" w:eastAsia="黑体"/>
          <w:sz w:val="32"/>
          <w:szCs w:val="32"/>
          <w:lang w:val="en-US" w:eastAsia="zh-CN"/>
        </w:rPr>
        <w:t>第九章 附则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default" w:ascii="黑体" w:hAnsi="黑体" w:eastAsia="黑体"/>
          <w:sz w:val="32"/>
          <w:szCs w:val="32"/>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为了规范养老机构的运营管理，促进养老机构的发展，保障入住老年人和养老机构的合法权益，根据《中华人民共和国老年人权益保障法》等法律、法规，结合本市实际，制定本条例。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本市行政区域内养老机构的规划建设、机构设立、扶持发展、服务规范、运营管理和监督检查，适用本条例。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本条例所称养老机构是指依法办理登记，为老年人提供全日集中住宿和照料护理服务，床位数在10张以上的机构。养老机构包括公益性养老机构和经营性养老机构。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养老机构的发展坚持政府主导、社会参与、市场运作、保障基本、统筹兼顾的原则。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市、县（市、区）人民政府应当将养老机构发展纳入国民经济和社会发展规划，根据社会经济发展和社会养老需求状况，研究、制定扶持政策，保障经费投入，促进养老服务业与经济社会协调发展。</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第六条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市、县(市、区)民政部门负责本行政区域内养老机构的指导、监督和管理。</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发展和改革、教育、公安、财政、人社、规划和自然资源、生态环境、住房和城乡建设、城乡管理、卫生健康、审计、应急管理、市场监管、医疗保障等有关部门，按照各自职责做好养老机构的服务和监督管理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 xml:space="preserve">第七条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市、县(市、区)人民政府应当通过投资兴办养老机构、购买服务等方式，为无劳动能力、无生活来源又无法定赡养人、扶养人，或者法定赡养人、扶养人无赡养、扶养能力的老年人提供基本养老服务保障。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政府兴办的养老机构，应当建立健全公开、公平、公正的收入住制度，向社会公开床位资源信息，在满足特困人员集中供养需求的基础上，优先保障孤老优抚对象和经济困难的孤寡、失能、高龄、计划生育特殊家庭等老年人的服务需求。</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鼓励和支持社会力量举办养老机构。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市、县（市、区）人民政府应当通过公建民营、民办公助、合作经营、委托管理等形式，加强向社会资本开放，充分发挥市场机制作用，创新养老机构运营管理模式。</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市、县（市、区）人民政府应当加强护理型养老床位建设，促进医养结合型养老机构发展。</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 xml:space="preserve">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鼓励养老机构加入养老服务行业协会。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养老机构行业协会应当加强行业自律和诚信建设，引导和规范养老机构提供符合社会需求的养老服务，调解养老机构运营、服务过程中产生的争议，维护入住老年人和养老机构的合法权益。</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w:t>
      </w:r>
      <w:r>
        <w:rPr>
          <w:rFonts w:hint="eastAsia" w:ascii="黑体" w:hAnsi="黑体" w:eastAsia="黑体" w:cs="黑体"/>
          <w:b w:val="0"/>
          <w:bCs w:val="0"/>
          <w:sz w:val="32"/>
          <w:szCs w:val="32"/>
        </w:rPr>
        <w:t xml:space="preserve">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鼓励公民、法人和其他组织向养老机构捐赠和提供志愿服务。</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第二章 </w:t>
      </w:r>
      <w:r>
        <w:rPr>
          <w:rFonts w:hint="eastAsia" w:ascii="黑体" w:hAnsi="黑体" w:eastAsia="黑体" w:cs="黑体"/>
          <w:b w:val="0"/>
          <w:bCs w:val="0"/>
          <w:sz w:val="32"/>
          <w:szCs w:val="32"/>
          <w:lang w:eastAsia="zh-CN"/>
        </w:rPr>
        <w:t>规划建设</w:t>
      </w:r>
    </w:p>
    <w:p>
      <w:pPr>
        <w:pageBreakBefore w:val="0"/>
        <w:widowControl w:val="0"/>
        <w:kinsoku/>
        <w:wordWrap/>
        <w:overflowPunct/>
        <w:topLinePunct w:val="0"/>
        <w:autoSpaceDE/>
        <w:autoSpaceDN/>
        <w:bidi w:val="0"/>
        <w:adjustRightInd/>
        <w:snapToGrid/>
        <w:spacing w:line="640" w:lineRule="exact"/>
        <w:ind w:firstLine="562"/>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十一</w:t>
      </w:r>
      <w:r>
        <w:rPr>
          <w:rFonts w:hint="eastAsia" w:ascii="黑体" w:hAnsi="黑体" w:eastAsia="黑体" w:cs="黑体"/>
          <w:b w:val="0"/>
          <w:bCs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区）民政部门应当会同发改、规划、国土等部门，依据国民经济和社会发展总体规划、城市总体规划和土地利用总体规划，根据辖区人口、公共服务资源、养老服务需求等因素，编制养老服务设施布局专项规划，合理布局养老机构，确定养老机构配套建设标准。</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养老服务设施布局专项规划经同级人民政府批准后执行。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十二</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市、县（市、区）人民政府应当将养老机构等养老服务设施建设用地纳入土地利用总体规划和年度计划，保障用地需求。</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非营利性养老机构建设用地，可以依法使用国有划拨土地或者农民集体所有的土地；营利性养老机构建设用地，可以参照同类地段工业用地价格，以出让等方式取得。</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鼓励将闲置的其他公益设施建设用地依法调整为养老机构建设用地。</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养老机构建设用地，非经法定程序不得改变用途。</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三</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养老机构设施建设应当符合国家、省、市有关养老机构的建设标准、规范和要求。</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四</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新建居住区按照养老服务设施布局专项规划需要建设养老机构的，建设单位应当按照建设要求和标准，同步建设、同步验收、同步交付使用养老机构用房。</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五</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已建成居住区养老机构用房未达到规划要求和标准的，市、县(市、区)人民政府应当通过配置、置换、租赁等方式或者在旧城改造过程中配建相应的养老机构。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六</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鼓励符合要求或者改造后符合要求的医院、宾馆、学校或者其他类型场所转用为养老机构。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七</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任何组织和个人不得擅自改变养老服务设施使用性质，不得侵占、破坏养老服务设施。</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eastAsia="zh-CN"/>
        </w:rPr>
        <w:t>机构设立</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十八</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设立养老机构，应当符合有关法律法规规定条件和养老服务设施布局专项规划,并依法办理登记。</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color w:val="auto"/>
          <w:sz w:val="32"/>
          <w:szCs w:val="32"/>
          <w:lang w:eastAsia="zh-CN"/>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十九</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z w:val="32"/>
          <w:szCs w:val="32"/>
        </w:rPr>
        <w:t>设立养老机构应当按照下列规定，办理相关登记手续</w:t>
      </w:r>
      <w:r>
        <w:rPr>
          <w:rFonts w:hint="eastAsia" w:ascii="仿宋" w:hAnsi="仿宋" w:eastAsia="仿宋" w:cs="仿宋"/>
          <w:color w:val="auto"/>
          <w:sz w:val="32"/>
          <w:szCs w:val="32"/>
          <w:lang w:eastAsia="zh-CN"/>
        </w:rPr>
        <w:t>：</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（一）设立公益性养老机构，符合事业单位登记条件的，依法在编制部门办理事业单位法人登记，符合民办非企业单位登记条件的，向市、县（市、区）民政部门办理登记；</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（二）设立经营性养老机构，依法在市、县（市、区）市场监管部门办理登记；</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（三）具备法人资格的医疗机构申请设立养老机构的，按照国家有关规定办理。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二十</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登记部门应当将申请设立养老机构需要提交的材料目录和申请书示范文本，在办事服务窗口及政务网站上公开。</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登记部门应当自受理申请之日起二十日内，对申请人提交的材料进行书面审查并实地查验。符合条件的，予以登记；不符合条件的，应当书面通知申请人并说明理由。</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第二十二条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养老机构的名称、住所、法定代表人或者主要负责人、服务范围等事项发生变更的，应当自变更之日起三十日内到原登记机关办理变更手续。</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trike w:val="0"/>
          <w:dstrike w:val="0"/>
          <w:sz w:val="32"/>
          <w:szCs w:val="32"/>
          <w:lang w:eastAsia="zh-CN"/>
        </w:rPr>
        <w:t>第二十三条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养老机构暂停或者终止服务的，应当提前六十日书面告知入住老年人及其代理人，向所在地民政部门提出老年人安置方案，妥善安置收住的老年人，并依照规定向原登记机关办理手续。有关部门应当为养老机构妥善安置老年人提供帮助。</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登记部门应当建立健全养老机构设立、变更、终止信息公示制度，并在办事服务窗口和政务网站公布相关信息，提供查询服务，接受社会监督。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养老机构登记后即可开展服务活动，并依照有关规定向市、县（市、区）人民政府民政部门备案。</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highlight w:val="none"/>
        </w:rPr>
        <w:t xml:space="preserve">第四章 </w:t>
      </w:r>
      <w:r>
        <w:rPr>
          <w:rFonts w:hint="eastAsia" w:ascii="黑体" w:hAnsi="黑体" w:eastAsia="黑体" w:cs="黑体"/>
          <w:b w:val="0"/>
          <w:bCs w:val="0"/>
          <w:sz w:val="32"/>
          <w:szCs w:val="32"/>
          <w:highlight w:val="none"/>
          <w:lang w:eastAsia="zh-CN"/>
        </w:rPr>
        <w:t>扶持发展</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黑体" w:hAnsi="黑体" w:eastAsia="黑体" w:cs="黑体"/>
          <w:b w:val="0"/>
          <w:bCs w:val="0"/>
          <w:kern w:val="2"/>
          <w:sz w:val="32"/>
          <w:szCs w:val="32"/>
          <w:lang w:val="en-US" w:eastAsia="zh-CN" w:bidi="ar-SA"/>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val="en-US" w:eastAsia="zh-CN"/>
        </w:rPr>
      </w:pPr>
      <w:r>
        <w:rPr>
          <w:rFonts w:hint="eastAsia" w:ascii="黑体" w:hAnsi="黑体" w:eastAsia="黑体" w:cs="黑体"/>
          <w:b w:val="0"/>
          <w:bCs w:val="0"/>
          <w:kern w:val="2"/>
          <w:sz w:val="32"/>
          <w:szCs w:val="32"/>
          <w:lang w:val="en-US" w:eastAsia="zh-CN" w:bidi="ar-SA"/>
        </w:rPr>
        <w:t xml:space="preserve">第二十六条 </w:t>
      </w:r>
      <w:r>
        <w:rPr>
          <w:rFonts w:hint="eastAsia" w:ascii="仿宋" w:hAnsi="仿宋" w:eastAsia="仿宋" w:cs="仿宋"/>
          <w:b w:val="0"/>
          <w:bCs w:val="0"/>
          <w:kern w:val="2"/>
          <w:sz w:val="32"/>
          <w:szCs w:val="32"/>
          <w:lang w:val="en-US" w:eastAsia="zh-CN" w:bidi="ar-SA"/>
        </w:rPr>
        <w:t xml:space="preserve"> 养老机构依法享受国家规定的税收减免优惠。</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kern w:val="0"/>
          <w:sz w:val="32"/>
          <w:szCs w:val="32"/>
        </w:rPr>
        <w:t>对非营利性养老机构建设全额免征行政事业性收费，对营利性养老机构建设减半征收行政事业性收费。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对养老机构的供电、供水、供热、燃气、排污等配套工程，经营性企业应当按照有关规定给予优惠。</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养老机构使用水、电、热、燃气享受居民使用价格；养老机构使用有线电视、宽带互联网，按照有关规定享受付费优惠。</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第二十九条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养老机构可以按照国家和省有关规定设置配套医疗机构，符合条件的纳入医保定点范围。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社区卫生服务机构应当与其服务区域内的养老机构建立合作机制，按照协议为养老机构收住的老年人提供基本医疗服务；发生的医疗费用，按照老年人参加的城乡医疗保险的规定结算。</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鼓励医疗机构和养老机构之间建立业务协作机制，开通预约就诊绿色通道，为养老机构入住的老年人提供慢性病管理和康复护理服务。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市、县（市、区）人民政府应当按照有关规定，对养老机构给予建设和运营等补贴，补贴资金应当纳入财政预算。</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鼓励金融机构创新养老服务金融产品和服务方式，对养老机构合理安排信贷资金，给予利率优惠，拓宽信贷抵押担保物范围。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市人民政府应当推动建立老年人长期医疗照护保险制度，鼓励养老机构投保责任保险以及入住老年人投保个人意外伤害保险。</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市、县（市、区）人民政府应当建立养老机构人才引入、培养、使用、评价、激励机制；依法规范养老机构用工，对取得国家养老护理员职业资格证书的从业者，应当按照规定给予奖励或者补贴。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鼓励高等院校、职业技术学校和职业培训机构设置养老服务专业或者培训项目，培养养老服务专业人才。</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政府应当通过购买服务等方式，鼓励有条件的养老机构利用专业设施、场地、人员和技术等资源优势，为符合条件的城乡困难老人提供日托照料护理和上门助餐、助浴、助洁、助医等服务，培训和指导社区养老服务组织和人员。</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eastAsia="zh-CN"/>
        </w:rPr>
        <w:t>服务规范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养老机构应当根据老年人能力评估标准和入住老年人的身体健康状况，确定照料护理等级。</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入住老年人身体状况发生变化需要变更照料护理等级的，应当重新进行评估并经入住老年人或者其代理人确认。</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入住老年人或者其代理人对养老机构确定的照料护理等级有异议的，可以委托第三方专业机构进行照料护理等级评估。</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养老机构发现老年人为疑似患有传染病或者严重精神障碍的，应当通知其代理人或者经常联系人，协助其依照传染病防治、精神卫生等相关法律法规的规定处理，并报告住所地县（市、区）民政、卫生部门。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养老机构应当与入住老年人或者其代理人签订服务合同，明确各自的权利、义务和争议的处理方式，依法保障各方合法权益。</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养老机构应当按照服务合同载明的照料护理等级以及约定内容，向入住老年人提供相应服务。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养老机构提供的服务应当符合国家、省和市有关行业标准及规范要求。</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养老机构应当为入住老年人提供符合国家标准和建设规范的住房，配备日常生活用具和安全保护设施、设备，并建立卫生消毒制度，定期对入住老年人日常起居和活动场所及使用物品进行清洁、消毒。</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养老机构提供的饮食应当符合食品安全有关要求、有利于入住老年人营养平衡、符合民族风俗习惯，并满足入住老年人因健康原因对饮食的需求。</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老年人与工作人员的膳食制作和用餐应当分开。养老机构应当对老年人膳食经费实行分账管理。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养老机构应当为入住老年人建立健康档案，定期检查身体，宣传日常保健知识，做好疾病预防工作。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养老机构应当为入住老年人疾病诊疗提供便利条件。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对突发危重疾病的入住老年人，养老机构应当及时通知其代理人或者经常联系人并转送医疗机构救治；入住老年人的代理人或者经常联系人应当依法履行相应义务。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养老机构应当组织开展适合入住老年人的文化、娱乐和健身活动，丰富入住老年人精神文化生活，并为参与活动的入住老年人提供安全防护措施。</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养老机构应当根据需要为入住老年人提供情绪疏导、心理咨询、危机干预等精神慰藉服务。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养老机构及其工作人员应当尊重入住老年人的人格尊严，禁止散布、泄露入住老年人的个人信息与隐私，禁止歧视、侮辱、虐待或者遗弃入住老年人。</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运营管理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养老机构应当建立健全日常运营、人力资源、财务收费、信息档案等管理制度，制定并公开服务标准、工作流程和应急预案。</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养老机构应当按照标准和规范配备管理人员、服务人员以及其他专业人员。</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养老机构应当依法与工作人员签订劳动合同或者聘用合同，依法参加社会保险。</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养老机构应当加强对工作人员的专业技能培训和职业道德教育。</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养老机构中从事照料护理、康复医疗、社会工作等服务的专业技术人员应当具备相应的专业技术资质。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养老机构中从事护理、餐饮等工作的人员应当具有有效的健康证明并定期进行健康体检；对患有可能影响入住老年人身体健康疾病的，应当及时调整工作岗位。</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入住老年人应当遵守法律、法规以及养老机构管理制度。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入住老年人的亲属、代理人或者经常联系人应当依法履行对老年人经济上供养、生活上照料和精神上慰藉的义务。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政府投资兴办的公益性养老机构收费标准实行政府定价或者政府指导价；其他养老机构自主确定收费标准。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养老机构配套设置的医疗机构开展医疗服务，执行医疗服务价格管理的有关规定。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应当将收费项目、收费标准等内容在收费场所显著位置进行公示，建有门户网站的同时在网站进行公示，接受社会监督。公示内容包括养老机构基本设施与条件、服务内容与等级、收费项目与标准等事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养老机构应当建立健全财务制度，加强财务管理，使用规范的财务票据，每年定期公布财务情况。</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养老机构应当建立入住老年人膳食、医疗等费用账目，并定期向入住老年人或者其代理人公开。</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公益性养老机构应当将供养标准和资金使用情况向社会公开，接受社会监督。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养老机构应当建立健全消防、设施设备、食品药品等安全管理制度，实行二十四小时值班，定期开展安全检查，消除安全隐患。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养老机构应当依法履行消防安全职责，健全消防安全管理制度，实行消防工作责任制，配置消防设施、器材并定期检测、维修，开展日常防火巡查、检查，定期组织消防安全教育培训和灭火、应急疏散演练。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属于消防安全重点单位的养老机构应当确定消防安全管理人，并报告所在地消防</w:t>
      </w:r>
      <w:r>
        <w:rPr>
          <w:rFonts w:hint="eastAsia" w:ascii="仿宋" w:hAnsi="仿宋" w:eastAsia="仿宋" w:cs="仿宋"/>
          <w:color w:val="auto"/>
          <w:sz w:val="32"/>
          <w:szCs w:val="32"/>
          <w:lang w:val="en-US" w:eastAsia="zh-CN"/>
        </w:rPr>
        <w:t>救援</w:t>
      </w:r>
      <w:r>
        <w:rPr>
          <w:rFonts w:hint="eastAsia" w:ascii="仿宋" w:hAnsi="仿宋" w:eastAsia="仿宋" w:cs="仿宋"/>
          <w:b w:val="0"/>
          <w:bCs w:val="0"/>
          <w:sz w:val="32"/>
          <w:szCs w:val="32"/>
        </w:rPr>
        <w:t>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养老机构内设食堂的，应当取得市场监管部门的食品经营许可，严格遵守相关法律法规和食品安全标准，执行原料控制、餐具饮具清洗消毒、食品留样等制度。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养老机构应当依法制定自然灾害、事故灾难、公共卫生事件等突发事件应急预案，定期开展应急演练，建立定期评估制度，并及时修订。</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突发事件发生时，养老机构应当立即启动应急预案，根据突发事件应对管理职责分工向有关部门报告，并将应急处理结果报所在地民政部门。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养老机构接受捐赠款物的使用和管理，应当依照有关公益事业捐赠的法律、法规执行，并接受有关部门和社会、捐赠人的监督。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养老机构应当定期向入住老年人或者其代理人通报养老机构服务情况、入住老年人健康状况，听取意见、建议，核实处理有关问题。</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监督检查</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民政部门依法对养老机构的名称、住所、法定代表人或者主要负责人、服务范围等变化情况进行监督检查。民政部门实施监督检查时，养老机构应当予以配合，并如实提供有关材料。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市、县（市、区）民政部门应当对本行政区域内养老机构日常管理提供相应的指导和服务，对养老机构的场所设施、人员配备、服务范围、服务质量等进行监督和检查，并建立养老机构监管信息公示制度。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养老机构应当于每年三月三十一日前将上一年度工作报告提交民政部门，年度工作报告内容包括服务范围、服务质量、运营管理等情况。</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民政部门应当定期开展养老服务行业统计工作，养老机构应当及时准确报送相关信息。</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民政部门应当建立养老机构评估制度，定期组织有关方面专家或者委托第三方专业机构对养老机构的人员、设施、服务、管理、信誉等情况进行综合评估。</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评估结果应当对外公示，并作为对养老机构资助、考核评价的依据。</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公安、卫生健康、生态环境、应急管理、市场监管等部门按照各自职责依法加强对养老机构相应的安全指导和监督检查。</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人社部门应当依法对养老机构的劳动用工和医保定点政策执行情况进行监督检查。</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价格主管部门应当依法对养老机构的服务收费进行监督检查，查处价格违法行为。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审计部门应当依法对非营利性养老机构的财务状况以及政府补助资金的使用情况和营利性养老机构的财政投入部分进行审计监督，并向社会公布审计结果。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民政部门应当加强养老服务领域诚信建设，对存在严重失信行为的养老机构及人员按照国家有关规定实施联合惩戒。</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民政部门应当建立对养老机构管理的举报和投诉制度。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民政部门接到举报、投诉后应当及时核实、处理，并将处理结果告知投诉人、举报人。</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法律责任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违反本条例规定，养老服务设施的经营管理者擅自改变养老服务设施使用性质的，由民政部门责令改正，退还补贴资金等有关补助费用，处以三万元以下罚款。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未经登记设立养老机构或者养老机构变更住所后未变更登记手续的，由登记机关责令限期改正；符合养老机构设立条件的，依法补办相关手续；逾期达不到法定条件的，责令停办并妥善安置收住的老年人；造成损害的，依法承担法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违反本条例规定，养老机构名称、法定代表人或者主要负责人、服务范围等事项发生变更，未办理变更手续的，由民政部门责令限期改正;逾期不改正的，处以三万元以下罚款。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违反本条例规定，养老机构暂停或者终止服务未妥善安置收住老年人的，由民政部门责令改正，处以二千元以上一万元以下罚款;情节严重的，处以一万元以上三万元以下罚款。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养老机构有下列行为之一的，由民政部门责令改正;拒不改正的，处以二千元以上一万元以下罚款;情节严重的，处以一万元以上三万元以下罚款: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 (一)违反本条例规定，公益性养老机构无正当理由拒绝收住政府供养老年人的;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(二)违反本条例规定，养老机构发现其收住的老年人患有传染病或者严重精神障碍未依法采取相应措施、也未按照规定向住所地县(市、区)民政、卫生和健康部门报告的;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(三)违反本条例规定，未与入住老年人或者其代理人签订服务合同的;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(四)违反本条例规定，未按照标准和规范配备管理人员、服务人员以及其他专业人员的;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(五)违反本条例规定，从事照料护理、康复医疗、社会工作等服务的专业技术人员不具备相应专业技术资质的。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有下列行为之一的，由有关行政管理部门责令改正，并依照相关法律、法规规定予以处理：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（一）违反本条例规定，擅自改变养老机构建设用地用途的；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（二）违反本条例规定，新建居住区的建设单位未按照规划、建设要求和标准配套建设养老机构服务用房的；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（三）违反本条例规定，养老机构提供的饮食不符合食品安全有关要求的；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（四）违反本条例规定，散布、泄露入住老年人的个人信息与隐私，或者歧视、侮辱、虐待、遗弃入住老年人的。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有关行政管理部门及其工作人员，在养老机构管理工作中玩忽职守、滥用职权、徇私舞弊的，对直接负责的主管人员和其他直接责任人依法给予处分；构成犯罪的，依法追究刑事责任。</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附则</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第六十八条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本条例自2016年5月1日起施行。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4D640A"/>
    <w:rsid w:val="2D337C87"/>
    <w:rsid w:val="2F5510E3"/>
    <w:rsid w:val="30E37FD7"/>
    <w:rsid w:val="3BF70BE8"/>
    <w:rsid w:val="3EAB0813"/>
    <w:rsid w:val="4F5E226B"/>
    <w:rsid w:val="4F640A95"/>
    <w:rsid w:val="5A95678F"/>
    <w:rsid w:val="69C17B7C"/>
    <w:rsid w:val="AFB66B72"/>
    <w:rsid w:val="BB3FA7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此生无悔</cp:lastModifiedBy>
  <cp:lastPrinted>2020-12-01T02:33:39Z</cp:lastPrinted>
  <dcterms:modified xsi:type="dcterms:W3CDTF">2021-03-03T08:54:59Z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