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val="0"/>
        <w:bidi w:val="0"/>
        <w:spacing w:before="0" w:beforeLines="0" w:after="0" w:afterLines="0" w:line="640" w:lineRule="exact"/>
        <w:ind w:right="0" w:rightChars="0"/>
        <w:jc w:val="both"/>
        <w:textAlignment w:val="auto"/>
        <w:rPr>
          <w:rFonts w:hint="eastAsia" w:ascii="Calibri" w:hAnsi="宋体"/>
          <w:sz w:val="34"/>
          <w:szCs w:val="34"/>
          <w:lang w:val="en-US" w:eastAsia="zh-CN"/>
        </w:rPr>
      </w:pPr>
      <w:bookmarkStart w:id="0" w:name="_GoBack"/>
      <w:bookmarkEnd w:id="0"/>
    </w:p>
    <w:p>
      <w:pPr>
        <w:pageBreakBefore w:val="0"/>
        <w:widowControl w:val="0"/>
        <w:kinsoku/>
        <w:wordWrap/>
        <w:overflowPunct/>
        <w:topLinePunct w:val="0"/>
        <w:autoSpaceDE/>
        <w:autoSpaceDN/>
        <w:bidi w:val="0"/>
        <w:adjustRightInd/>
        <w:snapToGrid/>
        <w:spacing w:line="640" w:lineRule="exact"/>
        <w:ind w:firstLine="221" w:firstLineChars="50"/>
        <w:jc w:val="center"/>
        <w:textAlignment w:val="auto"/>
        <w:rPr>
          <w:rFonts w:hint="eastAsia" w:ascii="宋体" w:hAnsi="宋体" w:eastAsia="宋体" w:cs="宋体"/>
          <w:b/>
          <w:bCs/>
          <w:sz w:val="44"/>
          <w:szCs w:val="44"/>
          <w:lang w:eastAsia="zh-CN"/>
        </w:rPr>
      </w:pPr>
      <w:r>
        <w:rPr>
          <w:rFonts w:hint="eastAsia" w:ascii="宋体" w:hAnsi="宋体" w:cs="宋体"/>
          <w:b/>
          <w:bCs/>
          <w:sz w:val="44"/>
          <w:szCs w:val="44"/>
        </w:rPr>
        <w:t>太原市</w:t>
      </w:r>
      <w:r>
        <w:rPr>
          <w:rFonts w:hint="eastAsia" w:ascii="宋体" w:hAnsi="宋体" w:cs="宋体"/>
          <w:b/>
          <w:bCs/>
          <w:sz w:val="44"/>
          <w:szCs w:val="44"/>
          <w:lang w:eastAsia="zh-CN"/>
        </w:rPr>
        <w:t>雷电灾害防御条例</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宋体" w:hAnsi="宋体" w:eastAsia="宋体" w:cs="宋体"/>
          <w:b/>
          <w:bCs/>
          <w:color w:val="auto"/>
          <w:sz w:val="44"/>
          <w:szCs w:val="44"/>
        </w:rPr>
      </w:pP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(2015年11月6日太原市第十三届人民代表大会</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常务委员会第三十五次会议通过</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2016年1月20日山西省第十二届人民代表大会</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常务委员会第二十四次会议批准</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根据2020年11月27日山西省第十三届人民代表大会常务委员会第二十一次会议批准的2020年10月29日太原市第十四届人民代表大会常务委员会第三十六次会议《太原市人民代表大会常务委员会关于修改&lt;太原市城市供水管理办法&gt;等五件地方性法规的决定》修正）</w:t>
      </w:r>
    </w:p>
    <w:p>
      <w:pPr>
        <w:pageBreakBefore w:val="0"/>
        <w:widowControl w:val="0"/>
        <w:kinsoku/>
        <w:wordWrap/>
        <w:overflowPunct/>
        <w:topLinePunct w:val="0"/>
        <w:autoSpaceDE/>
        <w:autoSpaceDN/>
        <w:bidi w:val="0"/>
        <w:adjustRightInd/>
        <w:snapToGrid/>
        <w:spacing w:line="640" w:lineRule="exact"/>
        <w:ind w:firstLine="560" w:firstLineChars="200"/>
        <w:jc w:val="left"/>
        <w:textAlignment w:val="auto"/>
        <w:rPr>
          <w:rFonts w:hint="eastAsia" w:ascii="黑体" w:hAnsi="黑体" w:eastAsia="黑体"/>
          <w:sz w:val="28"/>
          <w:szCs w:val="28"/>
        </w:rPr>
      </w:pPr>
    </w:p>
    <w:p>
      <w:pPr>
        <w:pageBreakBefore w:val="0"/>
        <w:widowControl w:val="0"/>
        <w:kinsoku/>
        <w:wordWrap/>
        <w:overflowPunct/>
        <w:topLinePunct w:val="0"/>
        <w:autoSpaceDE/>
        <w:autoSpaceDN/>
        <w:bidi w:val="0"/>
        <w:adjustRightInd/>
        <w:snapToGrid/>
        <w:spacing w:line="640" w:lineRule="exact"/>
        <w:ind w:firstLine="640" w:firstLineChars="200"/>
        <w:jc w:val="center"/>
        <w:textAlignment w:val="auto"/>
        <w:rPr>
          <w:rFonts w:hint="eastAsia" w:ascii="黑体" w:hAnsi="黑体" w:eastAsia="黑体"/>
          <w:sz w:val="32"/>
          <w:szCs w:val="32"/>
        </w:rPr>
      </w:pPr>
      <w:r>
        <w:rPr>
          <w:rFonts w:hint="eastAsia" w:ascii="黑体" w:hAnsi="黑体" w:eastAsia="黑体"/>
          <w:sz w:val="32"/>
          <w:szCs w:val="32"/>
        </w:rPr>
        <w:t>目录</w:t>
      </w:r>
    </w:p>
    <w:p>
      <w:pPr>
        <w:pageBreakBefore w:val="0"/>
        <w:widowControl w:val="0"/>
        <w:kinsoku/>
        <w:wordWrap/>
        <w:overflowPunct/>
        <w:topLinePunct w:val="0"/>
        <w:autoSpaceDE/>
        <w:autoSpaceDN/>
        <w:bidi w:val="0"/>
        <w:adjustRightInd/>
        <w:snapToGrid/>
        <w:spacing w:line="640" w:lineRule="exact"/>
        <w:ind w:firstLine="640" w:firstLineChars="200"/>
        <w:jc w:val="center"/>
        <w:textAlignment w:val="auto"/>
        <w:rPr>
          <w:rFonts w:hint="eastAsia" w:ascii="黑体" w:hAnsi="黑体" w:eastAsia="黑体"/>
          <w:sz w:val="32"/>
          <w:szCs w:val="32"/>
        </w:rPr>
      </w:pP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ascii="黑体" w:hAnsi="黑体" w:eastAsia="黑体"/>
          <w:sz w:val="32"/>
          <w:szCs w:val="32"/>
        </w:rPr>
      </w:pPr>
      <w:r>
        <w:rPr>
          <w:rFonts w:hint="eastAsia" w:ascii="黑体" w:hAnsi="黑体" w:eastAsia="黑体"/>
          <w:sz w:val="32"/>
          <w:szCs w:val="32"/>
        </w:rPr>
        <w:t>第一章 总则</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eastAsia="zh-CN"/>
        </w:rPr>
      </w:pPr>
      <w:r>
        <w:rPr>
          <w:rFonts w:hint="eastAsia" w:ascii="黑体" w:hAnsi="黑体" w:eastAsia="黑体"/>
          <w:sz w:val="32"/>
          <w:szCs w:val="32"/>
        </w:rPr>
        <w:t xml:space="preserve">第二章 </w:t>
      </w:r>
      <w:r>
        <w:rPr>
          <w:rFonts w:hint="eastAsia" w:ascii="黑体" w:hAnsi="黑体" w:eastAsia="黑体"/>
          <w:sz w:val="32"/>
          <w:szCs w:val="32"/>
          <w:lang w:eastAsia="zh-CN"/>
        </w:rPr>
        <w:t>监测预警与防雷工程</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eastAsia="zh-CN"/>
        </w:rPr>
      </w:pPr>
      <w:r>
        <w:rPr>
          <w:rFonts w:hint="eastAsia" w:ascii="黑体" w:hAnsi="黑体" w:eastAsia="黑体"/>
          <w:sz w:val="32"/>
          <w:szCs w:val="32"/>
        </w:rPr>
        <w:t xml:space="preserve">第三章 </w:t>
      </w:r>
      <w:r>
        <w:rPr>
          <w:rFonts w:hint="eastAsia" w:ascii="黑体" w:hAnsi="黑体" w:eastAsia="黑体"/>
          <w:sz w:val="32"/>
          <w:szCs w:val="32"/>
          <w:lang w:eastAsia="zh-CN"/>
        </w:rPr>
        <w:t>检测维护与调查鉴定</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eastAsia="zh-CN"/>
        </w:rPr>
      </w:pPr>
      <w:r>
        <w:rPr>
          <w:rFonts w:hint="eastAsia" w:ascii="黑体" w:hAnsi="黑体" w:eastAsia="黑体"/>
          <w:sz w:val="32"/>
          <w:szCs w:val="32"/>
        </w:rPr>
        <w:t xml:space="preserve">第四章 </w:t>
      </w:r>
      <w:r>
        <w:rPr>
          <w:rFonts w:hint="eastAsia" w:ascii="黑体" w:hAnsi="黑体" w:eastAsia="黑体"/>
          <w:sz w:val="32"/>
          <w:szCs w:val="32"/>
          <w:lang w:eastAsia="zh-CN"/>
        </w:rPr>
        <w:t>法律责任</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val="en-US" w:eastAsia="zh-CN"/>
        </w:rPr>
      </w:pPr>
      <w:r>
        <w:rPr>
          <w:rFonts w:hint="eastAsia" w:ascii="黑体" w:hAnsi="黑体" w:eastAsia="黑体"/>
          <w:sz w:val="32"/>
          <w:szCs w:val="32"/>
          <w:lang w:val="en-US" w:eastAsia="zh-CN"/>
        </w:rPr>
        <w:t>第五章 附则</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default" w:ascii="黑体" w:hAnsi="黑体" w:eastAsia="黑体"/>
          <w:sz w:val="32"/>
          <w:szCs w:val="32"/>
          <w:lang w:val="en-US" w:eastAsia="zh-CN"/>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为了加强雷电灾害防御，有效避免和减轻雷电灾害损失，保障人民生命财产和公共安全，根据《中华人民共和国气象法》、《气象灾害防御条例》、《山西省气象灾害防御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第二条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本市行政区域内从事雷电灾害防御活动，适用本条例。</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第三条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雷电灾害防御工作坚持以人为本、科学防御、政府主导、部门联动、社会参与的原则。</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 xml:space="preserve"> 市、县（市、区）人民政府应当加强对雷电灾害防御工作的领导，建立健全雷电灾害防御工作的协调机制，将雷电灾害防御工作纳入公共安全监督管理的范围，为雷电监测、预报、预警、预防体系建设提供资金保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第五条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市、县（市、区）气象主管机构负责指导、组织和管理本行政区域内的雷电灾害防御工作。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未设气象机构的市辖区，由区人民政府指定有关部门负责雷电灾害防御工作。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rPr>
        <w:t>发展与改革、住房和城乡建设、教育、公安、财政、文化和旅游、规划和自然资源、应急管理、市场监管、房产管理等部门按照各自职责，做好雷电灾害防御的相关工作。</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 xml:space="preserve">第六条 </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市、县（市、区）气象主管机构、教育、文化和旅游以及新闻媒体等单位应当采取多种形式向社会宣传普及雷电灾害防御知识，增强公众防御雷电灾害意识，提高避险避灾、自救互救的能力。</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trike w:val="0"/>
          <w:dstrike w:val="0"/>
          <w:sz w:val="32"/>
          <w:szCs w:val="32"/>
          <w:lang w:eastAsia="zh-CN"/>
        </w:rPr>
      </w:pPr>
      <w:r>
        <w:rPr>
          <w:rFonts w:hint="eastAsia" w:ascii="黑体" w:hAnsi="黑体" w:eastAsia="黑体" w:cs="黑体"/>
          <w:b w:val="0"/>
          <w:bCs w:val="0"/>
          <w:sz w:val="32"/>
          <w:szCs w:val="32"/>
        </w:rPr>
        <w:t xml:space="preserve">第七条 </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trike w:val="0"/>
          <w:dstrike w:val="0"/>
          <w:sz w:val="32"/>
          <w:szCs w:val="32"/>
          <w:lang w:eastAsia="zh-CN"/>
        </w:rPr>
        <w:t>市、县（市、区）人民政府应当组织气象主管机构及有关部门制定本行政区域内的雷电灾害应急预案，并向社会公布。</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 xml:space="preserve">第二章 </w:t>
      </w:r>
      <w:r>
        <w:rPr>
          <w:rFonts w:hint="eastAsia" w:ascii="黑体" w:hAnsi="黑体" w:eastAsia="黑体" w:cs="黑体"/>
          <w:b w:val="0"/>
          <w:bCs w:val="0"/>
          <w:sz w:val="32"/>
          <w:szCs w:val="32"/>
          <w:lang w:eastAsia="zh-CN"/>
        </w:rPr>
        <w:t>监测预警与防雷工程</w:t>
      </w:r>
    </w:p>
    <w:p>
      <w:pPr>
        <w:pageBreakBefore w:val="0"/>
        <w:widowControl w:val="0"/>
        <w:kinsoku/>
        <w:wordWrap/>
        <w:overflowPunct/>
        <w:topLinePunct w:val="0"/>
        <w:autoSpaceDE/>
        <w:autoSpaceDN/>
        <w:bidi w:val="0"/>
        <w:adjustRightInd/>
        <w:snapToGrid/>
        <w:spacing w:line="640" w:lineRule="exact"/>
        <w:ind w:firstLine="562"/>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市、县（市、区）人民政府应当组织气象主管机构及有关部门按照布局合理、资源共享、有效利用的原则，组建雷电监测网，研究、开发和利用先进雷电灾害防御技术。</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市、县（市、区）气象主管机构应当加强雷电和雷电灾害的监测、预报和预警系统建设，提高雷电预报预警的准确性、时效性。</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广播电视、报纸、网络等媒体和通信运营单位应当及时将气象主管机构提供的预报、预警信息向社会发布。</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单位和个人应当保持和保护雷电监测和预警设施的正常运行和安全，维护雷电监测的探测环境。</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w:t>
      </w:r>
      <w:r>
        <w:rPr>
          <w:rFonts w:hint="eastAsia" w:ascii="黑体" w:hAnsi="黑体" w:eastAsia="黑体" w:cs="黑体"/>
          <w:b w:val="0"/>
          <w:bCs w:val="0"/>
          <w:strike w:val="0"/>
          <w:dstrike w:val="0"/>
          <w:sz w:val="32"/>
          <w:szCs w:val="32"/>
          <w:lang w:eastAsia="zh-CN"/>
        </w:rPr>
        <w:t>一</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市气象主管机构应当根据本行政区域内雷电灾害发生的频次，划分风险等级区域，并加强对风险等级较高区域的防御工作的指导。</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w:t>
      </w:r>
      <w:r>
        <w:rPr>
          <w:rFonts w:hint="eastAsia" w:ascii="黑体" w:hAnsi="黑体" w:eastAsia="黑体" w:cs="黑体"/>
          <w:b w:val="0"/>
          <w:bCs w:val="0"/>
          <w:strike w:val="0"/>
          <w:dstrike w:val="0"/>
          <w:sz w:val="32"/>
          <w:szCs w:val="32"/>
          <w:lang w:eastAsia="zh-CN"/>
        </w:rPr>
        <w:t>二</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 xml:space="preserve">下列建（构）筑物、场所或者设施应当按照国家或者行业规定的技术标准和技术规范安装防雷装置： </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 xml:space="preserve">（一）《建筑物防雷设计规范》规定的一、二、三类防雷建（构）筑物及其附属设施； </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 xml:space="preserve">（二）电力、通信、广播电视、医疗卫生设施，重要的导航场所和设施； </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 xml:space="preserve">（三）重要的计算机设备和网络系统、程控系统、卫星接收系统； </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 xml:space="preserve">（四）学校、机场、车站、宾馆、证券市场、体育场馆、影剧院等人员密集场所和露天大型娱乐设施； </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（五）粮食、石油、化工、易燃易爆物品的生产、经销等重要物资储存场所；</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（六）高层建筑（一般在30米以上的）以及其他易遭雷击的建筑物和设施；</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（七）不可移动易遭雷击的文物建筑；</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（八）易遭雷击的古树名木；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 xml:space="preserve">（九）法律、法规规定应当安装防雷装置的其他场所和设施。 </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前款规定范围以外的场所和设施，根据雷电灾害防御安全的需要，可以安装防雷装置。</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十三</w:t>
      </w:r>
      <w:r>
        <w:rPr>
          <w:rFonts w:hint="eastAsia" w:ascii="黑体" w:hAnsi="黑体" w:eastAsia="黑体" w:cs="黑体"/>
          <w:b w:val="0"/>
          <w:bCs w:val="0"/>
          <w:strike w:val="0"/>
          <w:dstrike w:val="0"/>
          <w:sz w:val="32"/>
          <w:szCs w:val="32"/>
        </w:rPr>
        <w:t>条</w:t>
      </w:r>
      <w:r>
        <w:rPr>
          <w:rFonts w:hint="eastAsia" w:ascii="黑体" w:hAnsi="黑体" w:eastAsia="黑体" w:cs="黑体"/>
          <w:b w:val="0"/>
          <w:bCs w:val="0"/>
          <w:strike w:val="0"/>
          <w:dstrike w:val="0"/>
          <w:sz w:val="32"/>
          <w:szCs w:val="32"/>
          <w:lang w:val="en-US" w:eastAsia="zh-CN"/>
        </w:rPr>
        <w:t xml:space="preserve"> </w:t>
      </w:r>
      <w:r>
        <w:rPr>
          <w:rFonts w:hint="eastAsia" w:ascii="仿宋" w:hAnsi="仿宋" w:eastAsia="仿宋" w:cs="仿宋"/>
          <w:b w:val="0"/>
          <w:bCs w:val="0"/>
          <w:strike w:val="0"/>
          <w:dstrike w:val="0"/>
          <w:sz w:val="32"/>
          <w:szCs w:val="32"/>
          <w:lang w:val="en-US" w:eastAsia="zh-CN"/>
        </w:rPr>
        <w:t xml:space="preserve"> </w:t>
      </w:r>
      <w:r>
        <w:rPr>
          <w:rFonts w:hint="eastAsia" w:ascii="仿宋" w:hAnsi="仿宋" w:eastAsia="仿宋" w:cs="仿宋"/>
          <w:b w:val="0"/>
          <w:bCs w:val="0"/>
          <w:sz w:val="32"/>
          <w:szCs w:val="32"/>
        </w:rPr>
        <w:t>新建、改建、扩建建（构）筑物场所或者设施的防雷装置，应当与主体工程同时设计、同时施工、同时投入使用。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十四</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trike w:val="0"/>
          <w:dstrike w:val="0"/>
          <w:sz w:val="32"/>
          <w:szCs w:val="32"/>
          <w:lang w:val="en-US" w:eastAsia="zh-CN"/>
        </w:rPr>
        <w:t xml:space="preserve">  </w:t>
      </w:r>
      <w:r>
        <w:rPr>
          <w:rFonts w:hint="eastAsia" w:ascii="仿宋" w:hAnsi="仿宋" w:eastAsia="仿宋" w:cs="仿宋"/>
          <w:b w:val="0"/>
          <w:bCs w:val="0"/>
          <w:sz w:val="32"/>
          <w:szCs w:val="32"/>
        </w:rPr>
        <w:t>防雷工程专业设计单位应当按照国家或者行业规定的防雷技术标准和技术规范进行设计。</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十五</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trike w:val="0"/>
          <w:dstrike w:val="0"/>
          <w:sz w:val="32"/>
          <w:szCs w:val="32"/>
          <w:lang w:val="en-US" w:eastAsia="zh-CN"/>
        </w:rPr>
        <w:t xml:space="preserve">  </w:t>
      </w:r>
      <w:r>
        <w:rPr>
          <w:rFonts w:hint="eastAsia" w:ascii="仿宋" w:hAnsi="仿宋" w:eastAsia="仿宋" w:cs="仿宋"/>
          <w:b w:val="0"/>
          <w:bCs w:val="0"/>
          <w:sz w:val="32"/>
          <w:szCs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市、县（市、区）气象主管机构负责。</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十六</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trike w:val="0"/>
          <w:dstrike w:val="0"/>
          <w:sz w:val="32"/>
          <w:szCs w:val="32"/>
          <w:lang w:val="en-US" w:eastAsia="zh-CN"/>
        </w:rPr>
        <w:t xml:space="preserve">  </w:t>
      </w:r>
      <w:r>
        <w:rPr>
          <w:rFonts w:hint="eastAsia" w:ascii="仿宋" w:hAnsi="仿宋" w:eastAsia="仿宋" w:cs="仿宋"/>
          <w:b w:val="0"/>
          <w:bCs w:val="0"/>
          <w:sz w:val="32"/>
          <w:szCs w:val="32"/>
        </w:rPr>
        <w:t>房屋建筑、市政基础设施、公路、水路、铁路、民航、水利、电力、核电、通信等建设工程的主管部门，负责相应领域内建设工程的防雷管理。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十七</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trike w:val="0"/>
          <w:dstrike w:val="0"/>
          <w:sz w:val="32"/>
          <w:szCs w:val="32"/>
          <w:lang w:val="en-US" w:eastAsia="zh-CN"/>
        </w:rPr>
        <w:t xml:space="preserve">  </w:t>
      </w:r>
      <w:r>
        <w:rPr>
          <w:rFonts w:hint="eastAsia" w:ascii="仿宋" w:hAnsi="仿宋" w:eastAsia="仿宋" w:cs="仿宋"/>
          <w:b w:val="0"/>
          <w:bCs w:val="0"/>
          <w:sz w:val="32"/>
          <w:szCs w:val="32"/>
        </w:rPr>
        <w:t>建设工程设计、施工、监理、检测单位以及业主单位等承担防雷工程质量安全责任。</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十八</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trike w:val="0"/>
          <w:dstrike w:val="0"/>
          <w:sz w:val="32"/>
          <w:szCs w:val="32"/>
          <w:lang w:val="en-US" w:eastAsia="zh-CN"/>
        </w:rPr>
        <w:t xml:space="preserve">  </w:t>
      </w:r>
      <w:r>
        <w:rPr>
          <w:rFonts w:hint="eastAsia" w:ascii="仿宋" w:hAnsi="仿宋" w:eastAsia="仿宋" w:cs="仿宋"/>
          <w:b w:val="0"/>
          <w:bCs w:val="0"/>
          <w:sz w:val="32"/>
          <w:szCs w:val="32"/>
        </w:rPr>
        <w:t>防雷产品应当符合国家质量技术标准，附有产品合格证书和使用说明书。禁止生产、销售、使用不合格的或者国家明令淘汰的防雷产品。</w:t>
      </w:r>
    </w:p>
    <w:p>
      <w:pPr>
        <w:pageBreakBefore w:val="0"/>
        <w:widowControl w:val="0"/>
        <w:kinsoku/>
        <w:wordWrap/>
        <w:overflowPunct/>
        <w:topLinePunct w:val="0"/>
        <w:autoSpaceDE/>
        <w:autoSpaceDN/>
        <w:bidi w:val="0"/>
        <w:adjustRightInd/>
        <w:snapToGrid/>
        <w:spacing w:line="640" w:lineRule="exact"/>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 xml:space="preserve">第三章 </w:t>
      </w:r>
      <w:r>
        <w:rPr>
          <w:rFonts w:hint="eastAsia" w:ascii="黑体" w:hAnsi="黑体" w:eastAsia="黑体" w:cs="黑体"/>
          <w:b w:val="0"/>
          <w:bCs w:val="0"/>
          <w:sz w:val="32"/>
          <w:szCs w:val="32"/>
          <w:lang w:eastAsia="zh-CN"/>
        </w:rPr>
        <w:t>检测维护与调查鉴定</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宋体" w:hAnsi="宋体" w:eastAsia="宋体" w:cs="宋体"/>
          <w:b w:val="0"/>
          <w:bCs w:val="0"/>
          <w:strike w:val="0"/>
          <w:dstrike w:val="0"/>
          <w:sz w:val="32"/>
          <w:szCs w:val="32"/>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十九</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trike w:val="0"/>
          <w:dstrike w:val="0"/>
          <w:sz w:val="32"/>
          <w:szCs w:val="32"/>
          <w:lang w:val="en-US" w:eastAsia="zh-CN"/>
        </w:rPr>
        <w:t xml:space="preserve">  </w:t>
      </w:r>
      <w:r>
        <w:rPr>
          <w:rFonts w:hint="eastAsia" w:ascii="仿宋" w:hAnsi="仿宋" w:eastAsia="仿宋" w:cs="仿宋"/>
          <w:b w:val="0"/>
          <w:bCs w:val="0"/>
          <w:sz w:val="32"/>
          <w:szCs w:val="32"/>
        </w:rPr>
        <w:t>从事防雷检测的单位，应当取得气象主管机构颁发的资质证书。</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二十</w:t>
      </w:r>
      <w:r>
        <w:rPr>
          <w:rFonts w:hint="eastAsia" w:ascii="黑体" w:hAnsi="黑体" w:eastAsia="黑体" w:cs="黑体"/>
          <w:b w:val="0"/>
          <w:bCs w:val="0"/>
          <w:strike w:val="0"/>
          <w:dstrike w:val="0"/>
          <w:sz w:val="32"/>
          <w:szCs w:val="32"/>
        </w:rPr>
        <w:t>条</w:t>
      </w:r>
      <w:r>
        <w:rPr>
          <w:rFonts w:hint="eastAsia" w:ascii="黑体" w:hAnsi="黑体" w:eastAsia="黑体" w:cs="黑体"/>
          <w:b w:val="0"/>
          <w:bCs w:val="0"/>
          <w:strike w:val="0"/>
          <w:dstrike w:val="0"/>
          <w:sz w:val="32"/>
          <w:szCs w:val="32"/>
          <w:lang w:val="en-US" w:eastAsia="zh-CN"/>
        </w:rPr>
        <w:t xml:space="preserve">  </w:t>
      </w:r>
      <w:r>
        <w:rPr>
          <w:rFonts w:hint="eastAsia" w:ascii="仿宋" w:hAnsi="仿宋" w:eastAsia="仿宋" w:cs="仿宋"/>
          <w:b w:val="0"/>
          <w:bCs w:val="0"/>
          <w:sz w:val="32"/>
          <w:szCs w:val="32"/>
        </w:rPr>
        <w:t>投入使用的防雷装置实行定期检测制度。防雷装置应当每年检测一次，对易燃易爆等危险环境场所的防雷装置应当每半年检测一次。</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二十一</w:t>
      </w:r>
      <w:r>
        <w:rPr>
          <w:rFonts w:hint="eastAsia" w:ascii="黑体" w:hAnsi="黑体" w:eastAsia="黑体" w:cs="黑体"/>
          <w:b w:val="0"/>
          <w:bCs w:val="0"/>
          <w:strike w:val="0"/>
          <w:dstrike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防雷检测单位在检测中发现防雷装置存在安全隐患的，应当及时通知被检测单位，并向相应防雷管理机构报告。</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第二十二条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 xml:space="preserve"> 防雷装置的使用单位应当制定雷电灾害防御安全管理制度，指定专人负责防雷装置的日常维护，及时消除安全隐患。</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第二十三条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 xml:space="preserve"> 雷电灾害发生后，市、县（市、区）人民政府应当立即采取措施，启动雷电灾害应急预案，组织有关单位展开应急救援。</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有关单位和个人应当配合雷电灾害救援工作，为实施救援工作提供便利条件。</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第二十四条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 xml:space="preserve"> 市、县（市、区）人民政府和气象主管机构应当及时组织雷电灾害调查、鉴定，报上一级人民政府和气象主管机构。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市、县（市、区）气象主管机构应当定期统计分析本行政区域内发生的雷电灾害情况，提出雷电灾害防御建议，报同级人民政府和上一级气象主管机构。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遭受雷电灾害的单位和个人，应当如实提供有关情况，主动配合气象主管机构做好雷电灾害的调查与鉴定工作。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highlight w:val="none"/>
        </w:rPr>
        <w:t xml:space="preserve">第四章 </w:t>
      </w:r>
      <w:r>
        <w:rPr>
          <w:rFonts w:hint="eastAsia" w:ascii="黑体" w:hAnsi="黑体" w:eastAsia="黑体" w:cs="黑体"/>
          <w:b w:val="0"/>
          <w:bCs w:val="0"/>
          <w:sz w:val="32"/>
          <w:szCs w:val="32"/>
          <w:highlight w:val="none"/>
          <w:lang w:eastAsia="zh-CN"/>
        </w:rPr>
        <w:t>法律责任</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黑体" w:hAnsi="黑体" w:eastAsia="黑体" w:cs="黑体"/>
          <w:b w:val="0"/>
          <w:bCs w:val="0"/>
          <w:kern w:val="2"/>
          <w:sz w:val="32"/>
          <w:szCs w:val="32"/>
          <w:lang w:val="en-US" w:eastAsia="zh-CN" w:bidi="ar-SA"/>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第二十五条 </w:t>
      </w:r>
      <w:r>
        <w:rPr>
          <w:rFonts w:hint="eastAsia" w:ascii="仿宋" w:hAnsi="仿宋" w:eastAsia="仿宋" w:cs="仿宋"/>
          <w:b w:val="0"/>
          <w:bCs w:val="0"/>
          <w:kern w:val="2"/>
          <w:sz w:val="32"/>
          <w:szCs w:val="32"/>
          <w:lang w:val="en-US" w:eastAsia="zh-CN" w:bidi="ar-SA"/>
        </w:rPr>
        <w:t xml:space="preserve"> 违反本条例规定，有下列行为之一的，由市、县（市、区）气象主管机构按照权限责令限期改正，给予警告，可以并处以五万元以上十万元以下罚款；给他人造成损失的，依法承担赔偿责任：</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（一）不具备防雷装置检测资质，擅自从事相关活动的；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kern w:val="2"/>
          <w:sz w:val="32"/>
          <w:szCs w:val="32"/>
          <w:lang w:val="en-US" w:eastAsia="zh-CN" w:bidi="ar-SA"/>
        </w:rPr>
        <w:t>（二）超出防雷装置检测资质等级，从事相关活动的。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kern w:val="0"/>
          <w:sz w:val="32"/>
          <w:szCs w:val="32"/>
        </w:rPr>
      </w:pPr>
      <w:r>
        <w:rPr>
          <w:rFonts w:hint="eastAsia" w:ascii="黑体" w:hAnsi="黑体" w:eastAsia="黑体" w:cs="黑体"/>
          <w:b w:val="0"/>
          <w:bCs w:val="0"/>
          <w:kern w:val="2"/>
          <w:sz w:val="32"/>
          <w:szCs w:val="32"/>
          <w:lang w:val="en-US" w:eastAsia="zh-CN" w:bidi="ar-SA"/>
        </w:rPr>
        <w:t>第二十六条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kern w:val="0"/>
          <w:sz w:val="32"/>
          <w:szCs w:val="32"/>
        </w:rPr>
        <w:t>违反本条例规定，有下列行为之一的，由相应防雷管理机构按照权限责令限期改正，给予警告，可以并处以一万元以上五万元以下罚款；给他人造成损失的，依法承担赔偿责任：</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kern w:val="0"/>
          <w:sz w:val="32"/>
          <w:szCs w:val="32"/>
        </w:rPr>
      </w:pPr>
      <w:r>
        <w:rPr>
          <w:rFonts w:hint="eastAsia" w:ascii="仿宋" w:hAnsi="仿宋" w:eastAsia="仿宋" w:cs="仿宋"/>
          <w:b w:val="0"/>
          <w:bCs w:val="0"/>
          <w:kern w:val="0"/>
          <w:sz w:val="32"/>
          <w:szCs w:val="32"/>
        </w:rPr>
        <w:t>（一）防雷装置设计未按国家有关规定审核或者审核未通过，擅自施工的；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kern w:val="0"/>
          <w:sz w:val="32"/>
          <w:szCs w:val="32"/>
        </w:rPr>
        <w:t>（二）防雷装置未按国家有关规定验收或者未取得验收合格文件，擅自投入使用的。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违反本条例规定，有下列行为之一的，由相应防雷管理机构按照权限责令限期改正，给予警告，可以并处以一千元以上三千元以下罚款；给他人造成损失的，依法承担赔偿责任：</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（一）应当安装防雷装置而拒不安装的；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rPr>
        <w:t>（二）已有防雷装置，拒绝进行检测或者经检测不合格又拒不整改的。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第二十八条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 xml:space="preserve"> 市、县（市、区）气象主管机构、其他国家机关及其工作人员徇私舞弊、玩忽职守、滥用职权的，依法给予行政处分；构成犯罪的，依法追究刑事责任。</w:t>
      </w:r>
    </w:p>
    <w:p>
      <w:pPr>
        <w:pageBreakBefore w:val="0"/>
        <w:widowControl w:val="0"/>
        <w:kinsoku/>
        <w:wordWrap/>
        <w:overflowPunct/>
        <w:topLinePunct w:val="0"/>
        <w:autoSpaceDE/>
        <w:autoSpaceDN/>
        <w:bidi w:val="0"/>
        <w:adjustRightInd/>
        <w:snapToGrid/>
        <w:spacing w:line="640" w:lineRule="exact"/>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 xml:space="preserve">第五章 </w:t>
      </w:r>
      <w:r>
        <w:rPr>
          <w:rFonts w:hint="eastAsia" w:ascii="黑体" w:hAnsi="黑体" w:eastAsia="黑体" w:cs="黑体"/>
          <w:b w:val="0"/>
          <w:bCs w:val="0"/>
          <w:sz w:val="32"/>
          <w:szCs w:val="32"/>
          <w:lang w:eastAsia="zh-CN"/>
        </w:rPr>
        <w:t>附则</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宋体" w:hAnsi="宋体" w:eastAsia="宋体" w:cs="宋体"/>
          <w:b w:val="0"/>
          <w:bCs w:val="0"/>
          <w:strike w:val="0"/>
          <w:dstrike w:val="0"/>
          <w:sz w:val="32"/>
          <w:szCs w:val="32"/>
          <w:lang w:eastAsia="zh-CN"/>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第二十九条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本条例所称防雷装置，是指接闪器、引下线、接地装置、电涌保护器及其连接导体等构成的，用以防御雷电灾害的设施或者系统。</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本条例所称防雷工程，是指通过勘察设计和安装雷电灾害防御装置形成的雷电灾害防御工程实体。</w:t>
      </w:r>
    </w:p>
    <w:p>
      <w:pPr>
        <w:pageBreakBefore w:val="0"/>
        <w:widowControl w:val="0"/>
        <w:kinsoku/>
        <w:wordWrap/>
        <w:overflowPunct/>
        <w:topLinePunct w:val="0"/>
        <w:autoSpaceDE/>
        <w:autoSpaceDN/>
        <w:bidi w:val="0"/>
        <w:adjustRightInd/>
        <w:snapToGrid/>
        <w:spacing w:line="640" w:lineRule="exact"/>
        <w:ind w:firstLine="640" w:firstLineChars="200"/>
        <w:textAlignment w:val="auto"/>
      </w:pPr>
      <w:r>
        <w:rPr>
          <w:rFonts w:hint="eastAsia" w:ascii="黑体" w:hAnsi="黑体" w:eastAsia="黑体" w:cs="黑体"/>
          <w:b w:val="0"/>
          <w:bCs w:val="0"/>
          <w:strike w:val="0"/>
          <w:dstrike w:val="0"/>
          <w:sz w:val="32"/>
          <w:szCs w:val="32"/>
          <w:lang w:eastAsia="zh-CN"/>
        </w:rPr>
        <w:t>第三十条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本条例自2016年5月1日起施行。</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3E063057"/>
    <w:rsid w:val="3EAB0813"/>
    <w:rsid w:val="406052E1"/>
    <w:rsid w:val="406946A7"/>
    <w:rsid w:val="FEFE51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此生无悔</cp:lastModifiedBy>
  <dcterms:modified xsi:type="dcterms:W3CDTF">2021-03-03T08:55:14Z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