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山西省人民代表大会常务委员会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关于资源税具体适用税率等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有关事项的决定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(２０２０年７月３１日山西省第十三届人民代表大会常务委员会第十九次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会议通过)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根据«中华人民共和国资源税法»,现就本省资源税具体 适用税率、计征方式及减征免征事项决定如下: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一、资源税适用税率,按照本决定所附«山西省资源税税 目税率表»执行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二、地热、石灰岩、其他粘土、砂石、矿泉水实行从量计征, 天然卤水实行从价计征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三、有下列情形之一的,减征或者免征资源税: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(一)纳税人开采或者生产应税产品过程中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因意外事故或者自然灾害等原因遭受重大损失的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减征当年度百分之三十资源税,但减税额不超过当年度直接经济损失的百分之三十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(二)纳税人开采共伴生矿、低品位矿的,依据地质勘查报 告和矿产资源储量备案证明,减征百分之三十资源税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(三)纳税人开采尾矿的,免征资源税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四、本决定自２０２０年９月１日起施行.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附件:山西省资源税税目税率表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5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tbl>
      <w:tblPr>
        <w:tblStyle w:val="4"/>
        <w:tblW w:w="0" w:type="auto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1525"/>
        <w:gridCol w:w="2619"/>
        <w:gridCol w:w="2105"/>
        <w:gridCol w:w="14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附件：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eastAsia" w:ascii="华文中宋" w:hAnsi="华文中宋" w:eastAsia="华文中宋" w:cs="华文中宋"/>
                <w:sz w:val="36"/>
                <w:szCs w:val="36"/>
                <w:lang w:val="en-US" w:eastAsia="zh-CN"/>
              </w:rPr>
              <w:t>山西省资源税税目税率表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税目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税  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原矿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选矿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能源矿产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原油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天然气、页岩气、天然气水合物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6.5%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煤成（层）气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铀、钍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油页岩、油砂、天然沥青、石煤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2.5%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地热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回灌地热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1元/立方米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其他地热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10元/立方米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金属矿产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黑色金属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5.4%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3%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3.5%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2.8%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铬、钒、钛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有色金属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4.2%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3%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铅、锌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锡、镍、锑、镁、钴、铋、汞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4.8%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铝土矿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7.2%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6.5%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3.9%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3.5%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4.5%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铂、钯、钌、锇、铱、铑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7.5%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轻稀土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9.5%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中重稀土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铍、锂、锆、锶、铷、铯、铌、钽、锗、镓、铟、铊、铪、铼、镉、硒、碲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4.8%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非金属矿产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矿物类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高岭土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2.5%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石灰岩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2.5元/吨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2.5元/吨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5.5%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5.5%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石墨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3%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萤石、硫铁矿、自然硫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4.5%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4.5%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芒硝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3%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脉石英、膨润土、耐火粘土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2.5%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天然石英砂、粉石英、水晶、工业用金刚石、冰洲石、蓝晶石、硅线石(矽线石)、长石、滑石、刚玉、菱镁矿、颜料矿物、天然碱、钠硝石、明矾石、砷、硼、碘、溴、硅藻土、陶瓷土、铁矾土、凹凸棒石粘土、海泡石粘土、伊利石粘土、累托石粘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6.5%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6.5%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沸石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12%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12%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石膏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10%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10%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硅灰石、珍珠岩、重晶石、蛭石、石榴子石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2.5%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叶蜡石、透辉石、云母、毒重石、方解石、透闪石、工业用电气石、白垩、石棉、蓝石棉、红柱石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7%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其他粘土(铸型用粘土、砖瓦用粘土、陶粒用粘土、水泥配料用粘土、水泥配料用红土、水泥配料用黄土、水泥配料用泥岩、保温材料用粘土）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3.3元/吨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3.3元/吨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岩石类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大理岩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花岗岩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白云岩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石英岩、砂岩、玄武岩、片麻岩、页岩、浮石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2.5%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2.5%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辉绿岩、安山岩、闪长岩、板岩、角闪岩、凝灰岩、黑曜岩、霞石正长岩、蛇纹岩、麦饭石、泥灰岩、含钾岩石、含钾砂页岩、天然油石、橄榄岩、松脂岩、粗面岩、辉长岩、辉石岩、正长岩、火山灰、火山渣、泥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5.5%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5.5%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砂石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1.7元/吨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1.7元/吨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宝玉石类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宝石、玉石、宝石级金刚石、玛瑙、黄玉、碧玺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12%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12%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水气矿产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二氧化碳气、硫化氢气、氦气、氡气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3.5%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矿泉水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10元/立方米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盐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钠盐、钾盐、镁盐、锂盐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天然卤水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海盐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仿宋_GB2312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  <w:t>3.5%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仿宋_GB2312" w:cs="Times New Roman"/>
          <w:sz w:val="32"/>
          <w:szCs w:val="32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1701" w:gutter="0"/>
      <w:pgNumType w:fmt="numberInDash"/>
      <w:cols w:space="0" w:num="1"/>
      <w:rtlGutter w:val="0"/>
      <w:docGrid w:type="linesAndChars" w:linePitch="579" w:charSpace="216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o6nIZAgAAIQ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rqOpy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evenAndOddHeaders w:val="1"/>
  <w:drawingGridHorizontalSpacing w:val="158"/>
  <w:drawingGridVerticalSpacing w:val="29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023A0"/>
    <w:rsid w:val="3C1C36C9"/>
    <w:rsid w:val="624C1638"/>
    <w:rsid w:val="6CFA21A1"/>
    <w:rsid w:val="6FDE4AE5"/>
    <w:rsid w:val="7CF2033E"/>
    <w:rsid w:val="7D8755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Lenovo-</dc:creator>
  <cp:lastModifiedBy>此生无悔</cp:lastModifiedBy>
  <dcterms:modified xsi:type="dcterms:W3CDTF">2020-09-03T02:26:36Z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