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400" w:lineRule="exact"/>
        <w:textAlignment w:val="auto"/>
        <w:rPr>
          <w:rFonts w:hint="eastAsia" w:ascii="黑体" w:hAnsi="黑体" w:eastAsia="黑体"/>
          <w:sz w:val="30"/>
          <w:szCs w:val="30"/>
        </w:rPr>
      </w:pPr>
    </w:p>
    <w:p>
      <w:pPr>
        <w:pStyle w:val="10"/>
        <w:keepNext w:val="0"/>
        <w:keepLines w:val="0"/>
        <w:pageBreakBefore w:val="0"/>
        <w:kinsoku/>
        <w:wordWrap/>
        <w:overflowPunct/>
        <w:topLinePunct w:val="0"/>
        <w:autoSpaceDE/>
        <w:autoSpaceDN/>
        <w:bidi w:val="0"/>
        <w:spacing w:line="660" w:lineRule="exact"/>
        <w:ind w:left="0" w:leftChars="0" w:firstLine="0" w:firstLineChars="0"/>
        <w:jc w:val="left"/>
        <w:textAlignment w:val="auto"/>
        <w:rPr>
          <w:rFonts w:hint="eastAsia" w:ascii="方正小标宋简体" w:hAnsi="方正小标宋简体" w:eastAsia="方正小标宋简体" w:cs="方正小标宋简体"/>
          <w:b w:val="0"/>
          <w:bCs w:val="0"/>
          <w:sz w:val="32"/>
          <w:szCs w:val="32"/>
          <w:u w:val="none"/>
          <w:lang w:eastAsia="zh-CN"/>
        </w:rPr>
      </w:pPr>
    </w:p>
    <w:p>
      <w:pPr>
        <w:pStyle w:val="10"/>
        <w:keepNext w:val="0"/>
        <w:keepLines w:val="0"/>
        <w:pageBreakBefore w:val="0"/>
        <w:kinsoku/>
        <w:wordWrap/>
        <w:overflowPunct/>
        <w:topLinePunct w:val="0"/>
        <w:autoSpaceDE/>
        <w:autoSpaceDN/>
        <w:bidi w:val="0"/>
        <w:spacing w:line="660" w:lineRule="exact"/>
        <w:ind w:left="0" w:leftChars="0" w:firstLine="0" w:firstLineChars="0"/>
        <w:jc w:val="left"/>
        <w:textAlignment w:val="auto"/>
        <w:rPr>
          <w:rFonts w:hint="eastAsia" w:ascii="方正小标宋简体" w:hAnsi="方正小标宋简体" w:eastAsia="方正小标宋简体" w:cs="方正小标宋简体"/>
          <w:b w:val="0"/>
          <w:bCs w:val="0"/>
          <w:sz w:val="32"/>
          <w:szCs w:val="32"/>
          <w:u w:val="none"/>
          <w:lang w:eastAsia="zh-CN"/>
        </w:rPr>
      </w:pPr>
    </w:p>
    <w:p>
      <w:pPr>
        <w:pStyle w:val="10"/>
        <w:keepNext w:val="0"/>
        <w:keepLines w:val="0"/>
        <w:pageBreakBefore w:val="0"/>
        <w:kinsoku/>
        <w:wordWrap/>
        <w:overflowPunct/>
        <w:topLinePunct w:val="0"/>
        <w:autoSpaceDE/>
        <w:autoSpaceDN/>
        <w:bidi w:val="0"/>
        <w:spacing w:line="660" w:lineRule="exact"/>
        <w:ind w:firstLine="883"/>
        <w:jc w:val="center"/>
        <w:textAlignment w:val="auto"/>
        <w:rPr>
          <w:rFonts w:hint="eastAsia" w:ascii="方正小标宋简体" w:hAnsi="方正小标宋简体" w:eastAsia="方正小标宋简体" w:cs="方正小标宋简体"/>
          <w:b w:val="0"/>
          <w:bCs w:val="0"/>
          <w:sz w:val="44"/>
          <w:szCs w:val="48"/>
          <w:u w:val="none"/>
        </w:rPr>
      </w:pPr>
      <w:r>
        <w:rPr>
          <w:rFonts w:hint="eastAsia" w:ascii="方正小标宋简体" w:hAnsi="方正小标宋简体" w:eastAsia="方正小标宋简体" w:cs="方正小标宋简体"/>
          <w:b w:val="0"/>
          <w:bCs w:val="0"/>
          <w:sz w:val="44"/>
          <w:szCs w:val="48"/>
          <w:u w:val="none"/>
        </w:rPr>
        <w:t>山西省知识产权保护</w:t>
      </w:r>
      <w:r>
        <w:rPr>
          <w:rFonts w:hint="eastAsia" w:ascii="方正小标宋简体" w:hAnsi="方正小标宋简体" w:eastAsia="方正小标宋简体" w:cs="方正小标宋简体"/>
          <w:b w:val="0"/>
          <w:bCs w:val="0"/>
          <w:sz w:val="44"/>
          <w:szCs w:val="48"/>
          <w:u w:val="none"/>
          <w:lang w:eastAsia="zh-CN"/>
        </w:rPr>
        <w:t>工作</w:t>
      </w:r>
      <w:r>
        <w:rPr>
          <w:rFonts w:hint="eastAsia" w:ascii="方正小标宋简体" w:hAnsi="方正小标宋简体" w:eastAsia="方正小标宋简体" w:cs="方正小标宋简体"/>
          <w:b w:val="0"/>
          <w:bCs w:val="0"/>
          <w:sz w:val="44"/>
          <w:szCs w:val="48"/>
          <w:u w:val="none"/>
        </w:rPr>
        <w:t>条例</w:t>
      </w:r>
    </w:p>
    <w:p>
      <w:pPr>
        <w:pStyle w:val="10"/>
        <w:keepNext w:val="0"/>
        <w:keepLines w:val="0"/>
        <w:pageBreakBefore w:val="0"/>
        <w:kinsoku/>
        <w:wordWrap/>
        <w:overflowPunct/>
        <w:topLinePunct w:val="0"/>
        <w:autoSpaceDE/>
        <w:autoSpaceDN/>
        <w:bidi w:val="0"/>
        <w:spacing w:line="660" w:lineRule="exact"/>
        <w:ind w:firstLine="883"/>
        <w:jc w:val="center"/>
        <w:textAlignment w:val="auto"/>
        <w:rPr>
          <w:rFonts w:hint="eastAsia" w:ascii="方正小标宋简体" w:hAnsi="方正小标宋简体" w:eastAsia="方正小标宋简体" w:cs="方正小标宋简体"/>
          <w:b w:val="0"/>
          <w:bCs w:val="0"/>
          <w:sz w:val="44"/>
          <w:szCs w:val="48"/>
          <w:u w:val="none"/>
        </w:rPr>
      </w:pPr>
    </w:p>
    <w:p>
      <w:pPr>
        <w:pStyle w:val="10"/>
        <w:keepNext w:val="0"/>
        <w:keepLines w:val="0"/>
        <w:pageBreakBefore w:val="0"/>
        <w:widowControl w:val="0"/>
        <w:kinsoku/>
        <w:wordWrap/>
        <w:overflowPunct/>
        <w:topLinePunct w:val="0"/>
        <w:autoSpaceDE/>
        <w:autoSpaceDN/>
        <w:bidi w:val="0"/>
        <w:adjustRightInd/>
        <w:snapToGrid/>
        <w:spacing w:beforeLines="50" w:afterLines="50" w:line="600" w:lineRule="exact"/>
        <w:ind w:firstLine="643"/>
        <w:jc w:val="center"/>
        <w:textAlignment w:val="auto"/>
        <w:rPr>
          <w:rFonts w:hint="eastAsia" w:ascii="楷体" w:hAnsi="楷体" w:eastAsia="楷体" w:cs="楷体"/>
          <w:b w:val="0"/>
          <w:bCs w:val="0"/>
          <w:color w:val="000000"/>
          <w:sz w:val="32"/>
          <w:szCs w:val="32"/>
          <w:u w:val="none"/>
          <w:lang w:val="en-US" w:eastAsia="zh-CN"/>
        </w:rPr>
      </w:pPr>
      <w:r>
        <w:rPr>
          <w:rFonts w:hint="eastAsia" w:ascii="楷体" w:hAnsi="楷体" w:eastAsia="楷体" w:cs="楷体"/>
          <w:b w:val="0"/>
          <w:bCs w:val="0"/>
          <w:color w:val="000000"/>
          <w:sz w:val="32"/>
          <w:szCs w:val="32"/>
          <w:u w:val="none"/>
          <w:lang w:eastAsia="zh-CN"/>
        </w:rPr>
        <w:t>（</w:t>
      </w:r>
      <w:r>
        <w:rPr>
          <w:rFonts w:hint="eastAsia" w:ascii="楷体" w:hAnsi="楷体" w:eastAsia="楷体" w:cs="楷体"/>
          <w:b w:val="0"/>
          <w:bCs w:val="0"/>
          <w:color w:val="000000"/>
          <w:sz w:val="32"/>
          <w:szCs w:val="32"/>
          <w:u w:val="none"/>
          <w:lang w:val="en-US" w:eastAsia="zh-CN"/>
        </w:rPr>
        <w:t>2021年5月28日山西省第十三届人民代表大会</w:t>
      </w:r>
    </w:p>
    <w:p>
      <w:pPr>
        <w:pStyle w:val="10"/>
        <w:keepNext w:val="0"/>
        <w:keepLines w:val="0"/>
        <w:pageBreakBefore w:val="0"/>
        <w:widowControl w:val="0"/>
        <w:kinsoku/>
        <w:wordWrap/>
        <w:overflowPunct/>
        <w:topLinePunct w:val="0"/>
        <w:autoSpaceDE/>
        <w:autoSpaceDN/>
        <w:bidi w:val="0"/>
        <w:adjustRightInd/>
        <w:snapToGrid/>
        <w:spacing w:beforeLines="50" w:afterLines="50" w:line="600" w:lineRule="exact"/>
        <w:ind w:firstLine="643"/>
        <w:jc w:val="center"/>
        <w:textAlignment w:val="auto"/>
        <w:rPr>
          <w:rFonts w:hint="eastAsia" w:ascii="楷体" w:hAnsi="楷体" w:eastAsia="楷体" w:cs="楷体"/>
          <w:b w:val="0"/>
          <w:bCs w:val="0"/>
          <w:color w:val="000000"/>
          <w:sz w:val="32"/>
          <w:szCs w:val="32"/>
          <w:u w:val="none"/>
          <w:lang w:eastAsia="zh-CN"/>
        </w:rPr>
      </w:pPr>
      <w:r>
        <w:rPr>
          <w:rFonts w:hint="eastAsia" w:ascii="楷体" w:hAnsi="楷体" w:eastAsia="楷体" w:cs="楷体"/>
          <w:b w:val="0"/>
          <w:bCs w:val="0"/>
          <w:color w:val="000000"/>
          <w:sz w:val="32"/>
          <w:szCs w:val="32"/>
          <w:u w:val="none"/>
          <w:lang w:val="en-US" w:eastAsia="zh-CN"/>
        </w:rPr>
        <w:t>常务委员会第二十七次会议通过</w:t>
      </w:r>
      <w:r>
        <w:rPr>
          <w:rFonts w:hint="eastAsia" w:ascii="楷体" w:hAnsi="楷体" w:eastAsia="楷体" w:cs="楷体"/>
          <w:b w:val="0"/>
          <w:bCs w:val="0"/>
          <w:color w:val="000000"/>
          <w:sz w:val="32"/>
          <w:szCs w:val="32"/>
          <w:u w:val="none"/>
          <w:lang w:eastAsia="zh-CN"/>
        </w:rPr>
        <w:t>）</w:t>
      </w:r>
    </w:p>
    <w:p>
      <w:pPr>
        <w:pStyle w:val="10"/>
        <w:keepNext w:val="0"/>
        <w:keepLines w:val="0"/>
        <w:pageBreakBefore w:val="0"/>
        <w:numPr>
          <w:ilvl w:val="0"/>
          <w:numId w:val="0"/>
        </w:numPr>
        <w:kinsoku/>
        <w:wordWrap/>
        <w:overflowPunct/>
        <w:topLinePunct w:val="0"/>
        <w:autoSpaceDE/>
        <w:autoSpaceDN/>
        <w:bidi w:val="0"/>
        <w:spacing w:beforeLines="50" w:afterLines="50" w:line="660" w:lineRule="exact"/>
        <w:jc w:val="both"/>
        <w:textAlignment w:val="auto"/>
        <w:rPr>
          <w:rFonts w:hint="eastAsia" w:ascii="黑体" w:hAnsi="黑体" w:eastAsia="黑体" w:cs="黑体"/>
          <w:color w:val="000000"/>
          <w:sz w:val="32"/>
          <w:szCs w:val="32"/>
          <w:u w:val="none"/>
        </w:rPr>
      </w:pPr>
    </w:p>
    <w:p>
      <w:pPr>
        <w:pStyle w:val="10"/>
        <w:keepNext w:val="0"/>
        <w:keepLines w:val="0"/>
        <w:pageBreakBefore w:val="0"/>
        <w:numPr>
          <w:ilvl w:val="0"/>
          <w:numId w:val="0"/>
        </w:numPr>
        <w:kinsoku/>
        <w:wordWrap/>
        <w:overflowPunct/>
        <w:topLinePunct w:val="0"/>
        <w:autoSpaceDE/>
        <w:autoSpaceDN/>
        <w:bidi w:val="0"/>
        <w:spacing w:beforeLines="50" w:afterLines="50" w:line="660" w:lineRule="exact"/>
        <w:jc w:val="center"/>
        <w:textAlignment w:val="auto"/>
        <w:rPr>
          <w:rFonts w:hint="eastAsia" w:ascii="黑体" w:hAnsi="黑体" w:eastAsia="黑体" w:cs="黑体"/>
          <w:color w:val="000000"/>
          <w:sz w:val="32"/>
          <w:szCs w:val="32"/>
          <w:u w:val="none"/>
        </w:rPr>
      </w:pPr>
      <w:r>
        <w:rPr>
          <w:rFonts w:hint="eastAsia" w:ascii="黑体" w:hAnsi="黑体" w:eastAsia="黑体" w:cs="黑体"/>
          <w:color w:val="000000"/>
          <w:sz w:val="32"/>
          <w:szCs w:val="32"/>
          <w:u w:val="none"/>
          <w:lang w:eastAsia="zh-CN"/>
        </w:rPr>
        <w:t>第一章</w:t>
      </w:r>
      <w:r>
        <w:rPr>
          <w:rFonts w:hint="eastAsia" w:ascii="黑体" w:hAnsi="黑体" w:eastAsia="黑体" w:cs="黑体"/>
          <w:color w:val="000000"/>
          <w:sz w:val="32"/>
          <w:szCs w:val="32"/>
          <w:u w:val="none"/>
          <w:lang w:val="en-US" w:eastAsia="zh-CN"/>
        </w:rPr>
        <w:t xml:space="preserve"> </w:t>
      </w:r>
      <w:r>
        <w:rPr>
          <w:rFonts w:hint="eastAsia" w:ascii="黑体" w:hAnsi="黑体" w:eastAsia="黑体" w:cs="黑体"/>
          <w:color w:val="000000"/>
          <w:sz w:val="32"/>
          <w:szCs w:val="32"/>
          <w:u w:val="none"/>
        </w:rPr>
        <w:t xml:space="preserve"> 总  则</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eastAsia="zh-CN"/>
        </w:rPr>
      </w:pPr>
    </w:p>
    <w:p>
      <w:pPr>
        <w:keepNext w:val="0"/>
        <w:keepLines w:val="0"/>
        <w:pageBreakBefore w:val="0"/>
        <w:widowControl/>
        <w:kinsoku/>
        <w:wordWrap/>
        <w:overflowPunct/>
        <w:topLinePunct w:val="0"/>
        <w:autoSpaceDE/>
        <w:autoSpaceDN/>
        <w:bidi w:val="0"/>
        <w:adjustRightInd w:val="0"/>
        <w:snapToGrid w:val="0"/>
        <w:spacing w:line="660" w:lineRule="exact"/>
        <w:ind w:firstLine="720" w:firstLineChars="200"/>
        <w:textAlignment w:val="auto"/>
        <w:rPr>
          <w:rFonts w:hint="eastAsia" w:ascii="仿宋" w:hAnsi="仿宋" w:eastAsia="仿宋" w:cs="仿宋"/>
          <w:color w:val="000000"/>
          <w:sz w:val="36"/>
          <w:szCs w:val="36"/>
          <w:u w:val="none"/>
        </w:rPr>
      </w:pPr>
      <w:r>
        <w:rPr>
          <w:rFonts w:hint="eastAsia" w:ascii="黑体" w:hAnsi="黑体" w:eastAsia="黑体" w:cs="黑体"/>
          <w:color w:val="000000"/>
          <w:sz w:val="36"/>
          <w:szCs w:val="36"/>
          <w:u w:val="none"/>
        </w:rPr>
        <w:t>第一条</w:t>
      </w:r>
      <w:r>
        <w:rPr>
          <w:rFonts w:hint="eastAsia" w:ascii="仿宋" w:hAnsi="仿宋" w:eastAsia="仿宋" w:cs="仿宋"/>
          <w:color w:val="000000"/>
          <w:sz w:val="36"/>
          <w:szCs w:val="36"/>
          <w:u w:val="none"/>
        </w:rPr>
        <w:t xml:space="preserve"> 为了加强知识产权保护，激发创新创业</w:t>
      </w:r>
      <w:r>
        <w:rPr>
          <w:rFonts w:hint="eastAsia" w:ascii="仿宋" w:hAnsi="仿宋" w:eastAsia="仿宋" w:cs="仿宋"/>
          <w:color w:val="000000"/>
          <w:sz w:val="36"/>
          <w:szCs w:val="36"/>
          <w:u w:val="none"/>
          <w:lang w:eastAsia="zh-CN"/>
        </w:rPr>
        <w:t>创造</w:t>
      </w:r>
      <w:r>
        <w:rPr>
          <w:rFonts w:hint="eastAsia" w:ascii="仿宋" w:hAnsi="仿宋" w:eastAsia="仿宋" w:cs="仿宋"/>
          <w:color w:val="000000"/>
          <w:sz w:val="36"/>
          <w:szCs w:val="36"/>
          <w:u w:val="none"/>
        </w:rPr>
        <w:t>活力，推动高质量转型发展，根据有关法律、行政法规，结合本省实际，制定本条例。</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b/>
          <w:bCs/>
          <w:color w:val="000000"/>
          <w:sz w:val="36"/>
          <w:szCs w:val="36"/>
          <w:u w:val="none"/>
        </w:rPr>
      </w:pPr>
      <w:r>
        <w:rPr>
          <w:rFonts w:hint="eastAsia" w:ascii="黑体" w:hAnsi="黑体" w:eastAsia="黑体" w:cs="黑体"/>
          <w:color w:val="000000"/>
          <w:sz w:val="36"/>
          <w:szCs w:val="36"/>
          <w:u w:val="none"/>
        </w:rPr>
        <w:t>第二条</w:t>
      </w:r>
      <w:r>
        <w:rPr>
          <w:rFonts w:hint="eastAsia" w:ascii="仿宋" w:hAnsi="仿宋" w:eastAsia="仿宋" w:cs="仿宋"/>
          <w:color w:val="000000"/>
          <w:sz w:val="36"/>
          <w:szCs w:val="36"/>
          <w:u w:val="none"/>
        </w:rPr>
        <w:t xml:space="preserve"> 本条例所称知识产权，是指权利人依法就下列客体享有的专有的权利：</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（一）作品；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（二）发明、实用新型、外观设计；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（三）商标；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（四）地理标志；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（五）商业秘密；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（六）集成电路布图设计；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 xml:space="preserve">（七）植物新品种； </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（八）法律规定的其他客体。</w:t>
      </w:r>
    </w:p>
    <w:p>
      <w:pPr>
        <w:keepNext w:val="0"/>
        <w:keepLines w:val="0"/>
        <w:pageBreakBefore w:val="0"/>
        <w:kinsoku/>
        <w:wordWrap/>
        <w:overflowPunct/>
        <w:topLinePunct w:val="0"/>
        <w:autoSpaceDE/>
        <w:autoSpaceDN/>
        <w:bidi w:val="0"/>
        <w:spacing w:line="660" w:lineRule="exact"/>
        <w:ind w:firstLine="720" w:firstLineChars="20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三</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县级以上人民政府应当加强对知识产权保护工作的领导，将知识产权保护工作纳入国民经济和社会发展规划，完善知识产权保护体系，并将所需经费纳入本级财政预算。</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b/>
          <w:bCs/>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四</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县级以上人民政府市场监督管理部门负责专利、商标、地理标志、商业秘密、集成电路布图设计的知识产权保护及相关工作。</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县级以上人民政府农业农村、林业和草原部门负责植物新品种的知识产权保护及相关工作。</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县级以上著作权管理部门负责著作权的知识产权保护及相关工作。</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rPr>
      </w:pPr>
      <w:r>
        <w:rPr>
          <w:rFonts w:hint="eastAsia" w:ascii="仿宋" w:hAnsi="仿宋" w:eastAsia="仿宋" w:cs="仿宋"/>
          <w:color w:val="000000"/>
          <w:sz w:val="36"/>
          <w:szCs w:val="36"/>
          <w:u w:val="none"/>
          <w:lang w:eastAsia="zh-CN"/>
        </w:rPr>
        <w:t>发展和改革、工业和信息化、教育、</w:t>
      </w:r>
      <w:r>
        <w:rPr>
          <w:rFonts w:hint="eastAsia" w:ascii="仿宋" w:hAnsi="仿宋" w:eastAsia="仿宋" w:cs="仿宋"/>
          <w:color w:val="000000"/>
          <w:sz w:val="36"/>
          <w:szCs w:val="36"/>
          <w:highlight w:val="none"/>
          <w:u w:val="none"/>
          <w:lang w:eastAsia="zh-CN"/>
        </w:rPr>
        <w:t>科技、公安、司法行政、商务、文化和旅游、网信、海关等</w:t>
      </w:r>
      <w:r>
        <w:rPr>
          <w:rFonts w:hint="eastAsia" w:ascii="仿宋" w:hAnsi="仿宋" w:eastAsia="仿宋" w:cs="仿宋"/>
          <w:color w:val="000000"/>
          <w:sz w:val="36"/>
          <w:szCs w:val="36"/>
          <w:u w:val="none"/>
        </w:rPr>
        <w:t>有关部门按照各自职责，做好知识产权保护相关工作。</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eastAsia="zh-CN"/>
        </w:rPr>
      </w:pPr>
      <w:r>
        <w:rPr>
          <w:rFonts w:hint="eastAsia" w:ascii="仿宋" w:hAnsi="仿宋" w:eastAsia="仿宋" w:cs="仿宋"/>
          <w:color w:val="000000"/>
          <w:sz w:val="36"/>
          <w:szCs w:val="36"/>
          <w:u w:val="none"/>
          <w:lang w:eastAsia="zh-CN"/>
        </w:rPr>
        <w:t>本条第一款、第二款、第三款规定的部门，以下统称负责知识产权保护的部门。</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第五条</w:t>
      </w:r>
      <w:r>
        <w:rPr>
          <w:rFonts w:hint="eastAsia" w:ascii="仿宋" w:hAnsi="仿宋" w:eastAsia="仿宋" w:cs="仿宋"/>
          <w:color w:val="000000"/>
          <w:sz w:val="36"/>
          <w:szCs w:val="36"/>
          <w:u w:val="none"/>
          <w:lang w:val="en-US" w:eastAsia="zh-CN"/>
        </w:rPr>
        <w:t xml:space="preserve"> 县级以上人民政府及有关部门应当加强知识产权保护的宣传普及，增强全社会知识产权保护意识和保护能力，营造尊重知识价值、崇尚创新、诚信守法的知识产权保护环境。</w:t>
      </w:r>
    </w:p>
    <w:p>
      <w:pPr>
        <w:keepNext w:val="0"/>
        <w:keepLines w:val="0"/>
        <w:pageBreakBefore w:val="0"/>
        <w:kinsoku/>
        <w:wordWrap/>
        <w:overflowPunct/>
        <w:topLinePunct w:val="0"/>
        <w:autoSpaceDE/>
        <w:autoSpaceDN/>
        <w:bidi w:val="0"/>
        <w:spacing w:line="660" w:lineRule="exact"/>
        <w:ind w:firstLine="640"/>
        <w:textAlignment w:val="auto"/>
        <w:rPr>
          <w:rFonts w:hint="default" w:ascii="仿宋" w:hAnsi="仿宋" w:eastAsia="仿宋" w:cs="仿宋"/>
          <w:color w:val="000000"/>
          <w:sz w:val="36"/>
          <w:szCs w:val="36"/>
          <w:u w:val="none"/>
          <w:lang w:val="en-US" w:eastAsia="zh-CN"/>
        </w:rPr>
      </w:pPr>
      <w:bookmarkStart w:id="0" w:name="_GoBack"/>
      <w:bookmarkEnd w:id="0"/>
      <w:r>
        <w:rPr>
          <w:rFonts w:hint="eastAsia" w:ascii="仿宋" w:hAnsi="仿宋" w:eastAsia="仿宋" w:cs="仿宋"/>
          <w:color w:val="000000"/>
          <w:sz w:val="36"/>
          <w:szCs w:val="36"/>
          <w:u w:val="none"/>
          <w:lang w:val="en-US" w:eastAsia="zh-CN"/>
        </w:rPr>
        <w:t>鼓励新闻媒体开展知识产权保护的公益宣传。</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六</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县级以上人民政府按照有关规定，对在知识产权保护工作中做出突出贡献的单位和个人</w:t>
      </w:r>
      <w:r>
        <w:rPr>
          <w:rFonts w:hint="eastAsia" w:ascii="仿宋" w:hAnsi="仿宋" w:eastAsia="仿宋" w:cs="仿宋"/>
          <w:color w:val="000000"/>
          <w:sz w:val="36"/>
          <w:szCs w:val="36"/>
          <w:u w:val="none"/>
          <w:lang w:eastAsia="zh-CN"/>
        </w:rPr>
        <w:t>，</w:t>
      </w:r>
      <w:r>
        <w:rPr>
          <w:rFonts w:hint="eastAsia" w:ascii="仿宋" w:hAnsi="仿宋" w:eastAsia="仿宋" w:cs="仿宋"/>
          <w:color w:val="000000"/>
          <w:sz w:val="36"/>
          <w:szCs w:val="36"/>
          <w:u w:val="none"/>
        </w:rPr>
        <w:t>给予表彰和奖励。</w:t>
      </w:r>
    </w:p>
    <w:p>
      <w:pPr>
        <w:keepNext w:val="0"/>
        <w:keepLines w:val="0"/>
        <w:pageBreakBefore w:val="0"/>
        <w:kinsoku/>
        <w:wordWrap/>
        <w:overflowPunct/>
        <w:topLinePunct w:val="0"/>
        <w:autoSpaceDE/>
        <w:autoSpaceDN/>
        <w:bidi w:val="0"/>
        <w:spacing w:line="660" w:lineRule="exact"/>
        <w:ind w:firstLine="64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七</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鼓励和支持社会力量参与知识产权保护相关工作，开展知识产权维权援助，提供知识产权保护服务。</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eastAsia="zh-CN"/>
        </w:rPr>
      </w:pPr>
    </w:p>
    <w:p>
      <w:pPr>
        <w:pStyle w:val="10"/>
        <w:keepNext w:val="0"/>
        <w:keepLines w:val="0"/>
        <w:pageBreakBefore w:val="0"/>
        <w:kinsoku/>
        <w:wordWrap/>
        <w:overflowPunct/>
        <w:topLinePunct w:val="0"/>
        <w:autoSpaceDE/>
        <w:autoSpaceDN/>
        <w:bidi w:val="0"/>
        <w:spacing w:beforeLines="50" w:afterLines="50" w:line="660" w:lineRule="exact"/>
        <w:ind w:firstLine="0" w:firstLineChars="0"/>
        <w:jc w:val="center"/>
        <w:textAlignment w:val="auto"/>
        <w:rPr>
          <w:rFonts w:ascii="黑体" w:hAnsi="黑体" w:eastAsia="黑体" w:cs="黑体"/>
          <w:color w:val="000000"/>
          <w:sz w:val="36"/>
          <w:szCs w:val="36"/>
          <w:u w:val="none"/>
        </w:rPr>
      </w:pPr>
      <w:r>
        <w:rPr>
          <w:rFonts w:hint="eastAsia" w:ascii="黑体" w:hAnsi="黑体" w:eastAsia="黑体" w:cs="黑体"/>
          <w:color w:val="000000"/>
          <w:sz w:val="36"/>
          <w:szCs w:val="36"/>
          <w:u w:val="none"/>
        </w:rPr>
        <w:t>第二章  工作机制</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eastAsia="zh-CN"/>
        </w:rPr>
      </w:pPr>
    </w:p>
    <w:p>
      <w:pPr>
        <w:keepNext w:val="0"/>
        <w:keepLines w:val="0"/>
        <w:pageBreakBefore w:val="0"/>
        <w:kinsoku/>
        <w:wordWrap/>
        <w:overflowPunct/>
        <w:topLinePunct w:val="0"/>
        <w:autoSpaceDE/>
        <w:autoSpaceDN/>
        <w:bidi w:val="0"/>
        <w:spacing w:line="660" w:lineRule="exact"/>
        <w:ind w:firstLine="720" w:firstLineChars="200"/>
        <w:textAlignment w:val="auto"/>
        <w:rPr>
          <w:rFonts w:hint="eastAsia"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八</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省人民政府统筹开展全省知识产权战略实施工作，</w:t>
      </w:r>
      <w:r>
        <w:rPr>
          <w:rFonts w:hint="eastAsia" w:ascii="仿宋" w:hAnsi="仿宋" w:eastAsia="仿宋" w:cs="仿宋"/>
          <w:color w:val="000000"/>
          <w:sz w:val="36"/>
          <w:szCs w:val="36"/>
          <w:u w:val="none"/>
          <w:lang w:eastAsia="zh-CN"/>
        </w:rPr>
        <w:t>建立</w:t>
      </w:r>
      <w:r>
        <w:rPr>
          <w:rFonts w:hint="eastAsia" w:ascii="仿宋" w:hAnsi="仿宋" w:eastAsia="仿宋" w:cs="仿宋"/>
          <w:color w:val="000000"/>
          <w:sz w:val="36"/>
          <w:szCs w:val="36"/>
          <w:u w:val="none"/>
        </w:rPr>
        <w:t>知识产权保护联席会议</w:t>
      </w:r>
      <w:r>
        <w:rPr>
          <w:rFonts w:hint="eastAsia" w:ascii="仿宋" w:hAnsi="仿宋" w:eastAsia="仿宋" w:cs="仿宋"/>
          <w:color w:val="000000"/>
          <w:sz w:val="36"/>
          <w:szCs w:val="36"/>
          <w:u w:val="none"/>
          <w:lang w:eastAsia="zh-CN"/>
        </w:rPr>
        <w:t>制度</w:t>
      </w:r>
      <w:r>
        <w:rPr>
          <w:rFonts w:hint="eastAsia" w:ascii="仿宋" w:hAnsi="仿宋" w:eastAsia="仿宋" w:cs="仿宋"/>
          <w:color w:val="000000"/>
          <w:sz w:val="36"/>
          <w:szCs w:val="36"/>
          <w:u w:val="none"/>
        </w:rPr>
        <w:t>，协调解决知识产权保护工作中的重大问题。</w:t>
      </w:r>
    </w:p>
    <w:p>
      <w:pPr>
        <w:keepNext w:val="0"/>
        <w:keepLines w:val="0"/>
        <w:pageBreakBefore w:val="0"/>
        <w:kinsoku/>
        <w:wordWrap/>
        <w:overflowPunct/>
        <w:topLinePunct w:val="0"/>
        <w:autoSpaceDE/>
        <w:autoSpaceDN/>
        <w:bidi w:val="0"/>
        <w:spacing w:line="660" w:lineRule="exact"/>
        <w:ind w:firstLine="720" w:firstLineChars="200"/>
        <w:textAlignment w:val="auto"/>
        <w:rPr>
          <w:rFonts w:ascii="仿宋" w:hAnsi="仿宋" w:eastAsia="仿宋" w:cs="仿宋"/>
          <w:color w:val="000000"/>
          <w:sz w:val="36"/>
          <w:szCs w:val="36"/>
          <w:u w:val="none"/>
        </w:rPr>
      </w:pPr>
      <w:r>
        <w:rPr>
          <w:rFonts w:hint="eastAsia" w:ascii="仿宋" w:hAnsi="仿宋" w:eastAsia="仿宋" w:cs="仿宋"/>
          <w:color w:val="000000"/>
          <w:sz w:val="36"/>
          <w:szCs w:val="36"/>
          <w:u w:val="none"/>
        </w:rPr>
        <w:t>设区的市、县</w:t>
      </w:r>
      <w:r>
        <w:rPr>
          <w:rFonts w:hint="eastAsia" w:ascii="仿宋" w:hAnsi="仿宋" w:eastAsia="仿宋" w:cs="仿宋"/>
          <w:color w:val="000000"/>
          <w:sz w:val="36"/>
          <w:szCs w:val="36"/>
          <w:u w:val="none"/>
          <w:lang w:eastAsia="zh-CN"/>
        </w:rPr>
        <w:t>（市、区）</w:t>
      </w:r>
      <w:r>
        <w:rPr>
          <w:rFonts w:hint="eastAsia" w:ascii="仿宋" w:hAnsi="仿宋" w:eastAsia="仿宋" w:cs="仿宋"/>
          <w:color w:val="000000"/>
          <w:sz w:val="36"/>
          <w:szCs w:val="36"/>
          <w:u w:val="none"/>
        </w:rPr>
        <w:t>人民政府应当建立知识产权</w:t>
      </w:r>
      <w:r>
        <w:rPr>
          <w:rFonts w:hint="eastAsia" w:ascii="仿宋" w:hAnsi="仿宋" w:eastAsia="仿宋" w:cs="仿宋"/>
          <w:color w:val="000000"/>
          <w:sz w:val="36"/>
          <w:szCs w:val="36"/>
          <w:u w:val="none"/>
          <w:lang w:val="en-US" w:eastAsia="zh-CN"/>
        </w:rPr>
        <w:t>保护</w:t>
      </w:r>
      <w:r>
        <w:rPr>
          <w:rFonts w:hint="eastAsia" w:ascii="仿宋" w:hAnsi="仿宋" w:eastAsia="仿宋" w:cs="仿宋"/>
          <w:color w:val="000000"/>
          <w:sz w:val="36"/>
          <w:szCs w:val="36"/>
          <w:u w:val="none"/>
        </w:rPr>
        <w:t>工作协调机制。</w:t>
      </w:r>
    </w:p>
    <w:p>
      <w:pPr>
        <w:keepNext w:val="0"/>
        <w:keepLines w:val="0"/>
        <w:pageBreakBefore w:val="0"/>
        <w:kinsoku/>
        <w:wordWrap/>
        <w:overflowPunct/>
        <w:topLinePunct w:val="0"/>
        <w:autoSpaceDE/>
        <w:autoSpaceDN/>
        <w:bidi w:val="0"/>
        <w:spacing w:line="660" w:lineRule="exact"/>
        <w:ind w:firstLine="720" w:firstLineChars="20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九</w:t>
      </w:r>
      <w:r>
        <w:rPr>
          <w:rFonts w:hint="eastAsia" w:ascii="黑体" w:hAnsi="黑体" w:eastAsia="黑体" w:cs="黑体"/>
          <w:color w:val="000000"/>
          <w:sz w:val="36"/>
          <w:szCs w:val="36"/>
          <w:u w:val="none"/>
        </w:rPr>
        <w:t>条</w:t>
      </w:r>
      <w:r>
        <w:rPr>
          <w:rFonts w:hint="eastAsia" w:ascii="仿宋" w:hAnsi="仿宋" w:eastAsia="仿宋" w:cs="仿宋"/>
          <w:b/>
          <w:bCs/>
          <w:color w:val="000000"/>
          <w:sz w:val="36"/>
          <w:szCs w:val="36"/>
          <w:u w:val="none"/>
        </w:rPr>
        <w:t xml:space="preserve"> </w:t>
      </w:r>
      <w:r>
        <w:rPr>
          <w:rFonts w:hint="eastAsia" w:ascii="仿宋" w:hAnsi="仿宋" w:eastAsia="仿宋" w:cs="仿宋"/>
          <w:color w:val="000000"/>
          <w:sz w:val="36"/>
          <w:szCs w:val="36"/>
          <w:u w:val="none"/>
        </w:rPr>
        <w:t>省人民政府应当建立知识产权保护工作考核机制，对设区的市、县</w:t>
      </w:r>
      <w:r>
        <w:rPr>
          <w:rFonts w:hint="eastAsia" w:ascii="仿宋" w:hAnsi="仿宋" w:eastAsia="仿宋" w:cs="仿宋"/>
          <w:color w:val="000000"/>
          <w:sz w:val="36"/>
          <w:szCs w:val="36"/>
          <w:u w:val="none"/>
          <w:lang w:eastAsia="zh-CN"/>
        </w:rPr>
        <w:t>（市、区）</w:t>
      </w:r>
      <w:r>
        <w:rPr>
          <w:rFonts w:hint="eastAsia" w:ascii="仿宋" w:hAnsi="仿宋" w:eastAsia="仿宋" w:cs="仿宋"/>
          <w:color w:val="000000"/>
          <w:sz w:val="36"/>
          <w:szCs w:val="36"/>
          <w:u w:val="none"/>
        </w:rPr>
        <w:t>人民政府</w:t>
      </w:r>
      <w:r>
        <w:rPr>
          <w:rFonts w:hint="eastAsia" w:ascii="仿宋" w:hAnsi="仿宋" w:eastAsia="仿宋" w:cs="仿宋"/>
          <w:color w:val="000000"/>
          <w:sz w:val="36"/>
          <w:szCs w:val="36"/>
          <w:u w:val="none"/>
          <w:lang w:eastAsia="zh-CN"/>
        </w:rPr>
        <w:t>和</w:t>
      </w:r>
      <w:r>
        <w:rPr>
          <w:rFonts w:hint="eastAsia" w:ascii="仿宋" w:hAnsi="仿宋" w:eastAsia="仿宋" w:cs="仿宋"/>
          <w:color w:val="000000"/>
          <w:sz w:val="36"/>
          <w:szCs w:val="36"/>
          <w:u w:val="none"/>
        </w:rPr>
        <w:t>负责知识产权</w:t>
      </w:r>
      <w:r>
        <w:rPr>
          <w:rFonts w:hint="eastAsia" w:ascii="仿宋" w:hAnsi="仿宋" w:eastAsia="仿宋" w:cs="仿宋"/>
          <w:color w:val="000000"/>
          <w:sz w:val="36"/>
          <w:szCs w:val="36"/>
          <w:u w:val="none"/>
          <w:lang w:eastAsia="zh-CN"/>
        </w:rPr>
        <w:t>保护</w:t>
      </w:r>
      <w:r>
        <w:rPr>
          <w:rFonts w:hint="eastAsia" w:ascii="仿宋" w:hAnsi="仿宋" w:eastAsia="仿宋" w:cs="仿宋"/>
          <w:color w:val="000000"/>
          <w:sz w:val="36"/>
          <w:szCs w:val="36"/>
          <w:u w:val="none"/>
        </w:rPr>
        <w:t>的部门</w:t>
      </w:r>
      <w:r>
        <w:rPr>
          <w:rFonts w:hint="eastAsia" w:ascii="仿宋" w:hAnsi="仿宋" w:eastAsia="仿宋" w:cs="仿宋"/>
          <w:color w:val="000000"/>
          <w:sz w:val="36"/>
          <w:szCs w:val="36"/>
          <w:u w:val="none"/>
          <w:lang w:eastAsia="zh-CN"/>
        </w:rPr>
        <w:t>以及其他有关部门</w:t>
      </w:r>
      <w:r>
        <w:rPr>
          <w:rFonts w:hint="eastAsia" w:ascii="仿宋" w:hAnsi="仿宋" w:eastAsia="仿宋" w:cs="仿宋"/>
          <w:color w:val="000000"/>
          <w:sz w:val="36"/>
          <w:szCs w:val="36"/>
          <w:u w:val="none"/>
        </w:rPr>
        <w:t>依法履行保护工作职责情况进行考核。</w:t>
      </w:r>
    </w:p>
    <w:p>
      <w:pPr>
        <w:keepNext w:val="0"/>
        <w:keepLines w:val="0"/>
        <w:pageBreakBefore w:val="0"/>
        <w:kinsoku/>
        <w:wordWrap/>
        <w:overflowPunct/>
        <w:topLinePunct w:val="0"/>
        <w:autoSpaceDE/>
        <w:autoSpaceDN/>
        <w:bidi w:val="0"/>
        <w:spacing w:line="660" w:lineRule="exact"/>
        <w:ind w:firstLine="720" w:firstLineChars="20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w:t>
      </w:r>
      <w:r>
        <w:rPr>
          <w:rFonts w:hint="eastAsia" w:ascii="黑体" w:hAnsi="黑体" w:eastAsia="黑体" w:cs="黑体"/>
          <w:color w:val="000000"/>
          <w:sz w:val="36"/>
          <w:szCs w:val="36"/>
          <w:u w:val="none"/>
          <w:lang w:eastAsia="zh-CN"/>
        </w:rPr>
        <w:t>十</w:t>
      </w:r>
      <w:r>
        <w:rPr>
          <w:rFonts w:hint="eastAsia" w:ascii="黑体" w:hAnsi="黑体" w:eastAsia="黑体" w:cs="黑体"/>
          <w:color w:val="000000"/>
          <w:sz w:val="36"/>
          <w:szCs w:val="36"/>
          <w:u w:val="none"/>
        </w:rPr>
        <w:t>条</w:t>
      </w:r>
      <w:r>
        <w:rPr>
          <w:rFonts w:hint="eastAsia" w:ascii="仿宋" w:hAnsi="仿宋" w:eastAsia="仿宋" w:cs="仿宋"/>
          <w:color w:val="000000"/>
          <w:sz w:val="36"/>
          <w:szCs w:val="36"/>
          <w:u w:val="none"/>
        </w:rPr>
        <w:t xml:space="preserve"> 省人民政府应当建立与其他省份的知识产权保护合作机制，完善立案协助、调查取证、证据互认和应急联动等工作程序，实现知识产权保护信息共享和执法、监督互助互动。</w:t>
      </w:r>
    </w:p>
    <w:p>
      <w:pPr>
        <w:keepNext w:val="0"/>
        <w:keepLines w:val="0"/>
        <w:pageBreakBefore w:val="0"/>
        <w:kinsoku/>
        <w:wordWrap/>
        <w:overflowPunct/>
        <w:topLinePunct w:val="0"/>
        <w:autoSpaceDE/>
        <w:autoSpaceDN/>
        <w:bidi w:val="0"/>
        <w:spacing w:line="660" w:lineRule="exact"/>
        <w:ind w:firstLine="720" w:firstLineChars="200"/>
        <w:textAlignment w:val="auto"/>
        <w:rPr>
          <w:rFonts w:hint="default"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eastAsia="zh-CN"/>
        </w:rPr>
        <w:t>第十一条</w:t>
      </w:r>
      <w:r>
        <w:rPr>
          <w:rFonts w:hint="eastAsia" w:ascii="黑体" w:hAnsi="黑体" w:eastAsia="黑体" w:cs="黑体"/>
          <w:color w:val="000000"/>
          <w:sz w:val="36"/>
          <w:szCs w:val="36"/>
          <w:u w:val="none"/>
          <w:lang w:val="en-US" w:eastAsia="zh-CN"/>
        </w:rPr>
        <w:t xml:space="preserve"> </w:t>
      </w:r>
      <w:r>
        <w:rPr>
          <w:rFonts w:hint="eastAsia" w:ascii="仿宋" w:hAnsi="仿宋" w:eastAsia="仿宋" w:cs="仿宋"/>
          <w:color w:val="000000"/>
          <w:sz w:val="36"/>
          <w:szCs w:val="36"/>
          <w:u w:val="none"/>
          <w:lang w:val="en-US" w:eastAsia="zh-CN"/>
        </w:rPr>
        <w:t>省负责知识产权保护的部门应当会同省工业和信息化、商务、科技等部门，根据国家有关规定，制定和完善技术出口中涉及的知识产权对外转让审查程序和规则，规范知识产权对外转让行为。</w:t>
      </w:r>
    </w:p>
    <w:p>
      <w:pPr>
        <w:keepNext w:val="0"/>
        <w:keepLines w:val="0"/>
        <w:pageBreakBefore w:val="0"/>
        <w:kinsoku/>
        <w:wordWrap/>
        <w:overflowPunct/>
        <w:topLinePunct w:val="0"/>
        <w:autoSpaceDE/>
        <w:autoSpaceDN/>
        <w:bidi w:val="0"/>
        <w:spacing w:line="660" w:lineRule="exact"/>
        <w:ind w:firstLine="720" w:firstLineChars="200"/>
        <w:textAlignment w:val="auto"/>
        <w:rPr>
          <w:rFonts w:ascii="仿宋" w:hAnsi="仿宋" w:eastAsia="仿宋" w:cs="仿宋"/>
          <w:color w:val="000000"/>
          <w:sz w:val="36"/>
          <w:szCs w:val="36"/>
          <w:u w:val="none"/>
        </w:rPr>
      </w:pPr>
      <w:r>
        <w:rPr>
          <w:rFonts w:hint="eastAsia" w:ascii="黑体" w:hAnsi="黑体" w:eastAsia="黑体" w:cs="黑体"/>
          <w:color w:val="000000"/>
          <w:sz w:val="36"/>
          <w:szCs w:val="36"/>
          <w:u w:val="none"/>
        </w:rPr>
        <w:t>第十</w:t>
      </w:r>
      <w:r>
        <w:rPr>
          <w:rFonts w:hint="eastAsia" w:ascii="黑体" w:hAnsi="黑体" w:eastAsia="黑体" w:cs="黑体"/>
          <w:color w:val="000000"/>
          <w:sz w:val="36"/>
          <w:szCs w:val="36"/>
          <w:u w:val="none"/>
          <w:lang w:eastAsia="zh-CN"/>
        </w:rPr>
        <w:t>二</w:t>
      </w:r>
      <w:r>
        <w:rPr>
          <w:rFonts w:hint="eastAsia" w:ascii="黑体" w:hAnsi="黑体" w:eastAsia="黑体" w:cs="黑体"/>
          <w:color w:val="000000"/>
          <w:sz w:val="36"/>
          <w:szCs w:val="36"/>
          <w:u w:val="none"/>
        </w:rPr>
        <w:t>条</w:t>
      </w:r>
      <w:r>
        <w:rPr>
          <w:rFonts w:hint="eastAsia" w:ascii="仿宋" w:hAnsi="仿宋" w:eastAsia="仿宋" w:cs="仿宋"/>
          <w:b/>
          <w:bCs/>
          <w:color w:val="000000"/>
          <w:sz w:val="36"/>
          <w:szCs w:val="36"/>
          <w:u w:val="none"/>
        </w:rPr>
        <w:t xml:space="preserve"> </w:t>
      </w:r>
      <w:r>
        <w:rPr>
          <w:rFonts w:hint="eastAsia" w:ascii="仿宋" w:hAnsi="仿宋" w:eastAsia="仿宋" w:cs="仿宋"/>
          <w:color w:val="000000"/>
          <w:sz w:val="36"/>
          <w:szCs w:val="36"/>
          <w:u w:val="none"/>
        </w:rPr>
        <w:t>本省建立和完善多元化知识产权纠纷处理机制，</w:t>
      </w:r>
      <w:r>
        <w:rPr>
          <w:rFonts w:hint="eastAsia" w:ascii="仿宋" w:hAnsi="仿宋" w:eastAsia="仿宋" w:cs="仿宋"/>
          <w:color w:val="000000"/>
          <w:sz w:val="36"/>
          <w:szCs w:val="36"/>
          <w:u w:val="none"/>
          <w:lang w:eastAsia="zh-CN"/>
        </w:rPr>
        <w:t>采取</w:t>
      </w:r>
      <w:r>
        <w:rPr>
          <w:rFonts w:hint="eastAsia" w:ascii="仿宋" w:hAnsi="仿宋" w:eastAsia="仿宋" w:cs="仿宋"/>
          <w:color w:val="000000"/>
          <w:sz w:val="36"/>
          <w:szCs w:val="36"/>
          <w:u w:val="none"/>
        </w:rPr>
        <w:t>自行协商、行政裁决、调解、仲裁、诉讼等</w:t>
      </w:r>
      <w:r>
        <w:rPr>
          <w:rFonts w:hint="eastAsia" w:ascii="仿宋" w:hAnsi="仿宋" w:eastAsia="仿宋" w:cs="仿宋"/>
          <w:color w:val="000000"/>
          <w:sz w:val="36"/>
          <w:szCs w:val="36"/>
          <w:u w:val="none"/>
          <w:lang w:eastAsia="zh-CN"/>
        </w:rPr>
        <w:t>方式解决知识产权纠纷</w:t>
      </w:r>
      <w:r>
        <w:rPr>
          <w:rFonts w:hint="eastAsia" w:ascii="仿宋" w:hAnsi="仿宋" w:eastAsia="仿宋" w:cs="仿宋"/>
          <w:color w:val="000000"/>
          <w:sz w:val="36"/>
          <w:szCs w:val="36"/>
          <w:u w:val="none"/>
        </w:rPr>
        <w:t>。</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eastAsia="zh-CN"/>
        </w:rPr>
        <w:t>鼓励知识产权纠纷解决机构利用网络信息技术，</w:t>
      </w:r>
      <w:r>
        <w:rPr>
          <w:rFonts w:hint="eastAsia" w:ascii="仿宋" w:hAnsi="仿宋" w:eastAsia="仿宋" w:cs="仿宋"/>
          <w:color w:val="000000"/>
          <w:sz w:val="36"/>
          <w:szCs w:val="36"/>
          <w:u w:val="none"/>
          <w:lang w:val="en-US" w:eastAsia="zh-CN"/>
        </w:rPr>
        <w:t>线上解决知识产权纠纷。</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eastAsia="zh-CN"/>
        </w:rPr>
      </w:pPr>
      <w:r>
        <w:rPr>
          <w:rFonts w:hint="eastAsia" w:ascii="黑体" w:hAnsi="黑体" w:eastAsia="黑体" w:cs="黑体"/>
          <w:color w:val="000000"/>
          <w:sz w:val="36"/>
          <w:szCs w:val="36"/>
          <w:u w:val="none"/>
          <w:lang w:eastAsia="zh-CN"/>
        </w:rPr>
        <w:t>第十三条</w:t>
      </w:r>
      <w:r>
        <w:rPr>
          <w:rFonts w:hint="eastAsia" w:ascii="仿宋" w:hAnsi="仿宋" w:eastAsia="仿宋" w:cs="仿宋"/>
          <w:color w:val="000000"/>
          <w:sz w:val="36"/>
          <w:szCs w:val="36"/>
          <w:u w:val="none"/>
          <w:lang w:eastAsia="zh-CN"/>
        </w:rPr>
        <w:t xml:space="preserve"> 本省建立和完善知识产权保护行政执法和司法衔接机制，推动行政机关和司法机关在违法线索、监测数据、典型案例等方面的信息互通共享。</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eastAsia="zh-CN"/>
        </w:rPr>
      </w:pPr>
    </w:p>
    <w:p>
      <w:pPr>
        <w:pStyle w:val="10"/>
        <w:keepNext w:val="0"/>
        <w:keepLines w:val="0"/>
        <w:pageBreakBefore w:val="0"/>
        <w:kinsoku/>
        <w:wordWrap/>
        <w:overflowPunct/>
        <w:topLinePunct w:val="0"/>
        <w:autoSpaceDE/>
        <w:autoSpaceDN/>
        <w:bidi w:val="0"/>
        <w:spacing w:beforeLines="50" w:afterLines="50" w:line="660" w:lineRule="exact"/>
        <w:ind w:firstLine="640"/>
        <w:jc w:val="center"/>
        <w:textAlignment w:val="auto"/>
        <w:rPr>
          <w:rFonts w:ascii="黑体" w:hAnsi="黑体" w:eastAsia="黑体" w:cs="黑体"/>
          <w:color w:val="000000"/>
          <w:sz w:val="36"/>
          <w:szCs w:val="36"/>
          <w:u w:val="none"/>
        </w:rPr>
      </w:pPr>
      <w:r>
        <w:rPr>
          <w:rFonts w:hint="eastAsia" w:ascii="黑体" w:hAnsi="黑体" w:eastAsia="黑体" w:cs="黑体"/>
          <w:color w:val="000000"/>
          <w:sz w:val="36"/>
          <w:szCs w:val="36"/>
          <w:u w:val="none"/>
        </w:rPr>
        <w:t>第三章  行政保护</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eastAsia="zh-CN"/>
        </w:rPr>
      </w:pP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第十四条</w:t>
      </w:r>
      <w:r>
        <w:rPr>
          <w:rFonts w:hint="eastAsia" w:ascii="仿宋" w:hAnsi="仿宋" w:eastAsia="仿宋" w:cs="仿宋"/>
          <w:color w:val="000000"/>
          <w:sz w:val="36"/>
          <w:szCs w:val="36"/>
          <w:u w:val="none"/>
          <w:lang w:val="en-US" w:eastAsia="zh-CN"/>
        </w:rPr>
        <w:t xml:space="preserve"> 负责知识产权保护的部门应当引导自然人、法人和非法人组织通过著作权登记、专利申请、商标注册、地理标志申请、植物新品种申请等方式，维护自身合法权益。</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负责知识产权保护的部门应当依法处理非正常专利申请、恶意申请商标注册和其他知识产权违法行为。</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第十五条</w:t>
      </w:r>
      <w:r>
        <w:rPr>
          <w:rFonts w:hint="eastAsia" w:ascii="仿宋" w:hAnsi="仿宋" w:eastAsia="仿宋" w:cs="仿宋"/>
          <w:color w:val="000000"/>
          <w:sz w:val="36"/>
          <w:szCs w:val="36"/>
          <w:u w:val="none"/>
          <w:lang w:val="en-US" w:eastAsia="zh-CN"/>
        </w:rPr>
        <w:t xml:space="preserve"> 省人民政府市场监督管理部门应当建立健全本省重点商标保护名录制度，将本省享有较高知名度、具有较大市场影响力、容易被侵权假冒的注册商标，纳入重点保护范围。</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第十六条</w:t>
      </w:r>
      <w:r>
        <w:rPr>
          <w:rFonts w:hint="eastAsia" w:ascii="仿宋" w:hAnsi="仿宋" w:eastAsia="仿宋" w:cs="仿宋"/>
          <w:color w:val="000000"/>
          <w:sz w:val="36"/>
          <w:szCs w:val="36"/>
          <w:u w:val="none"/>
          <w:lang w:val="en-US" w:eastAsia="zh-CN"/>
        </w:rPr>
        <w:t xml:space="preserve"> 省著作权管理部门应当根据国家有关部门发布的版权预警重点保护名单，对主要网络服务商发出版权预警提示，加强对侵权行为的监测。</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第十七条</w:t>
      </w:r>
      <w:r>
        <w:rPr>
          <w:rFonts w:hint="eastAsia" w:ascii="仿宋" w:hAnsi="仿宋" w:eastAsia="仿宋" w:cs="仿宋"/>
          <w:color w:val="000000"/>
          <w:sz w:val="36"/>
          <w:szCs w:val="36"/>
          <w:u w:val="none"/>
          <w:lang w:val="en-US" w:eastAsia="zh-CN"/>
        </w:rPr>
        <w:t xml:space="preserve"> 县级以上人民政府应当鼓励地理标志商标和地理标志产品的申请注册，加强地理标志使用管理。</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鼓励、引导自然人、法人和非法人组织使用地理标志集体商标、证明商标。</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第十八条</w:t>
      </w:r>
      <w:r>
        <w:rPr>
          <w:rFonts w:hint="eastAsia" w:ascii="仿宋" w:hAnsi="仿宋" w:eastAsia="仿宋" w:cs="仿宋"/>
          <w:color w:val="000000"/>
          <w:sz w:val="36"/>
          <w:szCs w:val="36"/>
          <w:u w:val="none"/>
          <w:lang w:val="en-US" w:eastAsia="zh-CN"/>
        </w:rPr>
        <w:t xml:space="preserve"> 县级以上人民政府市场监督管理部门应当引导经营者增强商业秘密管理意识，采取合理保护措施，防止商业秘密泄露。</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第十九条</w:t>
      </w:r>
      <w:r>
        <w:rPr>
          <w:rFonts w:hint="eastAsia" w:ascii="仿宋" w:hAnsi="仿宋" w:eastAsia="仿宋" w:cs="仿宋"/>
          <w:color w:val="000000"/>
          <w:sz w:val="36"/>
          <w:szCs w:val="36"/>
          <w:u w:val="none"/>
          <w:lang w:val="en-US" w:eastAsia="zh-CN"/>
        </w:rPr>
        <w:t xml:space="preserve"> 县级以上人民政府商务、市场监督管理等部门应当加强对老字号产品、技艺和服务的保护。</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第二十条</w:t>
      </w:r>
      <w:r>
        <w:rPr>
          <w:rFonts w:hint="eastAsia" w:ascii="仿宋" w:hAnsi="仿宋" w:eastAsia="仿宋" w:cs="仿宋"/>
          <w:color w:val="000000"/>
          <w:sz w:val="36"/>
          <w:szCs w:val="36"/>
          <w:u w:val="none"/>
          <w:lang w:val="en-US" w:eastAsia="zh-CN"/>
        </w:rPr>
        <w:t xml:space="preserve"> 省人民政府市场监督管理部门应当按照国家有关规定，为新基建、新技术、新材料、新装备、新产品、新业态等领域的专利申请，提供优先审查通道。</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第二十一条</w:t>
      </w:r>
      <w:r>
        <w:rPr>
          <w:rFonts w:hint="eastAsia" w:ascii="仿宋" w:hAnsi="仿宋" w:eastAsia="仿宋" w:cs="仿宋"/>
          <w:color w:val="000000"/>
          <w:sz w:val="36"/>
          <w:szCs w:val="36"/>
          <w:u w:val="none"/>
          <w:lang w:val="en-US" w:eastAsia="zh-CN"/>
        </w:rPr>
        <w:t xml:space="preserve"> 负责知识产权保护的部门和商务、文化和旅游等部门应当采取措施，支持文化传承、文化产业、新型文化业态等方面知识产权的创造和保护，推动文化产业创新发展。</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第二十二条</w:t>
      </w:r>
      <w:r>
        <w:rPr>
          <w:rFonts w:hint="eastAsia" w:ascii="仿宋" w:hAnsi="仿宋" w:eastAsia="仿宋" w:cs="仿宋"/>
          <w:color w:val="000000"/>
          <w:sz w:val="36"/>
          <w:szCs w:val="36"/>
          <w:u w:val="none"/>
          <w:lang w:val="en-US" w:eastAsia="zh-CN"/>
        </w:rPr>
        <w:t xml:space="preserve"> 省和设区的市负责知识产权保护的部门应当对重点行业、重点领域的知识产权状况、发展趋势、竞争态势进行研究，提供知识产权风险预警服务。</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省和设区的市人民政府应当加强境外知识产权保护协助工作，及时发布风险预警提示信息，为企业和其他组织在境外的知识产权事务提供专家、信息、法律等方面的支持。</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第二十三条</w:t>
      </w:r>
      <w:r>
        <w:rPr>
          <w:rFonts w:hint="eastAsia" w:ascii="仿宋" w:hAnsi="仿宋" w:eastAsia="仿宋" w:cs="仿宋"/>
          <w:color w:val="000000"/>
          <w:sz w:val="36"/>
          <w:szCs w:val="36"/>
          <w:u w:val="none"/>
          <w:lang w:val="en-US" w:eastAsia="zh-CN"/>
        </w:rPr>
        <w:t xml:space="preserve"> 省和设区的市负责知识产权保护的部门应当受理知识产权维权援助申请，免费提供维权咨询等维权服务。</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第二十四条</w:t>
      </w:r>
      <w:r>
        <w:rPr>
          <w:rFonts w:hint="eastAsia" w:ascii="仿宋" w:hAnsi="仿宋" w:eastAsia="仿宋" w:cs="仿宋"/>
          <w:color w:val="000000"/>
          <w:sz w:val="36"/>
          <w:szCs w:val="36"/>
          <w:u w:val="none"/>
          <w:lang w:val="en-US" w:eastAsia="zh-CN"/>
        </w:rPr>
        <w:t xml:space="preserve"> 负责知识产权保护的部门应当会同有关部门加强对高等学校、科研机构、行业协会、知识产权服务机构以及高新技术企业等单位的知识产权管理指引，引导其建立和完善内部保护机制。</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第二十五条</w:t>
      </w:r>
      <w:r>
        <w:rPr>
          <w:rFonts w:hint="eastAsia" w:ascii="仿宋" w:hAnsi="仿宋" w:eastAsia="仿宋" w:cs="仿宋"/>
          <w:color w:val="000000"/>
          <w:sz w:val="36"/>
          <w:szCs w:val="36"/>
          <w:u w:val="none"/>
          <w:lang w:val="en-US" w:eastAsia="zh-CN"/>
        </w:rPr>
        <w:t xml:space="preserve"> 负责知识产权保护的部门可以聘请专家作为技术调查官，为知识产权行政执法工作提供支持。</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省和设区的市负责知识产权保护的部门应当建立知识产权保护专家库。技术调查官从专家库中选聘。</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技术调查官从事下列工作：</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（一）参与调查取证；</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（二）对技术事实的调查范围、顺序、方法等提出建议；</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（三）出具技术调查意见；</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（四）协助开展其他技术调查工作。</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jc w:val="center"/>
        <w:textAlignment w:val="auto"/>
        <w:rPr>
          <w:rFonts w:hint="eastAsia" w:ascii="黑体" w:hAnsi="黑体" w:eastAsia="黑体" w:cs="黑体"/>
          <w:color w:val="000000"/>
          <w:sz w:val="36"/>
          <w:szCs w:val="36"/>
          <w:u w:val="none"/>
          <w:lang w:val="en-US" w:eastAsia="zh-CN"/>
        </w:rPr>
      </w:pPr>
      <w:r>
        <w:rPr>
          <w:rFonts w:hint="eastAsia" w:ascii="黑体" w:hAnsi="黑体" w:eastAsia="黑体" w:cs="黑体"/>
          <w:color w:val="000000"/>
          <w:sz w:val="36"/>
          <w:szCs w:val="36"/>
          <w:u w:val="none"/>
          <w:lang w:val="en-US" w:eastAsia="zh-CN"/>
        </w:rPr>
        <w:t>第四章  社会保护</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第二十六条</w:t>
      </w:r>
      <w:r>
        <w:rPr>
          <w:rFonts w:hint="eastAsia" w:ascii="仿宋" w:hAnsi="仿宋" w:eastAsia="仿宋" w:cs="仿宋"/>
          <w:color w:val="000000"/>
          <w:sz w:val="36"/>
          <w:szCs w:val="36"/>
          <w:u w:val="none"/>
          <w:lang w:val="en-US" w:eastAsia="zh-CN"/>
        </w:rPr>
        <w:t xml:space="preserve"> 企业、高等学校、科研机构以及其他从事科研活动的单位和个人应当执行知识产权管理国家标准，提高知识产权创造、运用、保护能力，依法维护自身合法权益。</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企业、高等学校、科研机构以及其他从事创新、创造和创作活动的单位应当依法完善知识产权收益分配制度，保障职务发明创造、职务育种、职务作品等相关人员的合法权益。</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第二十七条</w:t>
      </w:r>
      <w:r>
        <w:rPr>
          <w:rFonts w:hint="eastAsia" w:ascii="仿宋" w:hAnsi="仿宋" w:eastAsia="仿宋" w:cs="仿宋"/>
          <w:color w:val="000000"/>
          <w:sz w:val="36"/>
          <w:szCs w:val="36"/>
          <w:u w:val="none"/>
          <w:lang w:val="en-US" w:eastAsia="zh-CN"/>
        </w:rPr>
        <w:t xml:space="preserve"> 鼓励企业、高等学校、科研机构等开展知识产权保护互助、协作，促进知识产权服务资源共享、保护工作与产业发展深度融合。</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第二十八条</w:t>
      </w:r>
      <w:r>
        <w:rPr>
          <w:rFonts w:hint="eastAsia" w:ascii="仿宋" w:hAnsi="仿宋" w:eastAsia="仿宋" w:cs="仿宋"/>
          <w:color w:val="000000"/>
          <w:sz w:val="36"/>
          <w:szCs w:val="36"/>
          <w:u w:val="none"/>
          <w:lang w:val="en-US" w:eastAsia="zh-CN"/>
        </w:rPr>
        <w:t xml:space="preserve"> 行业组织应当加强自律管理，建立健全知识产权维权保护规范，按照章程督促会员配合知识产权行政执法工作。</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负责知识产权保护的部门应当支持知识产权服务行业组织发展，推动建立行业服务标准。</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第二十九条</w:t>
      </w:r>
      <w:r>
        <w:rPr>
          <w:rFonts w:hint="eastAsia" w:ascii="仿宋" w:hAnsi="仿宋" w:eastAsia="仿宋" w:cs="仿宋"/>
          <w:color w:val="000000"/>
          <w:sz w:val="36"/>
          <w:szCs w:val="36"/>
          <w:u w:val="none"/>
          <w:lang w:val="en-US" w:eastAsia="zh-CN"/>
        </w:rPr>
        <w:t xml:space="preserve"> 电子商务平台经营者应当履行知识产权保护义务，对平台内经营者侵犯知识产权的，应当依法及时采取删除、屏蔽、断开链接、终止交易和服务等措施。</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第三十条</w:t>
      </w:r>
      <w:r>
        <w:rPr>
          <w:rFonts w:hint="eastAsia" w:ascii="仿宋" w:hAnsi="仿宋" w:eastAsia="仿宋" w:cs="仿宋"/>
          <w:color w:val="000000"/>
          <w:sz w:val="36"/>
          <w:szCs w:val="36"/>
          <w:u w:val="none"/>
          <w:lang w:val="en-US" w:eastAsia="zh-CN"/>
        </w:rPr>
        <w:t xml:space="preserve"> 广告经营者、发布者对涉及知识产权的广告应当按照有关法律、法规查验有关证明文件，核实知识产权权属情况。对无知识产权证明文件或者证明文件不全的，广告经营者不得提供设计、制作、代理服务，广告发布者不得发布。</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第三十一条</w:t>
      </w:r>
      <w:r>
        <w:rPr>
          <w:rFonts w:hint="eastAsia" w:ascii="仿宋" w:hAnsi="仿宋" w:eastAsia="仿宋" w:cs="仿宋"/>
          <w:color w:val="000000"/>
          <w:sz w:val="36"/>
          <w:szCs w:val="36"/>
          <w:u w:val="none"/>
          <w:lang w:val="en-US" w:eastAsia="zh-CN"/>
        </w:rPr>
        <w:t xml:space="preserve"> 展会主办单位或者承办单位应当在展会举办期间依法保护知识产权。</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参展产品、作品、技术或者宣传材料上标注知识产权信息的，参展方应当提供合法有效的知识产权权属证明；未提供的，展会主办单位或者承办单位应当取消其参展资格。</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展会举办时间三天以上的，展会主办单位或者承办单位应当自行或者与仲裁机构、行业组织、知识产权服务机构等设立展会知识产权纠纷处理机构，并在展会显著位置以及有关宣传资料上公布纠纷处理机构的联系方式、纠纷处理规则等信息。</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第三十二条</w:t>
      </w:r>
      <w:r>
        <w:rPr>
          <w:rFonts w:hint="eastAsia" w:ascii="仿宋" w:hAnsi="仿宋" w:eastAsia="仿宋" w:cs="仿宋"/>
          <w:color w:val="000000"/>
          <w:sz w:val="36"/>
          <w:szCs w:val="36"/>
          <w:u w:val="none"/>
          <w:lang w:val="en-US" w:eastAsia="zh-CN"/>
        </w:rPr>
        <w:t xml:space="preserve"> 展会主办单位或者承办单位发现参展产品涉嫌侵权，参展方无法在限定时间内证明未侵权的，展会主办单位或者承办单位应当及时要求参展方撤下参展产品，并报告负责知识产权保护的部门依法处理。</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参展方在同一展会主办单位或者承办单位的展会活动上，再次侵犯他人知识产权，或者在展会期间两次以上侵犯他人知识产权的，展会主办单位或者承办单位应当在两年内禁止其参加展会活动。</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第三十三条</w:t>
      </w:r>
      <w:r>
        <w:rPr>
          <w:rFonts w:hint="eastAsia" w:ascii="仿宋" w:hAnsi="仿宋" w:eastAsia="仿宋" w:cs="仿宋"/>
          <w:color w:val="000000"/>
          <w:sz w:val="36"/>
          <w:szCs w:val="36"/>
          <w:u w:val="none"/>
          <w:lang w:val="en-US" w:eastAsia="zh-CN"/>
        </w:rPr>
        <w:t xml:space="preserve"> 体育、文化等重大活动的主办方应当依法规范活动中的知识产权使用行为。未经权利人许可，不得将其知识产权用于商业用途。</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第三十四条</w:t>
      </w:r>
      <w:r>
        <w:rPr>
          <w:rFonts w:hint="eastAsia" w:ascii="仿宋" w:hAnsi="仿宋" w:eastAsia="仿宋" w:cs="仿宋"/>
          <w:color w:val="000000"/>
          <w:sz w:val="36"/>
          <w:szCs w:val="36"/>
          <w:u w:val="none"/>
          <w:lang w:val="en-US" w:eastAsia="zh-CN"/>
        </w:rPr>
        <w:t xml:space="preserve"> 参加政府采购和招标投标、政府资金扶持、政府投资项目、表彰奖励评选等活动的单位和个人，应当向有关主管部门提交未侵犯他人知识产权的书面承诺。</w:t>
      </w:r>
    </w:p>
    <w:p>
      <w:pPr>
        <w:pStyle w:val="10"/>
        <w:keepNext w:val="0"/>
        <w:keepLines w:val="0"/>
        <w:pageBreakBefore w:val="0"/>
        <w:kinsoku/>
        <w:wordWrap/>
        <w:overflowPunct/>
        <w:topLinePunct w:val="0"/>
        <w:autoSpaceDE/>
        <w:autoSpaceDN/>
        <w:bidi w:val="0"/>
        <w:spacing w:beforeLines="50" w:afterLines="50" w:line="660" w:lineRule="exact"/>
        <w:ind w:left="0" w:leftChars="0" w:firstLine="0" w:firstLineChars="0"/>
        <w:jc w:val="both"/>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jc w:val="center"/>
        <w:textAlignment w:val="auto"/>
        <w:rPr>
          <w:rFonts w:hint="eastAsia" w:ascii="黑体" w:hAnsi="黑体" w:eastAsia="黑体" w:cs="黑体"/>
          <w:color w:val="000000"/>
          <w:sz w:val="36"/>
          <w:szCs w:val="36"/>
          <w:u w:val="none"/>
          <w:lang w:val="en-US" w:eastAsia="zh-CN"/>
        </w:rPr>
      </w:pPr>
      <w:r>
        <w:rPr>
          <w:rFonts w:hint="eastAsia" w:ascii="黑体" w:hAnsi="黑体" w:eastAsia="黑体" w:cs="黑体"/>
          <w:color w:val="000000"/>
          <w:sz w:val="36"/>
          <w:szCs w:val="36"/>
          <w:u w:val="none"/>
          <w:lang w:val="en-US" w:eastAsia="zh-CN"/>
        </w:rPr>
        <w:t>第五章  公共服务</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第三十五条</w:t>
      </w:r>
      <w:r>
        <w:rPr>
          <w:rFonts w:hint="eastAsia" w:ascii="仿宋" w:hAnsi="仿宋" w:eastAsia="仿宋" w:cs="仿宋"/>
          <w:color w:val="000000"/>
          <w:sz w:val="36"/>
          <w:szCs w:val="36"/>
          <w:u w:val="none"/>
          <w:lang w:val="en-US" w:eastAsia="zh-CN"/>
        </w:rPr>
        <w:t xml:space="preserve"> 县级以上人民政府应当加强知识产权信息化建设，建立知识产权保护综合信息平台，为知识产权保护提供政策指导、技术咨询、法律咨询、信息情报等公共服务。</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第三十六条</w:t>
      </w:r>
      <w:r>
        <w:rPr>
          <w:rFonts w:hint="eastAsia" w:ascii="仿宋" w:hAnsi="仿宋" w:eastAsia="仿宋" w:cs="仿宋"/>
          <w:color w:val="000000"/>
          <w:sz w:val="36"/>
          <w:szCs w:val="36"/>
          <w:u w:val="none"/>
          <w:lang w:val="en-US" w:eastAsia="zh-CN"/>
        </w:rPr>
        <w:t xml:space="preserve"> 负责知识产权保护的部门应当制定知识产权服务业发展规划，鼓励和支持知识产权咨询、培训、代理、鉴定、评估、运营、大数据运用等知识产权服务业发展。</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第三十七条</w:t>
      </w:r>
      <w:r>
        <w:rPr>
          <w:rFonts w:hint="eastAsia" w:ascii="仿宋" w:hAnsi="仿宋" w:eastAsia="仿宋" w:cs="仿宋"/>
          <w:color w:val="000000"/>
          <w:sz w:val="36"/>
          <w:szCs w:val="36"/>
          <w:u w:val="none"/>
          <w:lang w:val="en-US" w:eastAsia="zh-CN"/>
        </w:rPr>
        <w:t xml:space="preserve"> 鼓励和支持企业、高等学校、科研机构引进国内外高层次知识产权保护人才，培养知识产权保护专业人才。</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第三十八条</w:t>
      </w:r>
      <w:r>
        <w:rPr>
          <w:rFonts w:hint="eastAsia" w:ascii="仿宋" w:hAnsi="仿宋" w:eastAsia="仿宋" w:cs="仿宋"/>
          <w:color w:val="000000"/>
          <w:sz w:val="36"/>
          <w:szCs w:val="36"/>
          <w:u w:val="none"/>
          <w:lang w:val="en-US" w:eastAsia="zh-CN"/>
        </w:rPr>
        <w:t xml:space="preserve"> 鼓励和支持行业协会、知识产权服务机构等建立知识产权交易平台和知识产权服务平台，提供知识产权交易、对外投资、参加展会、招商引资、产品或者技术进出口业务的知识产权状况检索、查询等服务。</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鼓励和支持行业协会、知识产权服务机构开展知识产权托管业务。</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第三十九条</w:t>
      </w:r>
      <w:r>
        <w:rPr>
          <w:rFonts w:hint="eastAsia" w:ascii="仿宋" w:hAnsi="仿宋" w:eastAsia="仿宋" w:cs="仿宋"/>
          <w:color w:val="000000"/>
          <w:sz w:val="36"/>
          <w:szCs w:val="36"/>
          <w:u w:val="none"/>
          <w:lang w:val="en-US" w:eastAsia="zh-CN"/>
        </w:rPr>
        <w:t xml:space="preserve"> 鼓励银行、证券、保险、信托、担保等机构开展知识产权金融服务创新活动。</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jc w:val="center"/>
        <w:textAlignment w:val="auto"/>
        <w:rPr>
          <w:rFonts w:hint="eastAsia" w:ascii="黑体" w:hAnsi="黑体" w:eastAsia="黑体" w:cs="黑体"/>
          <w:color w:val="000000"/>
          <w:sz w:val="36"/>
          <w:szCs w:val="36"/>
          <w:u w:val="none"/>
          <w:lang w:val="en-US" w:eastAsia="zh-CN"/>
        </w:rPr>
      </w:pPr>
      <w:r>
        <w:rPr>
          <w:rFonts w:hint="eastAsia" w:ascii="黑体" w:hAnsi="黑体" w:eastAsia="黑体" w:cs="黑体"/>
          <w:color w:val="000000"/>
          <w:sz w:val="36"/>
          <w:szCs w:val="36"/>
          <w:u w:val="none"/>
          <w:lang w:val="en-US" w:eastAsia="zh-CN"/>
        </w:rPr>
        <w:t>第六章  监督管理</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第四十条</w:t>
      </w:r>
      <w:r>
        <w:rPr>
          <w:rFonts w:hint="eastAsia" w:ascii="仿宋" w:hAnsi="仿宋" w:eastAsia="仿宋" w:cs="仿宋"/>
          <w:color w:val="000000"/>
          <w:sz w:val="36"/>
          <w:szCs w:val="36"/>
          <w:u w:val="none"/>
          <w:lang w:val="en-US" w:eastAsia="zh-CN"/>
        </w:rPr>
        <w:t xml:space="preserve"> 县级以上人民政府应当建立知识产权信用评价、诚信公示和失信联合惩戒机制。</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自然人、法人和非法人组织有重复侵犯知识产权、提供虚假文件、拒不执行行政处理决定等违法失信行为的，除依法承担法律责任外，有关部门可以按照有关规定采取下列惩戒措施：</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（一）禁止或者限制其承接政府投资项目、参加政府采购和招标投标；</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（二）禁止或者限制其享受有关费用减免、政府资金扶持等优惠政策；</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（三）取消其参加政府知识产权表彰、奖励的资格；</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（四）法律、法规规定的其他惩戒措施。</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第四十一条</w:t>
      </w:r>
      <w:r>
        <w:rPr>
          <w:rFonts w:hint="eastAsia" w:ascii="仿宋" w:hAnsi="仿宋" w:eastAsia="仿宋" w:cs="仿宋"/>
          <w:color w:val="000000"/>
          <w:sz w:val="36"/>
          <w:szCs w:val="36"/>
          <w:u w:val="none"/>
          <w:lang w:val="en-US" w:eastAsia="zh-CN"/>
        </w:rPr>
        <w:t xml:space="preserve"> 技术调查官有下列行为之一的，应当予以解聘，并从专家库中除名；给当事人造成损失的，依法承担民事责任：</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（一）泄露在知识产权案件调查过程中知悉的保密信息；</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（二）提供失实的技术认定意见；</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仿宋" w:hAnsi="仿宋" w:eastAsia="仿宋" w:cs="仿宋"/>
          <w:color w:val="000000"/>
          <w:sz w:val="36"/>
          <w:szCs w:val="36"/>
          <w:u w:val="none"/>
          <w:lang w:val="en-US" w:eastAsia="zh-CN"/>
        </w:rPr>
        <w:t>（三）其他妨碍案件公正处理的行为。</w:t>
      </w:r>
    </w:p>
    <w:p>
      <w:pPr>
        <w:pStyle w:val="2"/>
        <w:rPr>
          <w:rFonts w:hint="eastAsia"/>
          <w:u w:val="none"/>
          <w:lang w:val="en-US" w:eastAsia="zh-CN"/>
        </w:rPr>
      </w:pP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第四十二条</w:t>
      </w:r>
      <w:r>
        <w:rPr>
          <w:rFonts w:hint="eastAsia" w:ascii="仿宋" w:hAnsi="仿宋" w:eastAsia="仿宋" w:cs="仿宋"/>
          <w:color w:val="000000"/>
          <w:sz w:val="36"/>
          <w:szCs w:val="36"/>
          <w:u w:val="none"/>
          <w:lang w:val="en-US" w:eastAsia="zh-CN"/>
        </w:rPr>
        <w:t xml:space="preserve"> 负责知识产权保护的部门应当加强与电子商务平台经营者、行业组织、专业机构等合作，运用大数据、人工智能和区块链等数字技术，推动知识产权监督管理方式创新。</w:t>
      </w:r>
    </w:p>
    <w:p>
      <w:pPr>
        <w:keepNext w:val="0"/>
        <w:keepLines w:val="0"/>
        <w:pageBreakBefore w:val="0"/>
        <w:kinsoku/>
        <w:wordWrap/>
        <w:overflowPunct/>
        <w:topLinePunct w:val="0"/>
        <w:autoSpaceDE/>
        <w:autoSpaceDN/>
        <w:bidi w:val="0"/>
        <w:spacing w:line="660" w:lineRule="exact"/>
        <w:ind w:firstLine="640"/>
        <w:textAlignment w:val="auto"/>
        <w:rPr>
          <w:rFonts w:hint="eastAsia" w:ascii="仿宋" w:hAnsi="仿宋" w:eastAsia="仿宋" w:cs="仿宋"/>
          <w:color w:val="000000"/>
          <w:sz w:val="36"/>
          <w:szCs w:val="36"/>
          <w:u w:val="none"/>
          <w:lang w:val="en-US" w:eastAsia="zh-CN"/>
        </w:rPr>
      </w:pPr>
      <w:r>
        <w:rPr>
          <w:rFonts w:hint="eastAsia" w:ascii="黑体" w:hAnsi="黑体" w:eastAsia="黑体" w:cs="黑体"/>
          <w:color w:val="000000"/>
          <w:sz w:val="36"/>
          <w:szCs w:val="36"/>
          <w:u w:val="none"/>
          <w:lang w:val="en-US" w:eastAsia="zh-CN"/>
        </w:rPr>
        <w:t xml:space="preserve">第四十三条 </w:t>
      </w:r>
      <w:r>
        <w:rPr>
          <w:rFonts w:hint="eastAsia" w:ascii="仿宋" w:hAnsi="仿宋" w:eastAsia="仿宋" w:cs="仿宋"/>
          <w:color w:val="000000"/>
          <w:sz w:val="36"/>
          <w:szCs w:val="36"/>
          <w:u w:val="none"/>
          <w:lang w:val="en-US" w:eastAsia="zh-CN"/>
        </w:rPr>
        <w:t>负责知识产权保护的部门应当完善知识产权投诉、举报处理机制，公开受理渠道和方式，依法处理投诉、举报。</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jc w:val="center"/>
        <w:textAlignment w:val="auto"/>
        <w:rPr>
          <w:rFonts w:hint="eastAsia" w:ascii="黑体" w:hAnsi="黑体" w:eastAsia="黑体" w:cs="黑体"/>
          <w:color w:val="000000"/>
          <w:sz w:val="36"/>
          <w:szCs w:val="36"/>
          <w:u w:val="none"/>
          <w:lang w:val="en-US" w:eastAsia="zh-CN"/>
        </w:rPr>
      </w:pPr>
      <w:r>
        <w:rPr>
          <w:rFonts w:hint="eastAsia" w:ascii="黑体" w:hAnsi="黑体" w:eastAsia="黑体" w:cs="黑体"/>
          <w:color w:val="000000"/>
          <w:sz w:val="36"/>
          <w:szCs w:val="36"/>
          <w:u w:val="none"/>
          <w:lang w:val="en-US" w:eastAsia="zh-CN"/>
        </w:rPr>
        <w:t>第七章  附  则</w:t>
      </w:r>
    </w:p>
    <w:p>
      <w:pPr>
        <w:pStyle w:val="10"/>
        <w:keepNext w:val="0"/>
        <w:keepLines w:val="0"/>
        <w:pageBreakBefore w:val="0"/>
        <w:kinsoku/>
        <w:wordWrap/>
        <w:overflowPunct/>
        <w:topLinePunct w:val="0"/>
        <w:autoSpaceDE/>
        <w:autoSpaceDN/>
        <w:bidi w:val="0"/>
        <w:spacing w:beforeLines="50" w:afterLines="50" w:line="660" w:lineRule="exact"/>
        <w:ind w:firstLine="643"/>
        <w:jc w:val="center"/>
        <w:textAlignment w:val="auto"/>
        <w:rPr>
          <w:rFonts w:hint="eastAsia" w:ascii="仿宋" w:hAnsi="仿宋" w:eastAsia="仿宋" w:cs="仿宋"/>
          <w:b w:val="0"/>
          <w:bCs w:val="0"/>
          <w:color w:val="000000"/>
          <w:sz w:val="32"/>
          <w:szCs w:val="32"/>
          <w:u w:val="none"/>
          <w:lang w:val="en-US" w:eastAsia="zh-CN"/>
        </w:rPr>
      </w:pPr>
    </w:p>
    <w:p>
      <w:pPr>
        <w:keepNext w:val="0"/>
        <w:keepLines w:val="0"/>
        <w:pageBreakBefore w:val="0"/>
        <w:kinsoku/>
        <w:wordWrap/>
        <w:overflowPunct/>
        <w:topLinePunct w:val="0"/>
        <w:autoSpaceDE/>
        <w:autoSpaceDN/>
        <w:bidi w:val="0"/>
        <w:spacing w:line="660" w:lineRule="exact"/>
        <w:ind w:firstLine="640"/>
        <w:textAlignment w:val="auto"/>
        <w:rPr>
          <w:sz w:val="36"/>
          <w:szCs w:val="36"/>
          <w:u w:val="none"/>
        </w:rPr>
      </w:pPr>
      <w:r>
        <w:rPr>
          <w:rFonts w:hint="eastAsia" w:ascii="黑体" w:hAnsi="黑体" w:eastAsia="黑体" w:cs="黑体"/>
          <w:color w:val="000000"/>
          <w:sz w:val="36"/>
          <w:szCs w:val="36"/>
          <w:u w:val="none"/>
          <w:lang w:val="en-US" w:eastAsia="zh-CN"/>
        </w:rPr>
        <w:t>第四十四条</w:t>
      </w:r>
      <w:r>
        <w:rPr>
          <w:rFonts w:hint="eastAsia" w:ascii="仿宋" w:hAnsi="仿宋" w:eastAsia="仿宋" w:cs="仿宋"/>
          <w:color w:val="000000"/>
          <w:sz w:val="36"/>
          <w:szCs w:val="36"/>
          <w:u w:val="none"/>
          <w:lang w:val="en-US" w:eastAsia="zh-CN"/>
        </w:rPr>
        <w:t xml:space="preserve"> 本条例自2021年7月1日起施行。</w:t>
      </w:r>
    </w:p>
    <w:sectPr>
      <w:footerReference r:id="rId5" w:type="default"/>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altName w:val="黑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8121"/>
      <w:docPartObj>
        <w:docPartGallery w:val="autotext"/>
      </w:docPartObj>
    </w:sdtPr>
    <w:sdtContent>
      <w:p>
        <w:pPr>
          <w:pStyle w:val="4"/>
          <w:jc w:val="center"/>
        </w:pPr>
        <w:r>
          <w:fldChar w:fldCharType="begin"/>
        </w:r>
        <w:r>
          <w:instrText xml:space="preserve"> PAGE   \* MERGEFORMAT </w:instrText>
        </w:r>
        <w:r>
          <w:fldChar w:fldCharType="separate"/>
        </w:r>
        <w:r>
          <w:rPr>
            <w:lang w:val="zh-CN"/>
          </w:rPr>
          <w:t>11</w:t>
        </w:r>
        <w:r>
          <w:rPr>
            <w:lang w:val="zh-CN"/>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3F0D59"/>
    <w:rsid w:val="00426133"/>
    <w:rsid w:val="004358AB"/>
    <w:rsid w:val="0047698B"/>
    <w:rsid w:val="00566C42"/>
    <w:rsid w:val="00656753"/>
    <w:rsid w:val="006D613A"/>
    <w:rsid w:val="0083002C"/>
    <w:rsid w:val="00861A88"/>
    <w:rsid w:val="00866B48"/>
    <w:rsid w:val="008B7726"/>
    <w:rsid w:val="00D31D50"/>
    <w:rsid w:val="01E2705E"/>
    <w:rsid w:val="02495203"/>
    <w:rsid w:val="02532693"/>
    <w:rsid w:val="02F00EEE"/>
    <w:rsid w:val="03BD2578"/>
    <w:rsid w:val="03E52FDE"/>
    <w:rsid w:val="041813DC"/>
    <w:rsid w:val="049C6028"/>
    <w:rsid w:val="04D62A70"/>
    <w:rsid w:val="04DD3DCB"/>
    <w:rsid w:val="057718D2"/>
    <w:rsid w:val="05797E73"/>
    <w:rsid w:val="05CC52D4"/>
    <w:rsid w:val="06225FA6"/>
    <w:rsid w:val="07B91D2C"/>
    <w:rsid w:val="083449C8"/>
    <w:rsid w:val="088B759B"/>
    <w:rsid w:val="089B36BA"/>
    <w:rsid w:val="09126173"/>
    <w:rsid w:val="09DD6076"/>
    <w:rsid w:val="0A0D0FBB"/>
    <w:rsid w:val="0A6921B0"/>
    <w:rsid w:val="0AA53674"/>
    <w:rsid w:val="0B842721"/>
    <w:rsid w:val="0BBC66B5"/>
    <w:rsid w:val="0BF552EA"/>
    <w:rsid w:val="0C2F29C9"/>
    <w:rsid w:val="0C79112F"/>
    <w:rsid w:val="0D1B2535"/>
    <w:rsid w:val="0D3067A0"/>
    <w:rsid w:val="0D6A573F"/>
    <w:rsid w:val="0D7662B5"/>
    <w:rsid w:val="0D907574"/>
    <w:rsid w:val="0E35055B"/>
    <w:rsid w:val="0E6E58FB"/>
    <w:rsid w:val="0EC05BCE"/>
    <w:rsid w:val="0F486627"/>
    <w:rsid w:val="0F7714D4"/>
    <w:rsid w:val="0F96579E"/>
    <w:rsid w:val="10111FEB"/>
    <w:rsid w:val="108C6645"/>
    <w:rsid w:val="110D3F81"/>
    <w:rsid w:val="116B01C5"/>
    <w:rsid w:val="122633FF"/>
    <w:rsid w:val="12AE1565"/>
    <w:rsid w:val="13580948"/>
    <w:rsid w:val="137D6B8D"/>
    <w:rsid w:val="1487753C"/>
    <w:rsid w:val="14CD0C8D"/>
    <w:rsid w:val="15283C67"/>
    <w:rsid w:val="1567654C"/>
    <w:rsid w:val="16B357B5"/>
    <w:rsid w:val="170B35F5"/>
    <w:rsid w:val="17A74C13"/>
    <w:rsid w:val="17A80765"/>
    <w:rsid w:val="17ED56EE"/>
    <w:rsid w:val="187B6AF9"/>
    <w:rsid w:val="19A349E3"/>
    <w:rsid w:val="19B3676B"/>
    <w:rsid w:val="19BA2716"/>
    <w:rsid w:val="1A2D089D"/>
    <w:rsid w:val="1B081264"/>
    <w:rsid w:val="1BB915C1"/>
    <w:rsid w:val="1C044A80"/>
    <w:rsid w:val="1C3A093D"/>
    <w:rsid w:val="1D9638BA"/>
    <w:rsid w:val="1D9742BA"/>
    <w:rsid w:val="1E220D8D"/>
    <w:rsid w:val="1E2529FE"/>
    <w:rsid w:val="1E376B67"/>
    <w:rsid w:val="1E3A550E"/>
    <w:rsid w:val="1E6656EF"/>
    <w:rsid w:val="1E813417"/>
    <w:rsid w:val="1E8D3D35"/>
    <w:rsid w:val="1EA5150A"/>
    <w:rsid w:val="1F722B46"/>
    <w:rsid w:val="1F811AE8"/>
    <w:rsid w:val="1FB26C18"/>
    <w:rsid w:val="1FDD046E"/>
    <w:rsid w:val="2018656E"/>
    <w:rsid w:val="204237ED"/>
    <w:rsid w:val="20764320"/>
    <w:rsid w:val="209C7D3C"/>
    <w:rsid w:val="21560BB7"/>
    <w:rsid w:val="21AA0A69"/>
    <w:rsid w:val="22BE6383"/>
    <w:rsid w:val="23404A1C"/>
    <w:rsid w:val="23487197"/>
    <w:rsid w:val="23520516"/>
    <w:rsid w:val="23724CD2"/>
    <w:rsid w:val="23AC6A49"/>
    <w:rsid w:val="23C46058"/>
    <w:rsid w:val="24314A25"/>
    <w:rsid w:val="245912C5"/>
    <w:rsid w:val="24766EEB"/>
    <w:rsid w:val="24F13343"/>
    <w:rsid w:val="25440C52"/>
    <w:rsid w:val="25487EBF"/>
    <w:rsid w:val="25E865E0"/>
    <w:rsid w:val="26207561"/>
    <w:rsid w:val="289D09D7"/>
    <w:rsid w:val="28DA00D2"/>
    <w:rsid w:val="29A7730B"/>
    <w:rsid w:val="29C6496D"/>
    <w:rsid w:val="2ACB500B"/>
    <w:rsid w:val="2BCE75C5"/>
    <w:rsid w:val="2C703EE1"/>
    <w:rsid w:val="2D33668E"/>
    <w:rsid w:val="2D74132C"/>
    <w:rsid w:val="2F146F4C"/>
    <w:rsid w:val="2F247694"/>
    <w:rsid w:val="2F5F2174"/>
    <w:rsid w:val="2FC70C72"/>
    <w:rsid w:val="2FF47671"/>
    <w:rsid w:val="31865725"/>
    <w:rsid w:val="32687125"/>
    <w:rsid w:val="32934742"/>
    <w:rsid w:val="336B4DDC"/>
    <w:rsid w:val="348C3F5A"/>
    <w:rsid w:val="348E2EAA"/>
    <w:rsid w:val="350C7ACC"/>
    <w:rsid w:val="368F0113"/>
    <w:rsid w:val="376D4D7B"/>
    <w:rsid w:val="37D2211C"/>
    <w:rsid w:val="380A1B25"/>
    <w:rsid w:val="387F1A32"/>
    <w:rsid w:val="38C7037A"/>
    <w:rsid w:val="39431F0E"/>
    <w:rsid w:val="397B0A8B"/>
    <w:rsid w:val="3A066D6A"/>
    <w:rsid w:val="3AE5386B"/>
    <w:rsid w:val="3C050FCB"/>
    <w:rsid w:val="3CF02F6D"/>
    <w:rsid w:val="3D2D6F59"/>
    <w:rsid w:val="3D39587A"/>
    <w:rsid w:val="3DCF3AC8"/>
    <w:rsid w:val="3E1C7842"/>
    <w:rsid w:val="3E856753"/>
    <w:rsid w:val="3F322E12"/>
    <w:rsid w:val="3F3549B4"/>
    <w:rsid w:val="3F6E3391"/>
    <w:rsid w:val="3FE144EB"/>
    <w:rsid w:val="40383B66"/>
    <w:rsid w:val="406370FA"/>
    <w:rsid w:val="40AE22AF"/>
    <w:rsid w:val="40B654A2"/>
    <w:rsid w:val="40EB4C68"/>
    <w:rsid w:val="41295306"/>
    <w:rsid w:val="4135510C"/>
    <w:rsid w:val="41686C90"/>
    <w:rsid w:val="439B5BFE"/>
    <w:rsid w:val="439D5EF1"/>
    <w:rsid w:val="44026DE9"/>
    <w:rsid w:val="442E38F9"/>
    <w:rsid w:val="448653F9"/>
    <w:rsid w:val="45786C68"/>
    <w:rsid w:val="46F2521F"/>
    <w:rsid w:val="47262C7D"/>
    <w:rsid w:val="48246502"/>
    <w:rsid w:val="489F293E"/>
    <w:rsid w:val="49AB6334"/>
    <w:rsid w:val="49B74A40"/>
    <w:rsid w:val="49D10C00"/>
    <w:rsid w:val="4A36129D"/>
    <w:rsid w:val="4B150D18"/>
    <w:rsid w:val="4B254F6E"/>
    <w:rsid w:val="4BF25F6A"/>
    <w:rsid w:val="4C7771DD"/>
    <w:rsid w:val="4CFA4CFC"/>
    <w:rsid w:val="4D2A44A1"/>
    <w:rsid w:val="4DA7579F"/>
    <w:rsid w:val="4E2C4928"/>
    <w:rsid w:val="4E520978"/>
    <w:rsid w:val="4F4760F3"/>
    <w:rsid w:val="4FE81C38"/>
    <w:rsid w:val="50247D16"/>
    <w:rsid w:val="505561BC"/>
    <w:rsid w:val="506921E5"/>
    <w:rsid w:val="50775DEB"/>
    <w:rsid w:val="50E30DB7"/>
    <w:rsid w:val="513D135A"/>
    <w:rsid w:val="522801D4"/>
    <w:rsid w:val="52B03AF2"/>
    <w:rsid w:val="52C6028A"/>
    <w:rsid w:val="52CB1271"/>
    <w:rsid w:val="53330181"/>
    <w:rsid w:val="53E96840"/>
    <w:rsid w:val="53EC37AF"/>
    <w:rsid w:val="54FD71CB"/>
    <w:rsid w:val="550F245F"/>
    <w:rsid w:val="55101D6A"/>
    <w:rsid w:val="56A2559C"/>
    <w:rsid w:val="56B17E32"/>
    <w:rsid w:val="56CF3B99"/>
    <w:rsid w:val="56D30696"/>
    <w:rsid w:val="5716463C"/>
    <w:rsid w:val="57503EF1"/>
    <w:rsid w:val="57F04845"/>
    <w:rsid w:val="58F157C7"/>
    <w:rsid w:val="59E261CD"/>
    <w:rsid w:val="59E35ABE"/>
    <w:rsid w:val="5AE74053"/>
    <w:rsid w:val="5B251F1A"/>
    <w:rsid w:val="5B7245D9"/>
    <w:rsid w:val="5B79786B"/>
    <w:rsid w:val="5B87775A"/>
    <w:rsid w:val="5CA135C2"/>
    <w:rsid w:val="5D832FE6"/>
    <w:rsid w:val="5E5B5FBB"/>
    <w:rsid w:val="5EAF73F8"/>
    <w:rsid w:val="5EF755FD"/>
    <w:rsid w:val="5F055E7C"/>
    <w:rsid w:val="5F6E0685"/>
    <w:rsid w:val="5F933CEF"/>
    <w:rsid w:val="6050559D"/>
    <w:rsid w:val="60B4072E"/>
    <w:rsid w:val="60BA703C"/>
    <w:rsid w:val="61630923"/>
    <w:rsid w:val="61B01B45"/>
    <w:rsid w:val="62107E75"/>
    <w:rsid w:val="62FC39F6"/>
    <w:rsid w:val="63567E45"/>
    <w:rsid w:val="63A551F3"/>
    <w:rsid w:val="63A82C98"/>
    <w:rsid w:val="64865814"/>
    <w:rsid w:val="65012A9C"/>
    <w:rsid w:val="655511CA"/>
    <w:rsid w:val="656A114B"/>
    <w:rsid w:val="66084616"/>
    <w:rsid w:val="668D236F"/>
    <w:rsid w:val="671067CD"/>
    <w:rsid w:val="67227DCD"/>
    <w:rsid w:val="677D1FC4"/>
    <w:rsid w:val="69775615"/>
    <w:rsid w:val="69D75CEE"/>
    <w:rsid w:val="6A32615C"/>
    <w:rsid w:val="6A51001D"/>
    <w:rsid w:val="6A837F5B"/>
    <w:rsid w:val="6AF415DD"/>
    <w:rsid w:val="6B8A420E"/>
    <w:rsid w:val="6BAD5555"/>
    <w:rsid w:val="6BE56038"/>
    <w:rsid w:val="6C5F726A"/>
    <w:rsid w:val="6CD6135E"/>
    <w:rsid w:val="6D2436C6"/>
    <w:rsid w:val="6D652F88"/>
    <w:rsid w:val="6DBA7957"/>
    <w:rsid w:val="6E3A6F8E"/>
    <w:rsid w:val="6E6542A4"/>
    <w:rsid w:val="6E6D1764"/>
    <w:rsid w:val="6E992EC5"/>
    <w:rsid w:val="6F3167C5"/>
    <w:rsid w:val="6FD47956"/>
    <w:rsid w:val="6FDC6F4A"/>
    <w:rsid w:val="708874F7"/>
    <w:rsid w:val="70B9594B"/>
    <w:rsid w:val="70CB45E7"/>
    <w:rsid w:val="718A5142"/>
    <w:rsid w:val="71F24CA6"/>
    <w:rsid w:val="73677F80"/>
    <w:rsid w:val="73F35272"/>
    <w:rsid w:val="74007232"/>
    <w:rsid w:val="749C5902"/>
    <w:rsid w:val="752A5AA5"/>
    <w:rsid w:val="753F59CD"/>
    <w:rsid w:val="754E3CB8"/>
    <w:rsid w:val="758F7999"/>
    <w:rsid w:val="75A040BC"/>
    <w:rsid w:val="77451AD8"/>
    <w:rsid w:val="78637A78"/>
    <w:rsid w:val="78C21CDD"/>
    <w:rsid w:val="78E439A6"/>
    <w:rsid w:val="78FA4DC7"/>
    <w:rsid w:val="79490C9A"/>
    <w:rsid w:val="7A294DE5"/>
    <w:rsid w:val="7B1701CA"/>
    <w:rsid w:val="7B8E4A26"/>
    <w:rsid w:val="7B907D4E"/>
    <w:rsid w:val="7BB85FDE"/>
    <w:rsid w:val="7CEF017B"/>
    <w:rsid w:val="7D66046A"/>
    <w:rsid w:val="7DB4273E"/>
    <w:rsid w:val="7DD72233"/>
    <w:rsid w:val="7DE54089"/>
    <w:rsid w:val="7F153A8B"/>
    <w:rsid w:val="7FDF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Arial" w:hAnsi="Arial" w:cs="Arial"/>
      <w:b/>
      <w:bCs/>
      <w:sz w:val="32"/>
      <w:szCs w:val="32"/>
    </w:rPr>
  </w:style>
  <w:style w:type="paragraph" w:styleId="3">
    <w:name w:val="Normal Indent"/>
    <w:basedOn w:val="1"/>
    <w:semiHidden/>
    <w:unhideWhenUsed/>
    <w:qFormat/>
    <w:uiPriority w:val="99"/>
    <w:pPr>
      <w:ind w:firstLine="420" w:firstLineChars="200"/>
    </w:pPr>
  </w:style>
  <w:style w:type="paragraph" w:styleId="4">
    <w:name w:val="footer"/>
    <w:basedOn w:val="1"/>
    <w:link w:val="9"/>
    <w:unhideWhenUsed/>
    <w:qFormat/>
    <w:uiPriority w:val="99"/>
    <w:pPr>
      <w:tabs>
        <w:tab w:val="center" w:pos="4153"/>
        <w:tab w:val="right" w:pos="8306"/>
      </w:tabs>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8">
    <w:name w:val="页眉 Char"/>
    <w:basedOn w:val="7"/>
    <w:link w:val="5"/>
    <w:semiHidden/>
    <w:qFormat/>
    <w:uiPriority w:val="99"/>
    <w:rPr>
      <w:rFonts w:ascii="Tahoma" w:hAnsi="Tahoma"/>
      <w:sz w:val="18"/>
      <w:szCs w:val="18"/>
    </w:rPr>
  </w:style>
  <w:style w:type="character" w:customStyle="1" w:styleId="9">
    <w:name w:val="页脚 Char"/>
    <w:basedOn w:val="7"/>
    <w:link w:val="4"/>
    <w:qFormat/>
    <w:uiPriority w:val="99"/>
    <w:rPr>
      <w:rFonts w:ascii="Tahoma" w:hAnsi="Tahoma"/>
      <w:sz w:val="18"/>
      <w:szCs w:val="18"/>
    </w:rPr>
  </w:style>
  <w:style w:type="paragraph" w:customStyle="1" w:styleId="10">
    <w:name w:val="Normal Indent_7efa04cf-3be6-442c-b498-abd7c4c330cd"/>
    <w:basedOn w:val="1"/>
    <w:qFormat/>
    <w:uiPriority w:val="0"/>
    <w:pPr>
      <w:widowControl w:val="0"/>
      <w:adjustRightInd/>
      <w:snapToGrid/>
      <w:spacing w:after="0"/>
      <w:ind w:firstLine="420" w:firstLineChars="200"/>
      <w:jc w:val="both"/>
    </w:pPr>
    <w:rPr>
      <w:rFonts w:ascii="Calibri" w:hAnsi="Calibri" w:eastAsia="宋体" w:cs="Times New Roman"/>
      <w:kern w:val="2"/>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737</Words>
  <Characters>4203</Characters>
  <Lines>35</Lines>
  <Paragraphs>9</Paragraphs>
  <TotalTime>0</TotalTime>
  <ScaleCrop>false</ScaleCrop>
  <LinksUpToDate>false</LinksUpToDate>
  <CharactersWithSpaces>4931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lenovo</dc:creator>
  <cp:lastModifiedBy>Administrator</cp:lastModifiedBy>
  <cp:lastPrinted>2021-04-30T07:20:00Z</cp:lastPrinted>
  <dcterms:modified xsi:type="dcterms:W3CDTF">2021-05-27T09:50:17Z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63BD33D485E94E02AB1C601BDFDEFB80</vt:lpwstr>
  </property>
</Properties>
</file>