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山西省重点工业污染监督条例</w:t>
      </w:r>
    </w:p>
    <w:p>
      <w:pPr>
        <w:rPr>
          <w:rFonts w:hint="eastAsia" w:ascii="仿宋" w:hAnsi="仿宋" w:eastAsia="仿宋" w:cs="仿宋"/>
          <w:sz w:val="32"/>
          <w:szCs w:val="32"/>
        </w:rPr>
      </w:pPr>
    </w:p>
    <w:p>
      <w:pPr>
        <w:ind w:firstLine="640" w:firstLineChars="200"/>
        <w:rPr>
          <w:rFonts w:hint="eastAsia" w:ascii="楷体" w:hAnsi="楷体" w:eastAsia="楷体" w:cs="楷体"/>
          <w:sz w:val="32"/>
          <w:szCs w:val="32"/>
        </w:rPr>
      </w:pPr>
      <w:r>
        <w:rPr>
          <w:rFonts w:hint="eastAsia" w:ascii="楷体" w:hAnsi="楷体" w:eastAsia="楷体" w:cs="楷体"/>
          <w:sz w:val="32"/>
          <w:szCs w:val="32"/>
        </w:rPr>
        <w:t>(2007年9月26日山西省第十届人民代表大会常务委员会第三十三次会议通过根据2011年12月1日山西省第十一届人民代表大会常务委员会第二十六次会议《关于修改部分地方性法规的决定》修正根据2018年9月30日山西省第十三届人民代表大会常务委员会第五次会议《关于修改〈山西省节约能源条例〉等九部地方性法规的决定》修正)</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为加强重点工业污染监督，保护和改善生活与生态环境，促进经济和社会可持续发展，根据有关法律法规，结合本省实际，制定本条例。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本条例所称重点工业污染是指本省行政区域内煤炭、火电、冶金、化工、焦化、建材、制药等行业的工业污染。</w:t>
      </w:r>
    </w:p>
    <w:p>
      <w:pPr>
        <w:rPr>
          <w:rFonts w:hint="eastAsia" w:ascii="仿宋" w:hAnsi="仿宋" w:eastAsia="仿宋" w:cs="仿宋"/>
          <w:sz w:val="32"/>
          <w:szCs w:val="32"/>
        </w:rPr>
      </w:pPr>
      <w:r>
        <w:rPr>
          <w:rFonts w:hint="eastAsia" w:ascii="仿宋" w:hAnsi="仿宋" w:eastAsia="仿宋" w:cs="仿宋"/>
          <w:sz w:val="32"/>
          <w:szCs w:val="32"/>
        </w:rPr>
        <w:t>第三条县级以上人民政府应当加强对重点工业污染监督工作的领导，制定任期内重点工业污染防治目标和年度实施计划，保证资金投入，采取有效措施，确保防治目标的实现和年度计划的完成。</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各级人民政府对本行政区域的环境质量负责，其行政首长是重点工业污染监督工作的第一责任人。对重点工业污染防治工作各项指标完成情况进行定期考核，具体考核办法由省人民政府制定。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各级人民政府应当每年向同级人民代表大会或者其常务委员会报告重点工业污染防治工作以及任期内的重点工业污染防治工作目标实现情况。</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县级以上人民政府环境保护行政主管部门对本行政区域内重点工业污染防治工作实施统一监督管理，有关部门在各自职责范围内对重点工业污染防治工作实施监督管理。</w:t>
      </w:r>
    </w:p>
    <w:p>
      <w:pPr>
        <w:rPr>
          <w:rFonts w:hint="eastAsia" w:ascii="仿宋" w:hAnsi="仿宋" w:eastAsia="仿宋" w:cs="仿宋"/>
          <w:sz w:val="32"/>
          <w:szCs w:val="32"/>
        </w:rPr>
      </w:pPr>
      <w:r>
        <w:rPr>
          <w:rFonts w:hint="eastAsia" w:ascii="仿宋" w:hAnsi="仿宋" w:eastAsia="仿宋" w:cs="仿宋"/>
          <w:sz w:val="32"/>
          <w:szCs w:val="32"/>
        </w:rPr>
        <w:t>环境保护管理工作实行分级管理和属地管理相结合的原则。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省人民政府环境保护行政主管部门对设区的市、环保治理重点县（市、区）人民政府，设区的市环境保护行政主管部门对县（市、区）人民政府执行环保法律法规情况进行监督。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公众对重点工业污染监督工作享有知情权、参与权和监督权。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排污企业应当依照有关规定公开相关信息，听取公众意见，接受公众监督。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环境保护行政主管部门对公众提出的意见，应当研究处理，给予答复并说明理由。</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各级人民政府应当对在重点工业污染防治工作中做出显著成绩的单位和个人，给予表彰或者奖励。</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任何单位和个人都有权对污染环境的行为及环境保护行政主管部门的违法违纪行为进行检举和控告。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任何组织和个人不得打击报复检举人、控告人。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检举人、控告人反映的情况，经查证属实后，有关行政机关和单位应当给予奖励。</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编制有关开发利用规划，建设对环境有影响的项目，应当依法进行环境影响评价。</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未依法进行环境影响评价的开发利用规划，不得组织实施；未依法进行环境影响评价的建设项目，不得开工建设。 </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实行主要污染物排放总量控制制度。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各级人民政府及有关部门应当制定污染物减排计划，并逐级分解排污总量。</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排污企业应当采取有效措施，确保主要污染物排放总量控制在核定指标内。</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环境保护行政主管部门应当将主要污染物排放总量完成情况定期向社会公布。</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禁止在生活饮用水水源保护区内设置排污口；禁止在饮用水水源一级保护区内新建、改建、扩建与供水设施和保护水源无关的建设项目；禁止在饮用水水源二级保护区内新建、改建、扩建排放污染物的建设项目。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禁止在自然保护区的核心区和缓冲区建设任何生产设施；实验区内，不得建设污染环境、破坏环境或者景观的生产设施。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建设项目应当进行环境影响评价，环境影响评价文件报经有审批权的环境保护行政主管部门审批。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建设项目的环境影响评价文件经批准后，建设项目的性质、规模、地点、采用的生产工艺或者防治污染、防止生态破坏的措施发生重大变动的，建设单位应当重新报批建设项目的环境影响评价文件。建设项目的环境影响评价文件自批准之日超过3年方开工建设的，其环境影响评价文件应当报原审批机关重新审核。</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在项目建设、运行过程中不符合经审批的环境影响评价文件要求的，建设单位应当组织环境影响的后评价，采取改进措施，并报原环境影响评价文件审批部门和建设项目审批部门备案；原环境影响评价文件审批部门应当责成并监督建设单位采取改进措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对超过污染物总量控制指标、未完成国家确定的环境质量目标，或者对生态破坏严重、尚未完成生态恢复任务的区域、流域区段，暂停审批其新增重点污染物排放总量的建设项目环境影响评价文件。</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环境保护行政主管部门应当在当地主要媒体上对建设单位报批的环境影响评价文件进行公示，广泛征求有关单位、专家和公众的意见。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环境保护行政主管部门应当按照法律、法规、规章和相关环境影响评价技术规范的规定，对环境影响评价文件进行审查。法律、法规、规章和相关环境影响评价技术规范对环境影响评价文件中的有关内容尚未作规定的，环境保护行政主管部门应当组织专家进行论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环境保护行政主管部门应当在规定的期限内作出审批决定。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环境影响评价机构应当按照有关规定，从事建设项目环境影响评价服务，并对其评价结论负责。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建设单位应当按照项目环境影响评价文件审批决定的要求，采取污染物减排措施，配套建设环境保护设施。</w:t>
      </w:r>
    </w:p>
    <w:p>
      <w:pPr>
        <w:rPr>
          <w:rFonts w:hint="eastAsia" w:ascii="仿宋" w:hAnsi="仿宋" w:eastAsia="仿宋" w:cs="仿宋"/>
          <w:sz w:val="32"/>
          <w:szCs w:val="32"/>
        </w:rPr>
      </w:pPr>
      <w:r>
        <w:rPr>
          <w:rFonts w:hint="eastAsia" w:ascii="仿宋" w:hAnsi="仿宋" w:eastAsia="仿宋" w:cs="仿宋"/>
          <w:sz w:val="32"/>
          <w:szCs w:val="32"/>
        </w:rPr>
        <w:t>本条例所称的环境保护设施包括:</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（一）废水、废气、固体废物、粉尘、烟尘、恶臭气体、放射性物质、噪声、振动、电磁辐射等污染的防治设施；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（二）污染物排放计量仪器和监测采样装置；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（三）污染源在线监测装置和污染防治设施运行监控装置；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（四）各类环境保护标识；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（五）环境风险防范和应急设施；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（六）法律、法规和规章规定的其他环境保护装置、设备和设施。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排污企业应当实施清洁生产，使用清洁能源和原料，采用先进工艺技术与设备，改善管理，提高资源利用率，减少或者避免生产过程中污染物的产生和排放。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排污企业应当实施清洁生产审核，作为评价企业环境行为等级的依据。</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实行排污许可管理的企业事业单位和其他生产经营者应当按照排污许可证的要求排放污染物；未取得排污许可证的，不得排放污染物。</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排污企业应当保证防治污染设施正常运行，防治污染的设施应当符合经批准的环境影响评价文件的要求，不得擅自拆除或者闲置。</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应当根据省人民政府的要求，建立全省统一的重点工业污染自动监控系统。排污企业应当在规定期限内安装污染自动监测设施，并与全省统一的污染自动监控系统联网，确保正常运行，并保存原始监测记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县级以上人民政府环境保护行政主管部门应当通过污染自动监控系统依法对排污企业采取监控措施。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县级以上人民政府应当组织编制突发环境事件应急预案，有关部门应当制定本系统突发环境事件应急预案，做好处置突发环境事件的各项准备工作。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可能发生重大环境污染事故的排污企业，应当制定环境污染事故应急方案，并报当地环境保护行政主管部门备案。环境保护行政主管部门应当对应急方案进行检查。</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因发生事故或者其他突发性事件，造成或者可能造成污染事故的单位，必须立即采取措施处理，及时通报可能受到污染危害的单位和居民，并向当地人民政府或者环境保护行政主管部门报告。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接到事故报告后，当地人民政府及其有关部门必须启动应急预案，采取强制性应急措施，减轻或者消除污染。</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重点工业污染监督管理实行政府组织、环保部门牵头、有关部门配合的联合执法制度，建立环境违法违纪案件移送机制。</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排污企业执行环境保护法律法规的情况，应当纳入全省统一的企业信用信息体系。污染物超标排放或者污染物排放超过总量控制指标的污染严重的企业名单，环境保护行政主管部门应当在当地主要媒体上定期公布，接受公众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县级以上人民政府对环境保护行政主管部门，环境保护行政主管部门对所属执法人员的行政执法情况，应当定期考核。</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各级人民政府及环境保护行政主管部门从事环境保护执法活动，应当依照法律法规的规定，接受同级人民代表大会及其常务委员会的监督。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监察机关依法对下一级人民政府、环境保护行政主管部门及其人员遵守和执行法律法规情况实施监察。</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违反本条例第十条第一款规定的在建项目，由县级以上人民政府环境保护主管部门责令停止违法行为，处十万元以上五十万元以下的罚款；并报经有批准权的人民政府批准，责令拆除或者关闭。</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十四条规定，环境影响评价机构在环境影响评价工作中不负责任或者弄虚作假，致使环境影响评价文件失实的，依法由授予环境影响评价资质的环境保护行政主管部门降低其资质等级或者吊销其资质证书，并处所收费用一倍以上三倍以下的罚款；构成犯罪的，依法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十七条规定，未取得排污许可证排放主要污染物的，由环境保护行政主管部门责令改正；未按照排污许可证的规定排放主要污染物的，由颁发许可证的环境保护行政主管部门按照有关法律法规的规定处理。</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对列入淘汰名录，造成严重环境污染的工业生产设施，由县级以上人民政府环境保护行政主管部门责令停止使用。</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排污企业不履行县级以上人民政府及其环境保护行政主管部门作出的责令停业、关闭、停止建设、停止生产或者使用等决定的，可以依法及时采取有效的行政措施。</w:t>
      </w:r>
    </w:p>
    <w:p>
      <w:pPr>
        <w:rPr>
          <w:rFonts w:hint="eastAsia" w:ascii="仿宋" w:hAnsi="仿宋" w:eastAsia="仿宋" w:cs="仿宋"/>
          <w:sz w:val="32"/>
          <w:szCs w:val="32"/>
        </w:rPr>
      </w:pPr>
      <w:r>
        <w:rPr>
          <w:rFonts w:hint="eastAsia" w:ascii="仿宋" w:hAnsi="仿宋" w:eastAsia="仿宋" w:cs="仿宋"/>
          <w:sz w:val="32"/>
          <w:szCs w:val="32"/>
        </w:rPr>
        <w:t>具体办法由省人民政府制定。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县级以上人民政府及其环境保护等有关行政主管部门的工作人员违反本条例规定，有下列行为之一的，由所在单位或者上级主管部门给予行政处分；构成犯罪的，依法追究刑事责任。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（一）违反环境保护法律法规，出现重大决策失误，造成环境严重污染的；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（二）违法审批、包庇、纵容违法排污企业的；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（三）对环境违法行为查处不力，造成严重后果的；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（四）其他玩忽职守、滥用职权、徇私舞弊的。</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违反本条例规定，法律法规有处罚规定的，从其规定。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bookmarkStart w:id="0" w:name="_GoBack"/>
      <w:bookmarkEnd w:id="0"/>
      <w:r>
        <w:rPr>
          <w:rFonts w:hint="eastAsia" w:ascii="仿宋" w:hAnsi="仿宋" w:eastAsia="仿宋" w:cs="仿宋"/>
          <w:sz w:val="32"/>
          <w:szCs w:val="32"/>
        </w:rPr>
        <w:t>本条例自2007年11月1日起施行。</w:t>
      </w:r>
    </w:p>
    <w:p>
      <w:pPr>
        <w:rPr>
          <w:rFonts w:hint="eastAsia" w:ascii="仿宋" w:hAnsi="仿宋" w:eastAsia="仿宋" w:cs="仿宋"/>
        </w:rPr>
      </w:pPr>
    </w:p>
    <w:sectPr>
      <w:footerReference r:id="rId3" w:type="default"/>
      <w:pgSz w:w="11906" w:h="16838"/>
      <w:pgMar w:top="1440" w:right="1633" w:bottom="1440"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oolBoran">
    <w:panose1 w:val="020B0100010101010101"/>
    <w:charset w:val="00"/>
    <w:family w:val="auto"/>
    <w:pitch w:val="default"/>
    <w:sig w:usb0="8000000F" w:usb1="0000204A" w:usb2="00010000" w:usb3="00000000" w:csb0="0000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03143"/>
    <w:rsid w:val="07E0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2019-05-17T01:52:00Z</dcterms:created>
  <dc:creator>月儿❤️芊儿</dc:creator>
  <cp:lastModifiedBy>月儿❤️芊儿</cp:lastModifiedBy>
  <dcterms:modified xsi:type="dcterms:W3CDTF">2019-05-17T01:59:45Z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