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bookmarkStart w:id="0" w:name="_GoBack"/>
      <w:bookmarkEnd w:id="0"/>
    </w:p>
    <w:p>
      <w:pPr>
        <w:jc w:val="center"/>
        <w:rPr>
          <w:rFonts w:hint="eastAsia" w:ascii="宋体" w:hAnsi="宋体" w:eastAsia="宋体" w:cs="宋体"/>
          <w:sz w:val="44"/>
          <w:szCs w:val="44"/>
        </w:rPr>
      </w:pPr>
      <w:r>
        <w:rPr>
          <w:rFonts w:hint="eastAsia" w:ascii="宋体" w:hAnsi="宋体" w:eastAsia="宋体" w:cs="宋体"/>
          <w:sz w:val="44"/>
          <w:szCs w:val="44"/>
        </w:rPr>
        <w:t>山西省防震减灾条例</w:t>
      </w:r>
    </w:p>
    <w:p>
      <w:pPr>
        <w:rPr>
          <w:rFonts w:hint="eastAsia" w:ascii="仿宋_GB2312" w:hAnsi="仿宋_GB2312" w:eastAsia="仿宋_GB2312" w:cs="仿宋_GB2312"/>
          <w:sz w:val="32"/>
          <w:szCs w:val="32"/>
        </w:rPr>
      </w:pP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9月23日山西省第八届人民代表大会常务委员会第二十四次会议通过2002年7月27日山西省第九届人民代表大会常务委员会第三十次会议修订2019年5月30日山西省第十三届人民代表大会常务委员会第十一次会议关于修改《山西省建设工程勘察设计管理条例》等四部地方性法规的决定修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为防御和减轻地震灾害，保护人身和财产安全，根据《中华人民共和国防震减灾法》和其他有关法律、法规的规定，结合本省实际，制定本条例。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本省行政区域内的一切单位和个人均应遵守本条例。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防震减灾实行预防为主、防御与救助相结合的方针。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县级以上人民政府领导本行政区域内的防震减灾工作。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县级以上人民政府的地震工作主管部门负责管理本行政区域内的防震减灾工作。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县级以上人民政府的其他部门应按照各自职责，相互配合，做好防震减灾工作。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县级以上人民政府应将防震减灾工作纳入国民经济和社会发展计划，将防震减灾经费列入年度财政预算，并根据防震减灾的需要增加经费投入。</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各级人民政府应组织人民群众开展防震减灾活动。机关、社会团体和企业事组织应加强防震减灾宣传教育，提高公民的防震减灾意识和能力。</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防震减灾应依靠科学技术进步。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鼓励和支持地震科学研究，推广应用新科技成果，增强防御地震灾害的能力。</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国务院和省人民政府确定的地震重点监视防御区和地震重点监视防御城市是防震减灾工作的重点。</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管理职责</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设区的市人民政府、地区行政公署和地震重点监视防御区的县级人民政府应建立健全防震减灾领导机构。防震减灾领导机构检查、督促、协调和指导本行政区域内的防震减灾工作，其办事机构设在同级地震工作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发布破坏性地震临震预报或发生破坏性地震后，省和震区人民政府的防震减灾领导机构直接转为抗震救灾指挥部。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县级以上地震工作主管部门在防震减灾工作中应履行下列主要职责：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（一）实施防震减灾的法律、法规和规章；</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（二）会同有关部门编制防震减灾规划和拟订破坏性地震应急预案，报同级人民政府批准后实施；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（三）拟订防震减灾年度计划并组织实施；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（四）管理地震监测预报工作，提出地震趋势预报意见；</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（五）管理震害预测、震情和灾情速报及地震灾害损失评估；</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（六）参与震区救灾和制定重建规划；</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（七）会同有关部门开展防震减灾知识的宣传教育工作；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（八）负责建设工程抗震设防要求和地震安全性评价工作的管理、监督。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县级以上人民政府各部门在防震减灾工作中应履行下列职责：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（一）拟订本部门、本行业的地震应急预案，承担同级人民政府部署的应急救灾任务；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（二）落实生命线工程、易产生次生灾害工程的抗震减灾措施，组织岗位应急反应训练；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（三）检查、监督本行业建设工程的抗震设防；</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（四）配合地震工作主管部门进行地震监测预报、震害预测和地震灾害损失评估。</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地震工作主管部门和有关部门应对执行有关法律、法规和规章的情况进行监督检查；被监督检查单位应提供方便。</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各级人民政府和企业事业组织应建立健全防震减灾责任制度，并定期检查考核。</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地震监测预报与监测设施保护</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省地震工作主管部门依据全国地震监测预报方案，制定本省的地震监测预报方案，并组织实施。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地震重点监视防御区的县级以上地震工作主管部门应根据全省地震监测预报方案，制定本行政区域内的短期和临震监测预报方案，报省地震工作主管部门审批后实施。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省内地震监测台网由国家、省、市、县级地震监测台网组成，实行统一规划、分级分类管理。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省、市、县级地震监测台站的设立、停测或撤销，须经省地震工作主管部门批准。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地震监测台网的建设和运行经费由同级财政承担。</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大型煤炭、电力、冶金、化工等企业和水库应根据防震减灾需要，建立承担特定观测任务的地震监测台站，接受当地地震工作主管部门的业务指导。</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地震监测实行专业监测同群测群防相结合。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地震工作主管部门应鼓励、支持各种形式的群测群防活动，并给予指导。</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地震重点监视防御区的各级人民政府应组织开展地震群测群防工作，建立健全地震测报网络，观测、报告地震宏观异常现象。</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本省的地震预报由省人民政府按照《地震预报管理条例》规定的程序发布。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鼓励单位和个人将地震异常现象和地震预测意见及时报告地震工作主管部门。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任何单位和个人不得向社会散布地震预测意见、地震预报意见。涉及地震预报的宣传报道应遵守国家规定。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任何单位和个人不得损害地震监测设施和破坏地震观测环境，不得干扰和妨碍地震监测台站工作。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地震监测设施所在地的乡（镇）人民政府和地震、公安、规划、国土资源等部门应依法保护地震监测设施和地震观测环境。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建设工程，应避免妨害地震观测环境。确实无法避免的重点建设工程，建设单位应在工程设计前征得工程所在地的县级以上地震工作主管部门的同意，并增建抗干扰工程或迁移地震监测设施，其费用和造成的损失由建设单位承担和赔偿。</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任何单位和个人应为地震监测和异常现象调查提供便利，不得妨碍和阻挠地震工作人员进行地震监测和异常现象调查。</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地震灾害预防</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各级人民政府编制城市规划应考虑地震构造环境，并符合抗震设防要求。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地震重点监视防御区的市、县人民政府应按照国家和省有关规定，开展地震小区划工作。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建设工程选址应避开地震活动断层。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新建、扩建和改建的建设工程，应符合抗震设防要求。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按照国家和省有关规定应进行地震安全性评价的建设工程，由省地震工作主管部门根据审定的地震安全性评价结果确定抗震设防要求，下达抗震设防要求审批书，或将初审意见报国务院地震行政主管部门。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前款规定以外的建设工程，建设单位应到工程所在地的县级以上地震工作主管部门审核抗震设防要求。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除国务院地震行政主管部门、省地震工作主管部门及其授权的地震工作主管部门外，任何单位和个人不得审核、提供抗震设防要求。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抗震设防要求应纳入建设工程管理程序。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建设工程项目的可行性研究报告和初步设计报告应有经审定的抗震设防要求方面的内容。应进行场地地震安全性评价的建设工程，其建设项目的可行性研究报告和初步设计报告应附有地震安全性评价报告。</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不符合前款规定的建设工程项目，审批部门不予批准。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建设工程的可行性研究论证、初步设计审查、竣工验收，应有县级以上地震工作主管部门的人员参加。</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设计单位应按照审定的抗震设防要求和抗震设计规范进行抗震设计。施工单位应按照抗震设计进行施工。监理单位应按照《中华人民共和国建筑法》的规定对抗震设防措施进行监理。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设计、施工、监理等单位应对工程抗震设防质量负终身责任。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建成的建筑物、构筑物，未采取抗震设防措施、不符合现行抗震设防要求或未达到抗震设计标准的，建筑物、构筑物所有权人或管理者应按照国家有关规定进行抗震性能鉴定，并采取必要的抗震加固措施；建设、地震、文物等部门应监督管理并给予技术指导。</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新建、扩建、改建的重大工程，应根据本地的地震安全需要设置强震观测仪器，所需资金列入工程项目预算。</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地震重点监视防御区的县级以上人民政府应对城市和工业区进行震害预测。地震工作主管部门收集震害预测和地震应急信息时，有关单位和个人有义务提供。</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交通、通信、供水、供电、供气、供热等企业事业组织应进行专项震害预测，强化抗震设防，加强设备维护和更新改造。</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化工、军工、煤气、煤矿、水库、油库等企业事业组织，应对因地震可能引起的火灾、水灾、爆炸、塌陷、毒气泄漏、放射性污染和化学污染等严重次生灾害进行专项震害预测，并采取有效防护和预警措施。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各级人民政府应引导农民建造符合抗震设防要求的住房。</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村镇公共建筑和乡镇企业的生产、办公用房应符合抗震设防要求。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编制城市规划应考虑地裂缝影响。</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建设工程选址应避开地裂缝影响地段；确实无法避开的，应进行地裂缝探查，并采取预防和自保措施。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在地裂缝影响地段选址建房，应到当地县级以上地震工作主管部门或国土资源部门咨询。</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县级以上人民政府应组织规划、建设、地震、消防、人防等部门确定避难场所，在人员集中的场所设置紧急疏散通道。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避难场所、紧急疏散通道的所有权人或管理者，应保持避难场所的完好和疏散通道的畅通，并设置明显标志。</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重点监视防御区的机关、社会团体、企业事业组织、居民委员会、村民委员会，应开展必要的防震、避险、疏散、救助训练。居民委员会、村民委员会可以根据需要组织防灾救助志愿者队伍，发生地震时实施救援活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各级人民政府应组织有关部门开展防震减灾知识的宣传教育。</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每年7月28日所在周为全省防震减灾宣传周。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大众传媒负有开展防震减灾社会公益性宣传的义务。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学校应对教师和学生普及防震减灾知识，必要时进行防震演练。</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地震应急与救灾</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震工作主管部门应会同有关部门拟订本行政区域的破坏性地震应急预案，报同级人民政府批准，并报上一级地震工作主管部门备案。一百万以上人口的城市，其破坏性地震应急预案应报国务院地震行政主管部门备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县级以上人民政府各部门应依据同级人民政府破坏性地震应急预案，拟订本部门或本系统的破坏性地震应急预案，报同级人民政府防震减灾领导机构批准。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大中型企业、生命线工程、易产生次生灾害的单位和学校、医院、大型商场、影剧院、车站等人员集中的单位，应拟订破坏性地震应急预案，报当地县级以上人民政府防震减灾领导机构批准。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拟订破坏性地震应急预案的单位应根据震情的变化和实施中发现的问题，对破坏性地震应急预案及时进行修订；涉及重大事项调整的，应报经原批准机关同意。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拟订破坏性地震应急预案的单位，必要时应组织地震应急模拟演练。</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地震重点监视防御区的县级以上人民政府应设置地震应急指挥场所，预留救灾资金和储备应急救援物资、装备，制定地震应急救援物资、装备的紧急调度方案。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地震重点监视防御区设区的市以上人民政府应组建平震结合的地震紧急救援队，配备救助装备。地震紧急救援队应组织救援演练。</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破坏性地震临震预报发布后，省人民政府和震区县级以上人民政府应采取下列应急措施：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（一）启动破坏性地震应急预案，并紧急处置临震应急中发生的问题；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（二）向预报区内的人员提出避震撤离劝告，情况紧急时有组织地进行避震疏散；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（三）紧急占用场地，调用应急物资、设备和人员。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（四）对生命线工程和次生灾害源采取紧急防护措施，储备生活必需品。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破坏性地震发生后，省地震工作主管部门应及时将震情、地震趋势判断意见和灾情报告省人民政府和国务院地震行政主管部门。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破坏性地震发生后，省人民政府和震区人民政府应立即组织有关部门和单位实施破坏性地震应急预案，开展抗震救灾。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破坏性地震发生后，居民委员会、村民委员会应组织志愿者队伍帮助老年人、儿童、残疾人避险，救助遇险人员；居民应关闭户内电源、水源、气源，开展自救、互救。</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地震救灾资金和物资，通过国家救助、生产自救、公民互助、保险理赔、社会捐赠、自筹、借贷、国外援助等多种方式解决。</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任何单位和个人不得截留、挪用地震救灾资金和物资。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审计机关和其他有关部门应加强对地震救灾资金和物资使用情况的监督。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提倡参加人身和财产地震灾害保险。</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破坏性地震发生后，省地震工作主管部门应会同有关部门组成地震灾害损失评估机构，对地震灾害损失进行评估，并将评估结果报省人民政府和国务院地震行政主管部门。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灾区县级以上人民政府应根据震害情况和重新核定的抗震设防要求，组织制定恢复重建规划，并报经上一级人民政府批准后实施。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典型地震遗址、遗迹，由地震工作主管部门报经同级人民政府批准后进行特殊保护。典型地震遗址、遗迹的保护应列入地震灾区重建规划。</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在防震减灾活动中有下列情形之一的单位和个人，由县级以上人民政府给予表彰、奖励：</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（一）地震测报准确，信息传递及时，对减轻地震灾害有突出贡献的；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（二）保护地震监测设施或观测环境成绩突出的；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（三）保护或抢救生命、财产有突出贡献的；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（四）震前采取有效防护措施，震后及时排除险情，防止灾情扩大有突出贡献的；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（五）防震减灾知识宣传教育成效显著的；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（六）取得重大防震减灾科技成果的；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（七）有其他突出贡献的。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所在单位、上级行政主管部门或监察部门对负有直接责任的主管人员和其他直接责任人员给予行政处分；违反治安管理规定的，依照《中华人民共和国治安管理处罚条例》处罚；构成犯罪的，依法追究刑事责任：</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（一）不按照规定拟订并实施破坏性地震应急预案的；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（二）违抗抗震救灾指挥部命令，拒不承担地震应急任务的；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（三）阻挠抗震救灾指挥部紧急占用场地或调用应急物资、设备、人员的；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（四）擅自发布地震预报的；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（五）不按照规定及时上报地震监测数据和异常信息，贻误重要震情的；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（六）在地震应急期间擅离岗位、玩忽职守的；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（七）故意谎报、瞒报灾情的。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损害地震监测设施或破坏地震观测环境的，由县级以上地震工作主管部门责令停止违法行为，恢复原状或采取其他补救措施；情节严重的，可以处五千元以上十万元以下罚款；造成损失的，依法承担赔偿责任；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违反本条例第二十一条第四款规定提供抗震设防要求的，由县级以上地震工作主管部门责令改正，并处以一万元以上五万元以下罚款。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违反本条例规定，有下列行为之一的，由县级以上地震工作主管部门责令改正，并处以一万元以上十万元以下罚款：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（一）建设单位擅自确定或更改抗震设防要求的；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（二）设计单位不按照审定的抗震设防要求进行抗震设计的。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违反本条例规定，有下列行为之一的，按照《中华人民共和国防震减灾法》和《中华人民共和国建筑法》的有关规定处罚：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（一）设计单位不按照抗震设计规范进行设计的；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（二）施工单位不按照抗震设计进行施工的；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（三）监理单位不依法对抗震设防措施进行监理的。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性地震发生后，因违反法律、法规规定，抗震设防要求确定失当，未按照抗震设防要求和抗震设计规范进行设计，未按照抗震设计进行施工，或未依法对抗震设防措施进行监理，造成严重破坏和损失的，依法追究有关单位直接负责的主管人员和其他直接责任人员的行政责任；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有下列行为之一，依照《中华人民共和国治安管理处罚条例》处罚；构成犯罪的，依法追究刑事责任：</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（一）散布地震谣言，扰乱社会秩序的；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（二）阻碍抗震救灾人员执行职务的；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（三）哄抢公私财物的；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（四）盗窃、贪污、挪用救灾资金或物资的；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（五）损毁生命线工程或次生灾害源防护设施的。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地震工作主管部门和有关部门工作人员不履行法定职责、滥用职权、徇私舞弊的，由其所在单位、上级主管部门或监察部门给予行政处分；构成犯罪的，依法追究刑事责任。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本条例自2002年9月1日起施行。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sectPr>
      <w:footerReference r:id="rId3" w:type="default"/>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4174C07"/>
    <w:rsid w:val="0C946537"/>
    <w:rsid w:val="24174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2020-02-20T09:19:00Z</dcterms:created>
  <dc:creator>月儿❤️芊儿</dc:creator>
  <cp:lastModifiedBy>此生无悔</cp:lastModifiedBy>
  <dcterms:modified xsi:type="dcterms:W3CDTF">2020-06-15T07:53:13Z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