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ind w:right="26"/>
        <w:jc w:val="left"/>
        <w:rPr>
          <w:rFonts w:ascii="黑体" w:hAnsi="宋体" w:eastAsia="黑体" w:cs="黑体"/>
          <w:color w:val="000000"/>
          <w:sz w:val="32"/>
          <w:szCs w:val="32"/>
        </w:rPr>
      </w:pPr>
      <w:r>
        <w:rPr>
          <w:rFonts w:hint="eastAsia" w:ascii="黑体" w:hAnsi="宋体" w:eastAsia="黑体" w:cs="黑体"/>
          <w:sz w:val="32"/>
          <w:szCs w:val="32"/>
          <w:lang w:bidi="ar"/>
        </w:rPr>
        <w:t xml:space="preserve">                 </w:t>
      </w:r>
    </w:p>
    <w:p>
      <w:pPr>
        <w:spacing w:line="600" w:lineRule="exact"/>
        <w:ind w:right="26"/>
        <w:rPr>
          <w:rFonts w:ascii="仿宋_GB2312" w:hAnsi="Times New Roman" w:eastAsia="仿宋_GB2312" w:cs="仿宋_GB2312"/>
          <w:sz w:val="32"/>
          <w:szCs w:val="32"/>
        </w:rPr>
      </w:pPr>
    </w:p>
    <w:p>
      <w:pPr>
        <w:pStyle w:val="2"/>
        <w:widowControl/>
        <w:spacing w:line="360" w:lineRule="auto"/>
        <w:jc w:val="center"/>
        <w:rPr>
          <w:rFonts w:ascii="宋体" w:hAnsi="宋体" w:cs="宋体"/>
        </w:rPr>
      </w:pPr>
      <w:r>
        <w:rPr>
          <w:rFonts w:hint="eastAsia" w:ascii="宋体" w:hAnsi="宋体" w:cs="宋体"/>
        </w:rPr>
        <w:t>山西省预算审查监督条例</w:t>
      </w:r>
    </w:p>
    <w:p/>
    <w:p>
      <w:pPr>
        <w:spacing w:line="360" w:lineRule="auto"/>
        <w:jc w:val="center"/>
        <w:rPr>
          <w:rFonts w:ascii="楷体" w:hAnsi="楷体" w:eastAsia="楷体" w:cs="楷体"/>
          <w:sz w:val="32"/>
          <w:szCs w:val="32"/>
        </w:rPr>
      </w:pPr>
      <w:r>
        <w:rPr>
          <w:rFonts w:hint="eastAsia" w:ascii="楷体" w:hAnsi="楷体" w:eastAsia="楷体" w:cs="楷体"/>
          <w:sz w:val="32"/>
          <w:szCs w:val="32"/>
          <w:lang w:bidi="ar"/>
        </w:rPr>
        <w:t>(2021年9月29日山西省第十三届人民代表大会</w:t>
      </w:r>
    </w:p>
    <w:p>
      <w:pPr>
        <w:spacing w:line="360" w:lineRule="auto"/>
        <w:jc w:val="center"/>
        <w:rPr>
          <w:rFonts w:ascii="楷体" w:hAnsi="楷体" w:eastAsia="楷体" w:cs="楷体"/>
          <w:sz w:val="32"/>
          <w:szCs w:val="32"/>
        </w:rPr>
      </w:pPr>
      <w:r>
        <w:rPr>
          <w:rFonts w:hint="eastAsia" w:ascii="楷体" w:hAnsi="楷体" w:eastAsia="楷体" w:cs="楷体"/>
          <w:sz w:val="32"/>
          <w:szCs w:val="32"/>
          <w:lang w:bidi="ar"/>
        </w:rPr>
        <w:t>常务委员会第三十一次会议通过)</w:t>
      </w:r>
    </w:p>
    <w:p>
      <w:pPr>
        <w:adjustRightInd w:val="0"/>
        <w:snapToGrid w:val="0"/>
        <w:spacing w:line="360" w:lineRule="auto"/>
        <w:rPr>
          <w:rFonts w:ascii="仿宋_GB2312" w:hAnsi="Times New Roman" w:eastAsia="仿宋_GB2312" w:cs="仿宋"/>
          <w:sz w:val="32"/>
          <w:szCs w:val="32"/>
        </w:rPr>
      </w:pPr>
      <w:r>
        <w:rPr>
          <w:rFonts w:ascii="仿宋_GB2312" w:hAnsi="Times New Roman" w:eastAsia="仿宋_GB2312" w:cs="仿宋"/>
          <w:sz w:val="32"/>
          <w:szCs w:val="32"/>
          <w:lang w:bidi="ar"/>
        </w:rPr>
        <w:t xml:space="preserve"> </w:t>
      </w:r>
    </w:p>
    <w:p>
      <w:pPr>
        <w:adjustRightInd w:val="0"/>
        <w:snapToGrid w:val="0"/>
        <w:spacing w:line="360" w:lineRule="auto"/>
        <w:jc w:val="center"/>
        <w:rPr>
          <w:rFonts w:ascii="黑体" w:hAnsi="宋体" w:eastAsia="黑体" w:cs="黑体"/>
          <w:sz w:val="32"/>
          <w:szCs w:val="32"/>
        </w:rPr>
      </w:pPr>
      <w:r>
        <w:rPr>
          <w:rFonts w:hint="eastAsia" w:ascii="黑体" w:hAnsi="宋体" w:eastAsia="黑体" w:cs="黑体"/>
          <w:sz w:val="32"/>
          <w:szCs w:val="32"/>
          <w:lang w:bidi="ar"/>
        </w:rPr>
        <w:t>第一章  总  则</w:t>
      </w:r>
    </w:p>
    <w:p>
      <w:pPr>
        <w:adjustRightInd w:val="0"/>
        <w:snapToGrid w:val="0"/>
        <w:spacing w:line="360" w:lineRule="auto"/>
        <w:jc w:val="center"/>
        <w:rPr>
          <w:rFonts w:ascii="仿宋_GB2312" w:hAnsi="Times New Roman" w:eastAsia="仿宋_GB2312" w:cs="仿宋"/>
          <w:b/>
          <w:sz w:val="32"/>
          <w:szCs w:val="32"/>
        </w:rPr>
      </w:pPr>
      <w:r>
        <w:rPr>
          <w:rFonts w:ascii="仿宋_GB2312" w:hAnsi="Times New Roman" w:eastAsia="仿宋_GB2312" w:cs="仿宋"/>
          <w:b/>
          <w:sz w:val="32"/>
          <w:szCs w:val="32"/>
          <w:lang w:bidi="ar"/>
        </w:rPr>
        <w:t xml:space="preserve"> </w:t>
      </w:r>
    </w:p>
    <w:p>
      <w:pPr>
        <w:adjustRightInd w:val="0"/>
        <w:snapToGrid w:val="0"/>
        <w:spacing w:line="360" w:lineRule="auto"/>
        <w:ind w:firstLine="640" w:firstLineChars="200"/>
        <w:rPr>
          <w:rFonts w:ascii="仿宋_GB2312" w:hAnsi="Times New Roman" w:eastAsia="仿宋_GB2312" w:cs="宋体"/>
          <w:kern w:val="0"/>
          <w:sz w:val="32"/>
          <w:szCs w:val="32"/>
        </w:rPr>
      </w:pPr>
      <w:r>
        <w:rPr>
          <w:rFonts w:hint="eastAsia" w:ascii="黑体" w:hAnsi="宋体" w:eastAsia="黑体" w:cs="仿宋"/>
          <w:sz w:val="32"/>
          <w:szCs w:val="32"/>
          <w:lang w:bidi="ar"/>
        </w:rPr>
        <w:t>第一条</w:t>
      </w:r>
      <w:r>
        <w:rPr>
          <w:rFonts w:hint="eastAsia" w:ascii="楷体" w:hAnsi="楷体" w:eastAsia="楷体" w:cs="仿宋"/>
          <w:sz w:val="32"/>
          <w:szCs w:val="32"/>
          <w:lang w:bidi="ar"/>
        </w:rPr>
        <w:t xml:space="preserve">  </w:t>
      </w:r>
      <w:r>
        <w:rPr>
          <w:rFonts w:hint="eastAsia" w:ascii="仿宋" w:hAnsi="仿宋" w:eastAsia="仿宋" w:cs="宋体"/>
          <w:kern w:val="0"/>
          <w:sz w:val="32"/>
          <w:szCs w:val="32"/>
          <w:lang w:bidi="ar"/>
        </w:rPr>
        <w:t>为了加强对预算的审查监督，规范预算行为，强化预算约束，增强监督实效，保障经济社会的健康发展，根据《中华人民共和国预算法》《中华人民共和国各级人民代表大会常务委员会监督法》等有关法律、行政法规，结合本省实际，制定本条例。</w:t>
      </w:r>
    </w:p>
    <w:p>
      <w:pPr>
        <w:adjustRightInd w:val="0"/>
        <w:snapToGrid w:val="0"/>
        <w:spacing w:line="360" w:lineRule="auto"/>
        <w:ind w:firstLine="640" w:firstLineChars="200"/>
        <w:rPr>
          <w:rFonts w:ascii="仿宋_GB2312" w:hAnsi="Times New Roman" w:eastAsia="仿宋_GB2312" w:cs="仿宋_GB2312"/>
          <w:sz w:val="32"/>
          <w:szCs w:val="32"/>
        </w:rPr>
      </w:pPr>
      <w:r>
        <w:rPr>
          <w:rFonts w:hint="eastAsia" w:ascii="黑体" w:hAnsi="宋体" w:eastAsia="黑体" w:cs="仿宋"/>
          <w:sz w:val="32"/>
          <w:szCs w:val="32"/>
          <w:lang w:bidi="ar"/>
        </w:rPr>
        <w:t>第二条</w:t>
      </w:r>
      <w:r>
        <w:rPr>
          <w:rFonts w:hint="eastAsia" w:ascii="楷体" w:hAnsi="楷体" w:eastAsia="楷体" w:cs="仿宋"/>
          <w:sz w:val="32"/>
          <w:szCs w:val="32"/>
          <w:lang w:bidi="ar"/>
        </w:rPr>
        <w:t xml:space="preserve">  </w:t>
      </w:r>
      <w:r>
        <w:rPr>
          <w:rFonts w:hint="eastAsia" w:ascii="仿宋" w:hAnsi="仿宋" w:eastAsia="仿宋" w:cs="宋体"/>
          <w:kern w:val="0"/>
          <w:sz w:val="32"/>
          <w:szCs w:val="32"/>
          <w:lang w:bidi="ar"/>
        </w:rPr>
        <w:t>本条例适用于本省县级以上人民代表大会及其常务委员会对预算、预算调整、决算的审查和批准以及预算执行的监督。</w:t>
      </w:r>
    </w:p>
    <w:p>
      <w:pPr>
        <w:adjustRightInd w:val="0"/>
        <w:snapToGrid w:val="0"/>
        <w:spacing w:line="360" w:lineRule="auto"/>
        <w:ind w:firstLine="640" w:firstLineChars="200"/>
        <w:rPr>
          <w:rFonts w:ascii="仿宋" w:hAnsi="仿宋" w:eastAsia="仿宋" w:cs="宋体"/>
          <w:kern w:val="0"/>
          <w:sz w:val="32"/>
          <w:szCs w:val="32"/>
        </w:rPr>
      </w:pPr>
      <w:r>
        <w:rPr>
          <w:rFonts w:hint="eastAsia" w:ascii="黑体" w:hAnsi="宋体" w:eastAsia="黑体" w:cs="仿宋"/>
          <w:sz w:val="32"/>
          <w:szCs w:val="32"/>
          <w:lang w:bidi="ar"/>
        </w:rPr>
        <w:t>第三条</w:t>
      </w:r>
      <w:r>
        <w:rPr>
          <w:rFonts w:hint="eastAsia" w:ascii="楷体" w:hAnsi="楷体" w:eastAsia="楷体" w:cs="仿宋"/>
          <w:sz w:val="32"/>
          <w:szCs w:val="32"/>
          <w:lang w:bidi="ar"/>
        </w:rPr>
        <w:t xml:space="preserve">  </w:t>
      </w:r>
      <w:r>
        <w:rPr>
          <w:rFonts w:hint="eastAsia" w:ascii="仿宋" w:hAnsi="仿宋" w:eastAsia="仿宋" w:cs="宋体"/>
          <w:kern w:val="0"/>
          <w:sz w:val="32"/>
          <w:szCs w:val="32"/>
          <w:lang w:bidi="ar"/>
        </w:rPr>
        <w:t>预算审查监督应当坚持依法实施、强化约束、全面规范、公开透明、突出重点、注重实效的原则。</w:t>
      </w:r>
    </w:p>
    <w:p>
      <w:pPr>
        <w:adjustRightInd w:val="0"/>
        <w:snapToGrid w:val="0"/>
        <w:spacing w:line="360" w:lineRule="auto"/>
        <w:ind w:firstLine="640" w:firstLineChars="200"/>
        <w:rPr>
          <w:rFonts w:ascii="仿宋" w:hAnsi="仿宋" w:eastAsia="仿宋" w:cs="宋体"/>
          <w:kern w:val="0"/>
          <w:sz w:val="32"/>
          <w:szCs w:val="32"/>
        </w:rPr>
      </w:pPr>
      <w:r>
        <w:rPr>
          <w:rFonts w:hint="eastAsia" w:ascii="黑体" w:hAnsi="宋体" w:eastAsia="黑体" w:cs="仿宋"/>
          <w:sz w:val="32"/>
          <w:szCs w:val="32"/>
          <w:lang w:bidi="ar"/>
        </w:rPr>
        <w:t>第四条</w:t>
      </w:r>
      <w:r>
        <w:rPr>
          <w:rFonts w:hint="eastAsia" w:ascii="楷体" w:hAnsi="楷体" w:eastAsia="楷体" w:cs="仿宋"/>
          <w:sz w:val="32"/>
          <w:szCs w:val="32"/>
          <w:lang w:bidi="ar"/>
        </w:rPr>
        <w:t xml:space="preserve">  </w:t>
      </w:r>
      <w:r>
        <w:rPr>
          <w:rFonts w:hint="eastAsia" w:ascii="仿宋" w:hAnsi="仿宋" w:eastAsia="仿宋" w:cs="宋体"/>
          <w:kern w:val="0"/>
          <w:sz w:val="32"/>
          <w:szCs w:val="32"/>
          <w:lang w:bidi="ar"/>
        </w:rPr>
        <w:t>县级以上人民代表大会及其常务委员会应当加强对本级人民政府预算决算的全口径审查和全过程监管，加强对财政政策、重点支出与重大投资项目、部门（含直属单位，下同）预算、财政转移支付、政府债务等审查监督。</w:t>
      </w:r>
    </w:p>
    <w:p>
      <w:pPr>
        <w:adjustRightInd w:val="0"/>
        <w:snapToGrid w:val="0"/>
        <w:spacing w:line="360" w:lineRule="auto"/>
        <w:ind w:firstLine="640" w:firstLineChars="200"/>
        <w:rPr>
          <w:rFonts w:ascii="仿宋_GB2312" w:hAnsi="Times New Roman" w:eastAsia="仿宋_GB2312" w:cs="宋体"/>
          <w:kern w:val="0"/>
          <w:sz w:val="32"/>
          <w:szCs w:val="32"/>
        </w:rPr>
      </w:pPr>
      <w:r>
        <w:rPr>
          <w:rFonts w:hint="eastAsia" w:ascii="黑体" w:hAnsi="宋体" w:eastAsia="黑体" w:cs="仿宋"/>
          <w:sz w:val="32"/>
          <w:szCs w:val="32"/>
          <w:lang w:bidi="ar"/>
        </w:rPr>
        <w:t>第五条</w:t>
      </w:r>
      <w:r>
        <w:rPr>
          <w:rFonts w:hint="eastAsia" w:ascii="楷体" w:hAnsi="楷体" w:eastAsia="楷体" w:cs="仿宋"/>
          <w:sz w:val="32"/>
          <w:szCs w:val="32"/>
          <w:lang w:bidi="ar"/>
        </w:rPr>
        <w:t xml:space="preserve">  </w:t>
      </w:r>
      <w:r>
        <w:rPr>
          <w:rFonts w:hint="eastAsia" w:ascii="仿宋" w:hAnsi="仿宋" w:eastAsia="仿宋" w:cs="宋体"/>
          <w:kern w:val="0"/>
          <w:sz w:val="32"/>
          <w:szCs w:val="32"/>
          <w:lang w:bidi="ar"/>
        </w:rPr>
        <w:t>县级以上人民代表大会及其常务委员会应当建立预算审查监督联系人大代表工作制度，组织本级人大代表参与预算审查监督工作，听取人大代表意见，发挥人大代表在预算审查监督中的主体作用。</w:t>
      </w:r>
    </w:p>
    <w:p>
      <w:pPr>
        <w:adjustRightInd w:val="0"/>
        <w:snapToGrid w:val="0"/>
        <w:spacing w:line="360" w:lineRule="auto"/>
        <w:ind w:firstLine="640" w:firstLineChars="200"/>
        <w:rPr>
          <w:rFonts w:ascii="仿宋" w:hAnsi="仿宋" w:eastAsia="仿宋" w:cs="宋体"/>
          <w:kern w:val="0"/>
          <w:sz w:val="32"/>
          <w:szCs w:val="32"/>
        </w:rPr>
      </w:pPr>
      <w:r>
        <w:rPr>
          <w:rFonts w:hint="eastAsia" w:ascii="黑体" w:hAnsi="宋体" w:eastAsia="黑体" w:cs="宋体"/>
          <w:kern w:val="0"/>
          <w:sz w:val="32"/>
          <w:szCs w:val="32"/>
          <w:lang w:bidi="ar"/>
        </w:rPr>
        <w:t>第六条</w:t>
      </w:r>
      <w:r>
        <w:rPr>
          <w:rFonts w:hint="eastAsia" w:ascii="楷体" w:hAnsi="楷体" w:eastAsia="楷体" w:cs="仿宋"/>
          <w:sz w:val="32"/>
          <w:szCs w:val="32"/>
          <w:lang w:bidi="ar"/>
        </w:rPr>
        <w:t xml:space="preserve">  </w:t>
      </w:r>
      <w:r>
        <w:rPr>
          <w:rFonts w:hint="eastAsia" w:ascii="仿宋" w:hAnsi="仿宋" w:eastAsia="仿宋" w:cs="宋体"/>
          <w:kern w:val="0"/>
          <w:sz w:val="32"/>
          <w:szCs w:val="32"/>
          <w:lang w:bidi="ar"/>
        </w:rPr>
        <w:t>省、设区的市人民代表大会有关专门委员会对本级预算草案初步方案及上一年度预算执行情况、本级预算调整初步方案和本级决算草案进行初步审查，提出初步审查意见。设区的市未设立有关专门委员会的，由本级人民代表大会常务委员会有关工作机构研究提出意见。</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县（市、区）人民代表大会常务委员会对本级预算草案初步方案及上一年度预算执行情况进行初步审查,提出初步审查意见。</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同时设立人民代表大会有关专门委员会和常务委员会有关工作机构的，由常务委员会有关工作机构承担预算审查监督的具体工作。</w:t>
      </w:r>
    </w:p>
    <w:p>
      <w:pPr>
        <w:adjustRightInd w:val="0"/>
        <w:snapToGrid w:val="0"/>
        <w:spacing w:line="360" w:lineRule="auto"/>
        <w:ind w:firstLine="640" w:firstLineChars="200"/>
        <w:rPr>
          <w:rFonts w:ascii="仿宋" w:hAnsi="仿宋" w:eastAsia="仿宋" w:cs="宋体"/>
          <w:kern w:val="0"/>
          <w:sz w:val="32"/>
          <w:szCs w:val="32"/>
        </w:rPr>
      </w:pPr>
      <w:r>
        <w:rPr>
          <w:rFonts w:hint="eastAsia" w:ascii="黑体" w:hAnsi="宋体" w:eastAsia="黑体" w:cs="仿宋"/>
          <w:sz w:val="32"/>
          <w:szCs w:val="32"/>
          <w:lang w:bidi="ar"/>
        </w:rPr>
        <w:t>第七条</w:t>
      </w:r>
      <w:r>
        <w:rPr>
          <w:rFonts w:hint="eastAsia" w:ascii="楷体" w:hAnsi="楷体" w:eastAsia="楷体" w:cs="仿宋"/>
          <w:sz w:val="32"/>
          <w:szCs w:val="32"/>
          <w:lang w:bidi="ar"/>
        </w:rPr>
        <w:t xml:space="preserve">  </w:t>
      </w:r>
      <w:r>
        <w:rPr>
          <w:rFonts w:hint="eastAsia" w:ascii="仿宋" w:hAnsi="仿宋" w:eastAsia="仿宋" w:cs="宋体"/>
          <w:kern w:val="0"/>
          <w:sz w:val="32"/>
          <w:szCs w:val="32"/>
          <w:lang w:bidi="ar"/>
        </w:rPr>
        <w:t>省、设区的市人民代表大会有关专门委员会、县（市、区）人民代表大会常务委员会进行初步审查或者县级以上人民代表大会常务委员会有关工作机构研究提出意见时，应当邀请本级人大代表参加，并根据需要听取专家学者、利益相关方代表等的意见和建议。本级人民政府财政部门及其他有关部门负责人应当到会说明情况，回答询问。</w:t>
      </w:r>
    </w:p>
    <w:p>
      <w:pPr>
        <w:adjustRightInd w:val="0"/>
        <w:snapToGrid w:val="0"/>
        <w:spacing w:line="360" w:lineRule="auto"/>
        <w:ind w:firstLine="640" w:firstLineChars="200"/>
        <w:rPr>
          <w:sz w:val="32"/>
          <w:szCs w:val="32"/>
        </w:rPr>
      </w:pPr>
      <w:r>
        <w:rPr>
          <w:rFonts w:hint="eastAsia" w:ascii="黑体" w:hAnsi="宋体" w:eastAsia="黑体" w:cs="仿宋"/>
          <w:sz w:val="32"/>
          <w:szCs w:val="32"/>
          <w:lang w:bidi="ar"/>
        </w:rPr>
        <w:t>第八条</w:t>
      </w:r>
      <w:r>
        <w:rPr>
          <w:rFonts w:hint="eastAsia" w:ascii="楷体" w:hAnsi="楷体" w:eastAsia="楷体" w:cs="仿宋"/>
          <w:sz w:val="32"/>
          <w:szCs w:val="32"/>
          <w:lang w:bidi="ar"/>
        </w:rPr>
        <w:t xml:space="preserve">  </w:t>
      </w:r>
      <w:r>
        <w:rPr>
          <w:rFonts w:hint="eastAsia" w:ascii="仿宋" w:hAnsi="仿宋" w:eastAsia="仿宋" w:cs="宋体"/>
          <w:kern w:val="0"/>
          <w:sz w:val="32"/>
          <w:szCs w:val="32"/>
          <w:lang w:bidi="ar"/>
        </w:rPr>
        <w:t>县级以上人民政府审计部门研究提出下一年度审计监督重点内容和重点项目时，应当征求本级人民代表大会有关专门委员会、常务委员会有关工作机构的意见和建议，并将年度预算执行审计项目计划正式文本报送本级人民代表大会有关专门委员会和常务委员会有关工作机构。</w:t>
      </w:r>
    </w:p>
    <w:p>
      <w:pPr>
        <w:adjustRightInd w:val="0"/>
        <w:snapToGrid w:val="0"/>
        <w:spacing w:line="360" w:lineRule="auto"/>
        <w:ind w:firstLine="640" w:firstLineChars="200"/>
        <w:rPr>
          <w:rFonts w:ascii="仿宋_GB2312" w:hAnsi="Times New Roman" w:eastAsia="仿宋_GB2312" w:cs="仿宋_GB2312"/>
          <w:kern w:val="0"/>
          <w:sz w:val="32"/>
          <w:szCs w:val="32"/>
        </w:rPr>
      </w:pPr>
      <w:r>
        <w:rPr>
          <w:rFonts w:hint="eastAsia" w:ascii="黑体" w:hAnsi="宋体" w:eastAsia="黑体" w:cs="仿宋"/>
          <w:sz w:val="32"/>
          <w:szCs w:val="32"/>
          <w:lang w:bidi="ar"/>
        </w:rPr>
        <w:t>第九条</w:t>
      </w:r>
      <w:r>
        <w:rPr>
          <w:rFonts w:hint="eastAsia" w:ascii="仿宋" w:hAnsi="仿宋" w:eastAsia="仿宋" w:cs="宋体"/>
          <w:kern w:val="0"/>
          <w:sz w:val="32"/>
          <w:szCs w:val="32"/>
          <w:lang w:bidi="ar"/>
        </w:rPr>
        <w:t xml:space="preserve">  县级以上人民代表大会常务委员会有关工作机构开展预算审查监督工作，可以成立预算审查监督咨询专家组、引入第三方机构等为预算审查监督工作提供服务。</w:t>
      </w:r>
    </w:p>
    <w:p>
      <w:pPr>
        <w:adjustRightInd w:val="0"/>
        <w:snapToGrid w:val="0"/>
        <w:spacing w:line="360" w:lineRule="auto"/>
        <w:ind w:firstLine="640" w:firstLineChars="200"/>
        <w:rPr>
          <w:rFonts w:ascii="仿宋" w:hAnsi="仿宋" w:eastAsia="仿宋" w:cs="宋体"/>
          <w:kern w:val="0"/>
          <w:sz w:val="32"/>
          <w:szCs w:val="32"/>
        </w:rPr>
      </w:pPr>
      <w:r>
        <w:rPr>
          <w:rFonts w:hint="eastAsia" w:ascii="黑体" w:hAnsi="宋体" w:eastAsia="黑体" w:cs="仿宋"/>
          <w:sz w:val="32"/>
          <w:szCs w:val="32"/>
          <w:lang w:bidi="ar"/>
        </w:rPr>
        <w:t>第十条</w:t>
      </w:r>
      <w:r>
        <w:rPr>
          <w:rFonts w:hint="eastAsia" w:ascii="楷体" w:hAnsi="楷体" w:eastAsia="楷体" w:cs="仿宋"/>
          <w:sz w:val="32"/>
          <w:szCs w:val="32"/>
          <w:lang w:bidi="ar"/>
        </w:rPr>
        <w:t xml:space="preserve">  </w:t>
      </w:r>
      <w:r>
        <w:rPr>
          <w:rFonts w:hint="eastAsia" w:ascii="仿宋" w:hAnsi="仿宋" w:eastAsia="仿宋" w:cs="宋体"/>
          <w:kern w:val="0"/>
          <w:sz w:val="32"/>
          <w:szCs w:val="32"/>
          <w:lang w:bidi="ar"/>
        </w:rPr>
        <w:t>县级以上人民代表大会常务委员会应当利用现代信息技术开展预算联网监督，推动预算联网监督系统建设，实现预算审查监督的网络化、智能化，提高预算审查监督效能。</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县级以上人民政府有关部门应当提供相关数据，配合本级人民代表大会常务委员会做好预算联网监督工作。</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 xml:space="preserve"> </w:t>
      </w:r>
    </w:p>
    <w:p>
      <w:pPr>
        <w:adjustRightInd w:val="0"/>
        <w:snapToGrid w:val="0"/>
        <w:spacing w:line="360" w:lineRule="auto"/>
        <w:jc w:val="center"/>
        <w:rPr>
          <w:rFonts w:ascii="黑体" w:hAnsi="宋体" w:eastAsia="黑体" w:cs="黑体"/>
          <w:sz w:val="32"/>
          <w:szCs w:val="32"/>
        </w:rPr>
      </w:pPr>
      <w:r>
        <w:rPr>
          <w:rFonts w:hint="eastAsia" w:ascii="黑体" w:hAnsi="宋体" w:eastAsia="黑体" w:cs="黑体"/>
          <w:sz w:val="32"/>
          <w:szCs w:val="32"/>
          <w:lang w:bidi="ar"/>
        </w:rPr>
        <w:t>第二章  预算的审查和批准</w:t>
      </w:r>
    </w:p>
    <w:p>
      <w:pPr>
        <w:adjustRightInd w:val="0"/>
        <w:snapToGrid w:val="0"/>
        <w:spacing w:line="360" w:lineRule="auto"/>
        <w:rPr>
          <w:rFonts w:ascii="仿宋_GB2312" w:hAnsi="Times New Roman" w:eastAsia="仿宋_GB2312" w:cs="仿宋"/>
          <w:b/>
          <w:sz w:val="32"/>
          <w:szCs w:val="32"/>
        </w:rPr>
      </w:pPr>
      <w:r>
        <w:rPr>
          <w:rFonts w:ascii="仿宋_GB2312" w:hAnsi="Times New Roman" w:eastAsia="仿宋_GB2312" w:cs="仿宋"/>
          <w:b/>
          <w:sz w:val="32"/>
          <w:szCs w:val="32"/>
          <w:lang w:bidi="ar"/>
        </w:rPr>
        <w:t xml:space="preserve"> </w:t>
      </w:r>
    </w:p>
    <w:p>
      <w:pPr>
        <w:adjustRightInd w:val="0"/>
        <w:snapToGrid w:val="0"/>
        <w:spacing w:line="360" w:lineRule="auto"/>
        <w:ind w:firstLine="640" w:firstLineChars="200"/>
        <w:rPr>
          <w:rFonts w:ascii="仿宋" w:hAnsi="仿宋" w:eastAsia="仿宋" w:cs="宋体"/>
          <w:kern w:val="0"/>
          <w:sz w:val="32"/>
          <w:szCs w:val="32"/>
        </w:rPr>
      </w:pPr>
      <w:r>
        <w:rPr>
          <w:rFonts w:hint="eastAsia" w:ascii="黑体" w:hAnsi="宋体" w:eastAsia="黑体" w:cs="仿宋"/>
          <w:sz w:val="32"/>
          <w:szCs w:val="32"/>
          <w:lang w:bidi="ar"/>
        </w:rPr>
        <w:t>第十一条</w:t>
      </w:r>
      <w:r>
        <w:rPr>
          <w:rFonts w:hint="eastAsia" w:ascii="楷体" w:hAnsi="楷体" w:eastAsia="楷体" w:cs="仿宋"/>
          <w:sz w:val="32"/>
          <w:szCs w:val="32"/>
          <w:lang w:bidi="ar"/>
        </w:rPr>
        <w:t xml:space="preserve">  </w:t>
      </w:r>
      <w:r>
        <w:rPr>
          <w:rFonts w:hint="eastAsia" w:ascii="仿宋" w:hAnsi="仿宋" w:eastAsia="仿宋" w:cs="宋体"/>
          <w:kern w:val="0"/>
          <w:sz w:val="32"/>
          <w:szCs w:val="32"/>
          <w:lang w:bidi="ar"/>
        </w:rPr>
        <w:t>县级以上人民代表大会常务委员会应当建立预算审查前听取意见和建议的工作机制。常务委员会有关工作机构在预算审查前召开座谈会，听取其他专门委员会和常务委员会其他工作机构、本级人大代表、预算审查监督咨询专家等关于重点支出、重大投资项目、重大支出政策等方面的意见和建议，并向本级人民政府财政部门反馈。</w:t>
      </w:r>
    </w:p>
    <w:p>
      <w:pPr>
        <w:adjustRightInd w:val="0"/>
        <w:snapToGrid w:val="0"/>
        <w:spacing w:line="360" w:lineRule="auto"/>
        <w:ind w:firstLine="640" w:firstLineChars="200"/>
        <w:rPr>
          <w:rFonts w:ascii="仿宋" w:hAnsi="仿宋" w:eastAsia="仿宋" w:cs="宋体"/>
          <w:kern w:val="0"/>
          <w:sz w:val="32"/>
          <w:szCs w:val="32"/>
        </w:rPr>
      </w:pPr>
      <w:r>
        <w:rPr>
          <w:rFonts w:hint="eastAsia" w:ascii="黑体" w:hAnsi="宋体" w:eastAsia="黑体" w:cs="仿宋"/>
          <w:sz w:val="32"/>
          <w:szCs w:val="32"/>
          <w:lang w:bidi="ar"/>
        </w:rPr>
        <w:t>第十二条</w:t>
      </w:r>
      <w:r>
        <w:rPr>
          <w:rFonts w:hint="eastAsia" w:ascii="楷体" w:hAnsi="楷体" w:eastAsia="楷体" w:cs="仿宋"/>
          <w:sz w:val="32"/>
          <w:szCs w:val="32"/>
          <w:lang w:bidi="ar"/>
        </w:rPr>
        <w:t xml:space="preserve">  </w:t>
      </w:r>
      <w:r>
        <w:rPr>
          <w:rFonts w:hint="eastAsia" w:ascii="仿宋" w:hAnsi="仿宋" w:eastAsia="仿宋" w:cs="宋体"/>
          <w:kern w:val="0"/>
          <w:sz w:val="32"/>
          <w:szCs w:val="32"/>
          <w:lang w:bidi="ar"/>
        </w:rPr>
        <w:t>县级以上人民代表大会有关专门委员会、常务委员会有关工作机构可以组织本级人大代表、专家，对本级预算编制工作情况进行调研。</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县级以上人民政府财政部门在预算编制过程中，应当加强与本级人民代表大会常务委员会有关工作机构和本级人大代表的联系，及时通报预算编制工作进展情况。</w:t>
      </w:r>
    </w:p>
    <w:p>
      <w:pPr>
        <w:adjustRightInd w:val="0"/>
        <w:snapToGrid w:val="0"/>
        <w:spacing w:line="360" w:lineRule="auto"/>
        <w:ind w:firstLine="640" w:firstLineChars="200"/>
        <w:rPr>
          <w:rFonts w:ascii="仿宋" w:hAnsi="仿宋" w:eastAsia="仿宋" w:cs="宋体"/>
          <w:kern w:val="0"/>
          <w:sz w:val="32"/>
          <w:szCs w:val="32"/>
        </w:rPr>
      </w:pPr>
      <w:r>
        <w:rPr>
          <w:rFonts w:hint="eastAsia" w:ascii="黑体" w:hAnsi="宋体" w:eastAsia="黑体" w:cs="仿宋"/>
          <w:sz w:val="32"/>
          <w:szCs w:val="32"/>
          <w:lang w:bidi="ar"/>
        </w:rPr>
        <w:t>第十三条</w:t>
      </w:r>
      <w:r>
        <w:rPr>
          <w:rFonts w:hint="eastAsia" w:ascii="楷体" w:hAnsi="楷体" w:eastAsia="楷体" w:cs="仿宋"/>
          <w:sz w:val="32"/>
          <w:szCs w:val="32"/>
          <w:lang w:bidi="ar"/>
        </w:rPr>
        <w:t xml:space="preserve">  </w:t>
      </w:r>
      <w:r>
        <w:rPr>
          <w:rFonts w:hint="eastAsia" w:ascii="仿宋" w:hAnsi="仿宋" w:eastAsia="仿宋" w:cs="宋体"/>
          <w:kern w:val="0"/>
          <w:sz w:val="32"/>
          <w:szCs w:val="32"/>
          <w:lang w:bidi="ar"/>
        </w:rPr>
        <w:t>县级以上人民政府有关部门应当在本级人民代表大会会议举行的三十日前，向本级人民代表大会有关专门委员会和常务委员会有关工作机构报告预算草案编制情况，提交本级总预算草案和本级预算草案初步方案。</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初步方案及其报告应当包括下列内容：</w:t>
      </w:r>
    </w:p>
    <w:p>
      <w:pPr>
        <w:numPr>
          <w:ilvl w:val="0"/>
          <w:numId w:val="1"/>
        </w:numPr>
        <w:adjustRightInd w:val="0"/>
        <w:snapToGrid w:val="0"/>
        <w:spacing w:line="360" w:lineRule="auto"/>
        <w:ind w:left="0" w:leftChars="0" w:firstLine="420" w:firstLineChars="0"/>
        <w:rPr>
          <w:rFonts w:ascii="仿宋" w:hAnsi="仿宋" w:eastAsia="仿宋" w:cs="宋体"/>
          <w:kern w:val="0"/>
          <w:sz w:val="32"/>
          <w:szCs w:val="32"/>
        </w:rPr>
      </w:pPr>
      <w:r>
        <w:rPr>
          <w:rFonts w:hint="eastAsia" w:ascii="仿宋" w:hAnsi="仿宋" w:eastAsia="仿宋" w:cs="宋体"/>
          <w:kern w:val="0"/>
          <w:sz w:val="32"/>
          <w:szCs w:val="32"/>
          <w:lang w:bidi="ar"/>
        </w:rPr>
        <w:t>贯彻落实国家以及本地区国民经济和社会发展重大方针政策、决策部署的主要情况；</w:t>
      </w:r>
    </w:p>
    <w:p>
      <w:pPr>
        <w:numPr>
          <w:ilvl w:val="0"/>
          <w:numId w:val="1"/>
        </w:numPr>
        <w:adjustRightInd w:val="0"/>
        <w:snapToGrid w:val="0"/>
        <w:spacing w:line="360" w:lineRule="auto"/>
        <w:ind w:left="0" w:leftChars="0" w:firstLine="420" w:firstLineChars="0"/>
        <w:rPr>
          <w:rFonts w:ascii="仿宋" w:hAnsi="仿宋" w:eastAsia="仿宋" w:cs="宋体"/>
          <w:kern w:val="0"/>
          <w:sz w:val="32"/>
          <w:szCs w:val="32"/>
        </w:rPr>
      </w:pPr>
      <w:r>
        <w:rPr>
          <w:rFonts w:hint="eastAsia" w:ascii="仿宋" w:hAnsi="仿宋" w:eastAsia="仿宋" w:cs="宋体"/>
          <w:kern w:val="0"/>
          <w:sz w:val="32"/>
          <w:szCs w:val="32"/>
          <w:lang w:bidi="ar"/>
        </w:rPr>
        <w:t>一般公共预算、政府性基金预算、国有资本经营预算和社会保险基金预算安排情况；</w:t>
      </w:r>
    </w:p>
    <w:p>
      <w:pPr>
        <w:numPr>
          <w:ilvl w:val="0"/>
          <w:numId w:val="1"/>
        </w:numPr>
        <w:adjustRightInd w:val="0"/>
        <w:snapToGrid w:val="0"/>
        <w:spacing w:line="360" w:lineRule="auto"/>
        <w:ind w:left="0" w:leftChars="0" w:firstLine="420" w:firstLineChars="0"/>
        <w:rPr>
          <w:rFonts w:ascii="仿宋" w:hAnsi="仿宋" w:eastAsia="仿宋" w:cs="宋体"/>
          <w:kern w:val="0"/>
          <w:sz w:val="32"/>
          <w:szCs w:val="32"/>
        </w:rPr>
      </w:pPr>
      <w:r>
        <w:rPr>
          <w:rFonts w:hint="eastAsia" w:ascii="仿宋" w:hAnsi="仿宋" w:eastAsia="仿宋" w:cs="宋体"/>
          <w:kern w:val="0"/>
          <w:sz w:val="32"/>
          <w:szCs w:val="32"/>
          <w:lang w:bidi="ar"/>
        </w:rPr>
        <w:t>预算编制的主要依据和有关说明；</w:t>
      </w:r>
    </w:p>
    <w:p>
      <w:pPr>
        <w:numPr>
          <w:ilvl w:val="0"/>
          <w:numId w:val="1"/>
        </w:numPr>
        <w:adjustRightInd w:val="0"/>
        <w:snapToGrid w:val="0"/>
        <w:spacing w:line="360" w:lineRule="auto"/>
        <w:ind w:left="0" w:leftChars="0" w:firstLine="420" w:firstLineChars="0"/>
        <w:rPr>
          <w:rFonts w:ascii="仿宋" w:hAnsi="仿宋" w:eastAsia="仿宋" w:cs="宋体"/>
          <w:kern w:val="0"/>
          <w:sz w:val="32"/>
          <w:szCs w:val="32"/>
        </w:rPr>
      </w:pPr>
      <w:r>
        <w:rPr>
          <w:rFonts w:hint="eastAsia" w:ascii="仿宋" w:hAnsi="仿宋" w:eastAsia="仿宋" w:cs="宋体"/>
          <w:kern w:val="0"/>
          <w:sz w:val="32"/>
          <w:szCs w:val="32"/>
          <w:lang w:bidi="ar"/>
        </w:rPr>
        <w:t>部门预算草案情况；</w:t>
      </w:r>
    </w:p>
    <w:p>
      <w:pPr>
        <w:numPr>
          <w:ilvl w:val="0"/>
          <w:numId w:val="1"/>
        </w:numPr>
        <w:adjustRightInd w:val="0"/>
        <w:snapToGrid w:val="0"/>
        <w:spacing w:line="360" w:lineRule="auto"/>
        <w:ind w:left="0" w:leftChars="0" w:firstLine="420" w:firstLineChars="0"/>
        <w:rPr>
          <w:rFonts w:ascii="仿宋" w:hAnsi="仿宋" w:eastAsia="仿宋" w:cs="宋体"/>
          <w:kern w:val="0"/>
          <w:sz w:val="32"/>
          <w:szCs w:val="32"/>
        </w:rPr>
      </w:pPr>
      <w:r>
        <w:rPr>
          <w:rFonts w:hint="eastAsia" w:ascii="仿宋" w:hAnsi="仿宋" w:eastAsia="仿宋" w:cs="宋体"/>
          <w:kern w:val="0"/>
          <w:sz w:val="32"/>
          <w:szCs w:val="32"/>
          <w:lang w:bidi="ar"/>
        </w:rPr>
        <w:t>重点支出和重大投资项目预算安排的政策依据、标准、绩效目标和实现措施；</w:t>
      </w:r>
    </w:p>
    <w:p>
      <w:pPr>
        <w:numPr>
          <w:ilvl w:val="0"/>
          <w:numId w:val="1"/>
        </w:numPr>
        <w:adjustRightInd w:val="0"/>
        <w:snapToGrid w:val="0"/>
        <w:spacing w:line="360" w:lineRule="auto"/>
        <w:ind w:left="0" w:leftChars="0" w:firstLine="420" w:firstLineChars="0"/>
        <w:rPr>
          <w:rFonts w:ascii="仿宋" w:hAnsi="仿宋" w:eastAsia="仿宋" w:cs="宋体"/>
          <w:kern w:val="0"/>
          <w:sz w:val="32"/>
          <w:szCs w:val="32"/>
        </w:rPr>
      </w:pPr>
      <w:r>
        <w:rPr>
          <w:rFonts w:hint="eastAsia" w:ascii="仿宋" w:hAnsi="仿宋" w:eastAsia="仿宋" w:cs="宋体"/>
          <w:kern w:val="0"/>
          <w:sz w:val="32"/>
          <w:szCs w:val="32"/>
          <w:lang w:bidi="ar"/>
        </w:rPr>
        <w:t>税收返还和转移支付情况；</w:t>
      </w:r>
    </w:p>
    <w:p>
      <w:pPr>
        <w:numPr>
          <w:ilvl w:val="0"/>
          <w:numId w:val="1"/>
        </w:numPr>
        <w:adjustRightInd w:val="0"/>
        <w:snapToGrid w:val="0"/>
        <w:spacing w:line="360" w:lineRule="auto"/>
        <w:ind w:left="0" w:leftChars="0" w:firstLine="420" w:firstLineChars="0"/>
        <w:rPr>
          <w:rFonts w:ascii="仿宋" w:hAnsi="仿宋" w:eastAsia="仿宋" w:cs="宋体"/>
          <w:kern w:val="0"/>
          <w:sz w:val="32"/>
          <w:szCs w:val="32"/>
        </w:rPr>
      </w:pPr>
      <w:r>
        <w:rPr>
          <w:rFonts w:hint="eastAsia" w:ascii="仿宋" w:hAnsi="仿宋" w:eastAsia="仿宋" w:cs="宋体"/>
          <w:kern w:val="0"/>
          <w:sz w:val="32"/>
          <w:szCs w:val="32"/>
          <w:lang w:bidi="ar"/>
        </w:rPr>
        <w:t>上一年度政府债券发行、资金使用和偿还、债务风险等情况，本年度举借债务的主要用途、偿债计划以及财政中长期可持续性等情况；</w:t>
      </w:r>
    </w:p>
    <w:p>
      <w:pPr>
        <w:numPr>
          <w:ilvl w:val="0"/>
          <w:numId w:val="1"/>
        </w:numPr>
        <w:adjustRightInd w:val="0"/>
        <w:snapToGrid w:val="0"/>
        <w:spacing w:line="360" w:lineRule="auto"/>
        <w:ind w:left="0" w:leftChars="0" w:firstLine="420" w:firstLineChars="0"/>
        <w:rPr>
          <w:rFonts w:ascii="仿宋" w:hAnsi="仿宋" w:eastAsia="仿宋" w:cs="宋体"/>
          <w:kern w:val="0"/>
          <w:sz w:val="32"/>
          <w:szCs w:val="32"/>
        </w:rPr>
      </w:pPr>
      <w:r>
        <w:rPr>
          <w:rFonts w:hint="eastAsia" w:ascii="仿宋" w:hAnsi="仿宋" w:eastAsia="仿宋" w:cs="宋体"/>
          <w:kern w:val="0"/>
          <w:sz w:val="32"/>
          <w:szCs w:val="32"/>
          <w:lang w:bidi="ar"/>
        </w:rPr>
        <w:t>其他与预算有关的重要情况。</w:t>
      </w:r>
    </w:p>
    <w:p>
      <w:pPr>
        <w:adjustRightInd w:val="0"/>
        <w:snapToGrid w:val="0"/>
        <w:spacing w:line="360" w:lineRule="auto"/>
        <w:ind w:firstLine="640" w:firstLineChars="200"/>
        <w:rPr>
          <w:rFonts w:ascii="仿宋" w:hAnsi="仿宋" w:eastAsia="仿宋" w:cs="宋体"/>
          <w:kern w:val="0"/>
          <w:sz w:val="32"/>
          <w:szCs w:val="32"/>
        </w:rPr>
      </w:pPr>
      <w:r>
        <w:rPr>
          <w:rFonts w:hint="eastAsia" w:ascii="黑体" w:hAnsi="宋体" w:eastAsia="黑体" w:cs="宋体"/>
          <w:kern w:val="0"/>
          <w:sz w:val="32"/>
          <w:szCs w:val="32"/>
          <w:lang w:bidi="ar"/>
        </w:rPr>
        <w:t>第十四条</w:t>
      </w:r>
      <w:r>
        <w:rPr>
          <w:rFonts w:hint="eastAsia" w:ascii="楷体" w:hAnsi="楷体" w:eastAsia="楷体" w:cs="仿宋"/>
          <w:sz w:val="32"/>
          <w:szCs w:val="32"/>
          <w:lang w:bidi="ar"/>
        </w:rPr>
        <w:t xml:space="preserve">  </w:t>
      </w:r>
      <w:r>
        <w:rPr>
          <w:rFonts w:hint="eastAsia" w:ascii="仿宋" w:hAnsi="仿宋" w:eastAsia="仿宋" w:cs="宋体"/>
          <w:kern w:val="0"/>
          <w:sz w:val="32"/>
          <w:szCs w:val="32"/>
          <w:lang w:bidi="ar"/>
        </w:rPr>
        <w:t>开展初步审查阶段，县级以上人民代表大会其他专门委员会和常务委员会其他工作机构可以围绕本地区方针政策和决策部署，对相关领域部门预算初步方案、转移支付资金和政策开展专项审查或者研究，提出专项审查意见或者专项研究意见，送有关专门委员会和常务委员会有关工作机构研究处理，必要时作为初步审查意见的附件印发本级人民代表大会会议。</w:t>
      </w:r>
    </w:p>
    <w:p>
      <w:pPr>
        <w:adjustRightInd w:val="0"/>
        <w:snapToGrid w:val="0"/>
        <w:spacing w:line="360" w:lineRule="auto"/>
        <w:ind w:firstLine="640" w:firstLineChars="200"/>
        <w:rPr>
          <w:rFonts w:ascii="仿宋_GB2312" w:hAnsi="Times New Roman" w:eastAsia="仿宋_GB2312" w:cs="宋体"/>
          <w:kern w:val="0"/>
          <w:sz w:val="32"/>
          <w:szCs w:val="32"/>
        </w:rPr>
      </w:pPr>
      <w:r>
        <w:rPr>
          <w:rFonts w:hint="eastAsia" w:ascii="仿宋" w:hAnsi="仿宋" w:eastAsia="仿宋" w:cs="宋体"/>
          <w:kern w:val="0"/>
          <w:sz w:val="32"/>
          <w:szCs w:val="32"/>
          <w:lang w:bidi="ar"/>
        </w:rPr>
        <w:t>专项审查意见或者专项研究意见中增加相关支出预算的建议，应当与减少其他支出预算的建议同时提出，以保持预算的平衡性、完整性和统一性。</w:t>
      </w:r>
    </w:p>
    <w:p>
      <w:pPr>
        <w:adjustRightInd w:val="0"/>
        <w:snapToGrid w:val="0"/>
        <w:spacing w:line="360" w:lineRule="auto"/>
        <w:ind w:firstLine="640" w:firstLineChars="200"/>
        <w:rPr>
          <w:rFonts w:ascii="仿宋" w:hAnsi="仿宋" w:eastAsia="仿宋" w:cs="宋体"/>
          <w:kern w:val="0"/>
          <w:sz w:val="32"/>
          <w:szCs w:val="32"/>
        </w:rPr>
      </w:pPr>
      <w:r>
        <w:rPr>
          <w:rFonts w:hint="eastAsia" w:ascii="黑体" w:hAnsi="宋体" w:eastAsia="黑体" w:cs="宋体"/>
          <w:kern w:val="0"/>
          <w:sz w:val="32"/>
          <w:szCs w:val="32"/>
          <w:lang w:bidi="ar"/>
        </w:rPr>
        <w:t>第十五条</w:t>
      </w:r>
      <w:r>
        <w:rPr>
          <w:rFonts w:hint="eastAsia" w:ascii="楷体" w:hAnsi="楷体" w:eastAsia="楷体" w:cs="仿宋"/>
          <w:sz w:val="32"/>
          <w:szCs w:val="32"/>
          <w:lang w:bidi="ar"/>
        </w:rPr>
        <w:t xml:space="preserve">  </w:t>
      </w:r>
      <w:r>
        <w:rPr>
          <w:rFonts w:hint="eastAsia" w:ascii="仿宋" w:hAnsi="仿宋" w:eastAsia="仿宋" w:cs="宋体"/>
          <w:kern w:val="0"/>
          <w:sz w:val="32"/>
          <w:szCs w:val="32"/>
          <w:lang w:bidi="ar"/>
        </w:rPr>
        <w:t>省、设区的市人民代表大会有关专门委员会、县（市、区）人民代表大会常务委员会召开初步审查会议时，可以选取部门预算草案、重点支出和重大投资项目计划开展专题审议。本级人民政府有关部门负责人应当到会听取审议意见，回答询问。</w:t>
      </w:r>
    </w:p>
    <w:p>
      <w:pPr>
        <w:adjustRightInd w:val="0"/>
        <w:snapToGrid w:val="0"/>
        <w:spacing w:line="360" w:lineRule="auto"/>
        <w:ind w:firstLine="640" w:firstLineChars="200"/>
        <w:rPr>
          <w:rFonts w:ascii="仿宋" w:hAnsi="仿宋" w:eastAsia="仿宋" w:cs="宋体"/>
          <w:kern w:val="0"/>
          <w:sz w:val="32"/>
          <w:szCs w:val="32"/>
        </w:rPr>
      </w:pPr>
      <w:r>
        <w:rPr>
          <w:rFonts w:hint="eastAsia" w:ascii="黑体" w:hAnsi="宋体" w:eastAsia="黑体" w:cs="宋体"/>
          <w:kern w:val="0"/>
          <w:sz w:val="32"/>
          <w:szCs w:val="32"/>
          <w:lang w:bidi="ar"/>
        </w:rPr>
        <w:t>第十六条</w:t>
      </w:r>
      <w:r>
        <w:rPr>
          <w:rFonts w:hint="eastAsia" w:ascii="楷体" w:hAnsi="楷体" w:eastAsia="楷体" w:cs="仿宋"/>
          <w:sz w:val="32"/>
          <w:szCs w:val="32"/>
          <w:lang w:bidi="ar"/>
        </w:rPr>
        <w:t xml:space="preserve">  </w:t>
      </w:r>
      <w:r>
        <w:rPr>
          <w:rFonts w:hint="eastAsia" w:ascii="仿宋" w:hAnsi="仿宋" w:eastAsia="仿宋" w:cs="宋体"/>
          <w:kern w:val="0"/>
          <w:sz w:val="32"/>
          <w:szCs w:val="32"/>
          <w:lang w:bidi="ar"/>
        </w:rPr>
        <w:t>省、设区的市人民代表大会有关专门委员会、县（市、区）人民代表大会常务委员会或者省、设区的市人民代表大会常务委员会有关工作机构，应当在收到本级预算草案初步方案之日起十五日内提出初步审查意见或者研究意见，交本级人民政府财政部门研究处理。本级人民政府财政部门应当按照要求反馈研究处理情况。</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前款提出的意见及其研究处理情况报告，应当在人民代表大会会议期间印发本级人大代表。</w:t>
      </w:r>
    </w:p>
    <w:p>
      <w:pPr>
        <w:adjustRightInd w:val="0"/>
        <w:snapToGrid w:val="0"/>
        <w:spacing w:line="360" w:lineRule="auto"/>
        <w:ind w:firstLine="640" w:firstLineChars="200"/>
        <w:rPr>
          <w:rFonts w:ascii="仿宋" w:hAnsi="仿宋" w:eastAsia="仿宋" w:cs="宋体"/>
          <w:kern w:val="0"/>
          <w:sz w:val="32"/>
          <w:szCs w:val="32"/>
        </w:rPr>
      </w:pPr>
      <w:r>
        <w:rPr>
          <w:rFonts w:hint="eastAsia" w:ascii="黑体" w:hAnsi="宋体" w:eastAsia="黑体" w:cs="宋体"/>
          <w:kern w:val="0"/>
          <w:sz w:val="32"/>
          <w:szCs w:val="32"/>
          <w:lang w:bidi="ar"/>
        </w:rPr>
        <w:t>第十七条</w:t>
      </w:r>
      <w:r>
        <w:rPr>
          <w:rFonts w:hint="eastAsia" w:ascii="楷体" w:hAnsi="楷体" w:eastAsia="楷体" w:cs="仿宋"/>
          <w:sz w:val="32"/>
          <w:szCs w:val="32"/>
          <w:lang w:bidi="ar"/>
        </w:rPr>
        <w:t xml:space="preserve">  </w:t>
      </w:r>
      <w:r>
        <w:rPr>
          <w:rFonts w:hint="eastAsia" w:ascii="仿宋" w:hAnsi="仿宋" w:eastAsia="仿宋" w:cs="宋体"/>
          <w:kern w:val="0"/>
          <w:sz w:val="32"/>
          <w:szCs w:val="32"/>
          <w:lang w:bidi="ar"/>
        </w:rPr>
        <w:t>对预算草案初步方案及上一年度预算执行情况的初步审查，重点审查下列内容：</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（一）上一年度预算执行情况是否符合本级人民代表大会预算决议的要求；</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（二）预算编制是否完整，预算安排是否合法、是否贯彻国民经济和社会发展的方针政策，收支政策是否切实可行；</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（三）转移支付与财政事权和支出责任划分是否匹配；</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（四）重点支出和重大投资项目的预算安排是否适当；</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（五）预算绩效目标的编制是否科学、合理和细化；</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（六）实现预算拟采取的措施是否合法、可行、有效；</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（七）政府债务是否纳入预算管理，预算说明是否全面、详细报告债务情况，是否有偿还计划和稳定的偿还资金来源；</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（八）预算稳定调节基金的安排是否适当；</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（九）政府性基金预算收支政策和预算安排的合理性、可行性、可持续性等情况；</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（十）国有资本足额上缴收益和产权转让等情况；</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（十一）社会保险基金绩效和运营投资的情况，中长期收支预测及可持续运行等情况；</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（十二）政府性基金预算、国有资本经营预算、社会保险基金预算与一般公共预算衔接情况；</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（十三）预算年度开始后，预算草案在本级人民代表大会批准前安排的各项支出是否合法，是否作出必要说明；</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（十四）收回财政存量资金的分配方案是否符合政策规定；</w:t>
      </w:r>
    </w:p>
    <w:p>
      <w:pPr>
        <w:adjustRightInd w:val="0"/>
        <w:snapToGrid w:val="0"/>
        <w:spacing w:line="360" w:lineRule="auto"/>
        <w:ind w:firstLine="640" w:firstLineChars="200"/>
        <w:rPr>
          <w:sz w:val="32"/>
          <w:szCs w:val="32"/>
        </w:rPr>
      </w:pPr>
      <w:r>
        <w:rPr>
          <w:rFonts w:hint="eastAsia" w:ascii="仿宋" w:hAnsi="仿宋" w:eastAsia="仿宋" w:cs="宋体"/>
          <w:kern w:val="0"/>
          <w:sz w:val="32"/>
          <w:szCs w:val="32"/>
          <w:lang w:bidi="ar"/>
        </w:rPr>
        <w:t>（十五）与预算有关重要事项的说明是否清晰。</w:t>
      </w:r>
    </w:p>
    <w:p>
      <w:pPr>
        <w:adjustRightInd w:val="0"/>
        <w:snapToGrid w:val="0"/>
        <w:spacing w:line="360" w:lineRule="auto"/>
        <w:ind w:firstLine="640" w:firstLineChars="200"/>
        <w:rPr>
          <w:rFonts w:ascii="仿宋" w:hAnsi="仿宋" w:eastAsia="仿宋" w:cs="宋体"/>
          <w:kern w:val="0"/>
          <w:sz w:val="32"/>
          <w:szCs w:val="32"/>
        </w:rPr>
      </w:pPr>
      <w:r>
        <w:rPr>
          <w:rFonts w:hint="eastAsia" w:ascii="黑体" w:hAnsi="宋体" w:eastAsia="黑体" w:cs="仿宋"/>
          <w:sz w:val="32"/>
          <w:szCs w:val="32"/>
          <w:lang w:bidi="ar"/>
        </w:rPr>
        <w:t>第十八条</w:t>
      </w:r>
      <w:r>
        <w:rPr>
          <w:rFonts w:hint="eastAsia" w:ascii="楷体" w:hAnsi="楷体" w:eastAsia="楷体" w:cs="仿宋"/>
          <w:sz w:val="32"/>
          <w:szCs w:val="32"/>
          <w:lang w:bidi="ar"/>
        </w:rPr>
        <w:t xml:space="preserve">  </w:t>
      </w:r>
      <w:r>
        <w:rPr>
          <w:rFonts w:hint="eastAsia" w:ascii="仿宋" w:hAnsi="仿宋" w:eastAsia="仿宋" w:cs="宋体"/>
          <w:kern w:val="0"/>
          <w:sz w:val="32"/>
          <w:szCs w:val="32"/>
          <w:lang w:bidi="ar"/>
        </w:rPr>
        <w:t>县级以上人民政府应当在本级人民代表大会会议举行的七日前，向常务委员会提交本级总预算草案、本级预算草案和关于预算草案的报告等相关文件。预算草案应当政策明确、标准科学、安排合理，增强可读性和可审性，相关部门应当提供解读服务。</w:t>
      </w:r>
    </w:p>
    <w:p>
      <w:pPr>
        <w:adjustRightInd w:val="0"/>
        <w:snapToGrid w:val="0"/>
        <w:spacing w:line="360" w:lineRule="auto"/>
        <w:ind w:firstLine="640" w:firstLineChars="200"/>
        <w:rPr>
          <w:rFonts w:ascii="仿宋_GB2312" w:hAnsi="Times New Roman" w:eastAsia="仿宋_GB2312" w:cs="仿宋_GB2312"/>
          <w:sz w:val="32"/>
          <w:szCs w:val="32"/>
        </w:rPr>
      </w:pPr>
      <w:r>
        <w:rPr>
          <w:rFonts w:hint="eastAsia" w:ascii="仿宋" w:hAnsi="仿宋" w:eastAsia="仿宋" w:cs="宋体"/>
          <w:kern w:val="0"/>
          <w:sz w:val="32"/>
          <w:szCs w:val="32"/>
          <w:lang w:bidi="ar"/>
        </w:rPr>
        <w:t>一般公共预算草案，应当列示预算收支情况表、转移支付预算表、基本建设支出表、政府债务情况表等，说明收支预算安排及转移支付绩效目标情况。政府性基金预算草案应当按基金项目分别编列、分别说明；政府性基金支出编列到资金使用的具体项目，说明结转结余和绩效目标情况。国有资本经营预算草案收入编列到行业或者企业，说明纳入预算的企业单位的上一年度总体经营财务状况；支出编列到具体使用方向和用途，说明项目安排的依据和绩效目标。社会保险基金预算草案应当按保险项目编制，反映基金收支和运行情况，说明社会保险基金可持续运行情况。</w:t>
      </w:r>
    </w:p>
    <w:p>
      <w:pPr>
        <w:adjustRightInd w:val="0"/>
        <w:snapToGrid w:val="0"/>
        <w:spacing w:line="360" w:lineRule="auto"/>
        <w:ind w:firstLine="640" w:firstLineChars="200"/>
        <w:rPr>
          <w:rFonts w:ascii="仿宋" w:hAnsi="仿宋" w:eastAsia="仿宋" w:cs="宋体"/>
          <w:kern w:val="0"/>
          <w:sz w:val="32"/>
          <w:szCs w:val="32"/>
        </w:rPr>
      </w:pPr>
      <w:r>
        <w:rPr>
          <w:rFonts w:hint="eastAsia" w:ascii="黑体" w:hAnsi="宋体" w:eastAsia="黑体" w:cs="宋体"/>
          <w:kern w:val="0"/>
          <w:sz w:val="32"/>
          <w:szCs w:val="32"/>
          <w:lang w:bidi="ar"/>
        </w:rPr>
        <w:t>第十九条</w:t>
      </w:r>
      <w:r>
        <w:rPr>
          <w:rFonts w:hint="eastAsia" w:ascii="楷体" w:hAnsi="楷体" w:eastAsia="楷体" w:cs="仿宋"/>
          <w:sz w:val="32"/>
          <w:szCs w:val="32"/>
          <w:lang w:bidi="ar"/>
        </w:rPr>
        <w:t xml:space="preserve">  </w:t>
      </w:r>
      <w:r>
        <w:rPr>
          <w:rFonts w:hint="eastAsia" w:ascii="仿宋" w:hAnsi="仿宋" w:eastAsia="仿宋" w:cs="宋体"/>
          <w:kern w:val="0"/>
          <w:sz w:val="32"/>
          <w:szCs w:val="32"/>
          <w:lang w:bidi="ar"/>
        </w:rPr>
        <w:t>县级以上人民代表大会应当在每年第一季度审查预算草案和上一年度预算执行情况的报告，批准本级预算和本级上一年度预算执行情况的报告，作出相应决议。</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县级以上人民代表大会会议应当保障必要的时间对预算草案以及预算报告进行审查。人大代表审查预算草案和上一年度预算执行情况报告时，本级人民政府财政部门应当到会听取意见，回答询问，对人大代表提出的意见和建议应当及时予以反馈。</w:t>
      </w:r>
    </w:p>
    <w:p>
      <w:pPr>
        <w:adjustRightInd w:val="0"/>
        <w:snapToGrid w:val="0"/>
        <w:spacing w:line="360" w:lineRule="auto"/>
        <w:ind w:firstLine="640" w:firstLineChars="200"/>
        <w:rPr>
          <w:rFonts w:ascii="仿宋" w:hAnsi="仿宋" w:eastAsia="仿宋" w:cs="宋体"/>
          <w:kern w:val="0"/>
          <w:sz w:val="32"/>
          <w:szCs w:val="32"/>
        </w:rPr>
      </w:pPr>
      <w:r>
        <w:rPr>
          <w:rFonts w:hint="eastAsia" w:ascii="黑体" w:hAnsi="宋体" w:eastAsia="黑体" w:cs="宋体"/>
          <w:kern w:val="0"/>
          <w:sz w:val="32"/>
          <w:szCs w:val="32"/>
          <w:lang w:bidi="ar"/>
        </w:rPr>
        <w:t>第二十条</w:t>
      </w:r>
      <w:r>
        <w:rPr>
          <w:rFonts w:hint="eastAsia" w:ascii="楷体" w:hAnsi="楷体" w:eastAsia="楷体" w:cs="仿宋"/>
          <w:sz w:val="32"/>
          <w:szCs w:val="32"/>
          <w:lang w:bidi="ar"/>
        </w:rPr>
        <w:t xml:space="preserve">  </w:t>
      </w:r>
      <w:r>
        <w:rPr>
          <w:rFonts w:hint="eastAsia" w:ascii="仿宋" w:hAnsi="仿宋" w:eastAsia="仿宋" w:cs="宋体"/>
          <w:kern w:val="0"/>
          <w:sz w:val="32"/>
          <w:szCs w:val="32"/>
          <w:lang w:bidi="ar"/>
        </w:rPr>
        <w:t>县级以上人民代表大会会议期间，人民代表大会有关专门委员会应当结合各代表团的审查意见，对预算草案作进一步审查，向本级人民代表大会主席团提出关于总预算草案及上一年度总预算执行情况的审查结果报告。审查结果报告经大会主席团通过后，应当印发本级人大代表。</w:t>
      </w:r>
    </w:p>
    <w:p>
      <w:pPr>
        <w:adjustRightInd w:val="0"/>
        <w:snapToGrid w:val="0"/>
        <w:spacing w:line="360" w:lineRule="auto"/>
        <w:ind w:firstLine="640" w:firstLineChars="200"/>
        <w:rPr>
          <w:sz w:val="32"/>
          <w:szCs w:val="32"/>
        </w:rPr>
      </w:pPr>
      <w:r>
        <w:rPr>
          <w:rFonts w:ascii="Times New Roman" w:hAnsi="Times New Roman" w:eastAsia="宋体" w:cs="Times New Roman"/>
          <w:sz w:val="32"/>
          <w:szCs w:val="32"/>
          <w:lang w:bidi="ar"/>
        </w:rPr>
        <w:t xml:space="preserve"> </w:t>
      </w:r>
    </w:p>
    <w:p>
      <w:pPr>
        <w:adjustRightInd w:val="0"/>
        <w:snapToGrid w:val="0"/>
        <w:spacing w:line="360" w:lineRule="auto"/>
        <w:jc w:val="center"/>
        <w:rPr>
          <w:rFonts w:ascii="黑体" w:hAnsi="宋体" w:eastAsia="黑体" w:cs="黑体"/>
          <w:b/>
          <w:sz w:val="32"/>
          <w:szCs w:val="32"/>
        </w:rPr>
      </w:pPr>
      <w:r>
        <w:rPr>
          <w:rFonts w:hint="eastAsia" w:ascii="黑体" w:hAnsi="宋体" w:eastAsia="黑体" w:cs="黑体"/>
          <w:sz w:val="32"/>
          <w:szCs w:val="32"/>
          <w:lang w:bidi="ar"/>
        </w:rPr>
        <w:t>第三章  预算执行的监督</w:t>
      </w:r>
    </w:p>
    <w:p>
      <w:pPr>
        <w:adjustRightInd w:val="0"/>
        <w:snapToGrid w:val="0"/>
        <w:spacing w:line="360" w:lineRule="auto"/>
        <w:rPr>
          <w:rFonts w:ascii="仿宋_GB2312" w:hAnsi="Times New Roman" w:eastAsia="仿宋_GB2312" w:cs="仿宋_GB2312"/>
          <w:sz w:val="32"/>
          <w:szCs w:val="32"/>
        </w:rPr>
      </w:pPr>
      <w:r>
        <w:rPr>
          <w:rFonts w:ascii="仿宋_GB2312" w:hAnsi="Times New Roman" w:eastAsia="仿宋_GB2312" w:cs="仿宋_GB2312"/>
          <w:sz w:val="32"/>
          <w:szCs w:val="32"/>
          <w:lang w:bidi="ar"/>
        </w:rPr>
        <w:t xml:space="preserve"> </w:t>
      </w:r>
    </w:p>
    <w:p>
      <w:pPr>
        <w:adjustRightInd w:val="0"/>
        <w:snapToGrid w:val="0"/>
        <w:spacing w:line="360" w:lineRule="auto"/>
        <w:ind w:firstLine="640" w:firstLineChars="200"/>
        <w:rPr>
          <w:rFonts w:ascii="仿宋" w:hAnsi="仿宋" w:eastAsia="仿宋" w:cs="宋体"/>
          <w:kern w:val="0"/>
          <w:sz w:val="32"/>
          <w:szCs w:val="32"/>
        </w:rPr>
      </w:pPr>
      <w:r>
        <w:rPr>
          <w:rFonts w:hint="eastAsia" w:ascii="黑体" w:hAnsi="宋体" w:eastAsia="黑体" w:cs="仿宋"/>
          <w:sz w:val="32"/>
          <w:szCs w:val="32"/>
          <w:lang w:bidi="ar"/>
        </w:rPr>
        <w:t>第二十一条</w:t>
      </w:r>
      <w:r>
        <w:rPr>
          <w:rFonts w:hint="eastAsia" w:ascii="楷体" w:hAnsi="楷体" w:eastAsia="楷体" w:cs="楷体"/>
          <w:sz w:val="32"/>
          <w:szCs w:val="32"/>
          <w:lang w:bidi="ar"/>
        </w:rPr>
        <w:t xml:space="preserve">  </w:t>
      </w:r>
      <w:r>
        <w:rPr>
          <w:rFonts w:hint="eastAsia" w:ascii="仿宋" w:hAnsi="仿宋" w:eastAsia="仿宋" w:cs="宋体"/>
          <w:kern w:val="0"/>
          <w:sz w:val="32"/>
          <w:szCs w:val="32"/>
          <w:lang w:bidi="ar"/>
        </w:rPr>
        <w:t>县级以上人民政府应当在每年六月至九月期间，向本级人民代表大会常务委员会报告本年度上半年预算执行情况；在预算年度终了后，向本级人民代表大会报告全年预算执行情况。</w:t>
      </w:r>
    </w:p>
    <w:p>
      <w:pPr>
        <w:adjustRightInd w:val="0"/>
        <w:snapToGrid w:val="0"/>
        <w:spacing w:line="360" w:lineRule="auto"/>
        <w:ind w:firstLine="640" w:firstLineChars="200"/>
        <w:rPr>
          <w:rFonts w:ascii="仿宋" w:hAnsi="仿宋" w:eastAsia="仿宋" w:cs="宋体"/>
          <w:kern w:val="0"/>
          <w:sz w:val="32"/>
          <w:szCs w:val="32"/>
        </w:rPr>
      </w:pPr>
      <w:r>
        <w:rPr>
          <w:rFonts w:hint="eastAsia" w:ascii="黑体" w:hAnsi="宋体" w:eastAsia="黑体" w:cs="仿宋"/>
          <w:sz w:val="32"/>
          <w:szCs w:val="32"/>
          <w:lang w:bidi="ar"/>
        </w:rPr>
        <w:t>第二十二条</w:t>
      </w:r>
      <w:r>
        <w:rPr>
          <w:rFonts w:hint="eastAsia" w:ascii="仿宋" w:hAnsi="仿宋" w:eastAsia="仿宋" w:cs="宋体"/>
          <w:kern w:val="0"/>
          <w:sz w:val="32"/>
          <w:szCs w:val="32"/>
          <w:lang w:bidi="ar"/>
        </w:rPr>
        <w:t xml:space="preserve">  预算执行情况监督包括下列主要内容：</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（一）执行本级人民代表大会及其常务委员会决议、决定情况；</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（二）预算收支与财政政策执行情况；</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（三）预算批复、支出拨付和公开情况；</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（四）部门预算的执行和绩效管理情况；</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（五）财政专项资金、重点支出、重大投资项目资金的拨付、使用和绩效情况；</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（六）政府债券的发行和资金使用情况、举债项目的执行和资金管理情况、重大政策措施的落实情况；</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（七）转移支付资金的分配、下达和执行情况；</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（八）超收收入的管理情况，短收及其处理情况；</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（九）预备费、预算周转金、预算稳定调节基金、结转资金的管理使用情况；</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（十）政府采购预算执行情况，政府购买服务预算管理情况；</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（十一）政府性基金支出使用情况；</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（十二）国有资本经营预算收支管理情况；</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（十三）社会保险基金收支管理和保值、增值情况；</w:t>
      </w:r>
    </w:p>
    <w:p>
      <w:pPr>
        <w:adjustRightInd w:val="0"/>
        <w:snapToGrid w:val="0"/>
        <w:spacing w:line="360" w:lineRule="auto"/>
        <w:ind w:firstLine="640" w:firstLineChars="200"/>
        <w:rPr>
          <w:rFonts w:ascii="仿宋_GB2312" w:hAnsi="Times New Roman" w:eastAsia="仿宋_GB2312" w:cs="仿宋_GB2312"/>
          <w:sz w:val="32"/>
          <w:szCs w:val="32"/>
        </w:rPr>
      </w:pPr>
      <w:r>
        <w:rPr>
          <w:rFonts w:hint="eastAsia" w:ascii="仿宋" w:hAnsi="仿宋" w:eastAsia="仿宋" w:cs="宋体"/>
          <w:kern w:val="0"/>
          <w:sz w:val="32"/>
          <w:szCs w:val="32"/>
          <w:lang w:bidi="ar"/>
        </w:rPr>
        <w:t>（十四）其他与预算执行有关的重要情况。</w:t>
      </w:r>
    </w:p>
    <w:p>
      <w:pPr>
        <w:adjustRightInd w:val="0"/>
        <w:snapToGrid w:val="0"/>
        <w:spacing w:line="360" w:lineRule="auto"/>
        <w:ind w:firstLine="640" w:firstLineChars="200"/>
        <w:rPr>
          <w:rFonts w:ascii="仿宋" w:hAnsi="仿宋" w:eastAsia="仿宋" w:cs="宋体"/>
          <w:kern w:val="0"/>
          <w:sz w:val="32"/>
          <w:szCs w:val="32"/>
        </w:rPr>
      </w:pPr>
      <w:r>
        <w:rPr>
          <w:rFonts w:hint="eastAsia" w:ascii="黑体" w:hAnsi="宋体" w:eastAsia="黑体" w:cs="仿宋"/>
          <w:sz w:val="32"/>
          <w:szCs w:val="32"/>
          <w:lang w:bidi="ar"/>
        </w:rPr>
        <w:t>第二十三条</w:t>
      </w:r>
      <w:r>
        <w:rPr>
          <w:rFonts w:hint="eastAsia" w:ascii="楷体" w:hAnsi="楷体" w:eastAsia="楷体" w:cs="仿宋"/>
          <w:sz w:val="32"/>
          <w:szCs w:val="32"/>
          <w:lang w:bidi="ar"/>
        </w:rPr>
        <w:t xml:space="preserve">  </w:t>
      </w:r>
      <w:r>
        <w:rPr>
          <w:rFonts w:hint="eastAsia" w:ascii="仿宋" w:hAnsi="仿宋" w:eastAsia="仿宋" w:cs="宋体"/>
          <w:kern w:val="0"/>
          <w:sz w:val="32"/>
          <w:szCs w:val="32"/>
          <w:lang w:bidi="ar"/>
        </w:rPr>
        <w:t>县级以上人民代表大会常务委员会可以根据需要，采取听取和审议专项工作报告、执法检查、询问和质询、特定问题调查等方式，对预算执行进行监督，必要时可以作出决议、决定。县级以上人民政府应当按照决议、决定的要求，将执行决议、决定的情况向本级人民代表大会常务委员会报告。</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 xml:space="preserve">县级以上人民代表大会常务委员会可以就特定事项要求本级人民政府进行专项审计或者审计调查，并报告审计结果。 </w:t>
      </w:r>
    </w:p>
    <w:p>
      <w:pPr>
        <w:adjustRightInd w:val="0"/>
        <w:snapToGrid w:val="0"/>
        <w:spacing w:line="360" w:lineRule="auto"/>
        <w:ind w:firstLine="640" w:firstLineChars="200"/>
        <w:rPr>
          <w:rFonts w:ascii="仿宋" w:hAnsi="仿宋" w:eastAsia="仿宋" w:cs="宋体"/>
          <w:kern w:val="0"/>
          <w:sz w:val="32"/>
          <w:szCs w:val="32"/>
        </w:rPr>
      </w:pPr>
      <w:r>
        <w:rPr>
          <w:rFonts w:hint="eastAsia" w:ascii="黑体" w:hAnsi="宋体" w:eastAsia="黑体" w:cs="黑体"/>
          <w:sz w:val="32"/>
          <w:szCs w:val="32"/>
          <w:lang w:bidi="ar"/>
        </w:rPr>
        <w:t>第二十四条</w:t>
      </w:r>
      <w:r>
        <w:rPr>
          <w:rFonts w:hint="eastAsia" w:ascii="楷体" w:hAnsi="楷体" w:eastAsia="楷体" w:cs="仿宋"/>
          <w:sz w:val="32"/>
          <w:szCs w:val="32"/>
          <w:lang w:bidi="ar"/>
        </w:rPr>
        <w:t xml:space="preserve">  </w:t>
      </w:r>
      <w:r>
        <w:rPr>
          <w:rFonts w:hint="eastAsia" w:ascii="仿宋" w:hAnsi="仿宋" w:eastAsia="仿宋" w:cs="宋体"/>
          <w:kern w:val="0"/>
          <w:sz w:val="32"/>
          <w:szCs w:val="32"/>
          <w:lang w:bidi="ar"/>
        </w:rPr>
        <w:t>县级以上人民代表大会常务委员会对预算执行情况报告、专项工作报告的审议意见，本级人民政府应当及时研究处理，并向本级人民代表大会常务委员会提出研究处理情况报告。</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前款提出的审议意见及其研究处理情况报告，应当印发本级人民代表大会常务委员会组成人员。</w:t>
      </w:r>
    </w:p>
    <w:p>
      <w:pPr>
        <w:adjustRightInd w:val="0"/>
        <w:snapToGrid w:val="0"/>
        <w:spacing w:line="360" w:lineRule="auto"/>
        <w:ind w:firstLine="640" w:firstLineChars="200"/>
        <w:rPr>
          <w:rFonts w:ascii="仿宋" w:hAnsi="仿宋" w:eastAsia="仿宋" w:cs="宋体"/>
          <w:kern w:val="0"/>
          <w:sz w:val="32"/>
          <w:szCs w:val="32"/>
        </w:rPr>
      </w:pPr>
      <w:r>
        <w:rPr>
          <w:rFonts w:hint="eastAsia" w:ascii="黑体" w:hAnsi="宋体" w:eastAsia="黑体" w:cs="黑体"/>
          <w:sz w:val="32"/>
          <w:szCs w:val="32"/>
          <w:lang w:bidi="ar"/>
        </w:rPr>
        <w:t>第二十五条</w:t>
      </w:r>
      <w:r>
        <w:rPr>
          <w:rFonts w:hint="eastAsia" w:ascii="楷体" w:hAnsi="楷体" w:eastAsia="楷体" w:cs="仿宋"/>
          <w:sz w:val="32"/>
          <w:szCs w:val="32"/>
          <w:lang w:bidi="ar"/>
        </w:rPr>
        <w:t xml:space="preserve">  </w:t>
      </w:r>
      <w:r>
        <w:rPr>
          <w:rFonts w:hint="eastAsia" w:ascii="仿宋" w:hAnsi="仿宋" w:eastAsia="仿宋" w:cs="宋体"/>
          <w:kern w:val="0"/>
          <w:sz w:val="32"/>
          <w:szCs w:val="32"/>
          <w:lang w:bidi="ar"/>
        </w:rPr>
        <w:t>县级以上人民政府有关部门应当定期向本级人民代表大会常务委员会有关工作机构提供下列资料：</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（一）反映预算收支、政府债务等有关情况的预算执行报表；</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（二）部门预算执行、宏观经济、金融、审计、税务、社会保障、国有资产等方面政策制度和数据信息；</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（三）预算联网监督系统要求提供的有关报表；</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（四）其他与预算执行有关的资料。</w:t>
      </w:r>
    </w:p>
    <w:p>
      <w:pPr>
        <w:adjustRightInd w:val="0"/>
        <w:snapToGrid w:val="0"/>
        <w:spacing w:line="360" w:lineRule="auto"/>
        <w:ind w:firstLine="640" w:firstLineChars="200"/>
        <w:rPr>
          <w:rFonts w:ascii="仿宋" w:hAnsi="仿宋" w:eastAsia="仿宋" w:cs="宋体"/>
          <w:kern w:val="0"/>
          <w:sz w:val="32"/>
          <w:szCs w:val="32"/>
        </w:rPr>
      </w:pPr>
      <w:r>
        <w:rPr>
          <w:rFonts w:hint="eastAsia" w:ascii="黑体" w:hAnsi="宋体" w:eastAsia="黑体" w:cs="仿宋"/>
          <w:sz w:val="32"/>
          <w:szCs w:val="32"/>
          <w:lang w:bidi="ar"/>
        </w:rPr>
        <w:t>第二十六条</w:t>
      </w:r>
      <w:r>
        <w:rPr>
          <w:rFonts w:hint="eastAsia" w:ascii="楷体" w:hAnsi="楷体" w:eastAsia="楷体" w:cs="仿宋"/>
          <w:sz w:val="32"/>
          <w:szCs w:val="32"/>
          <w:lang w:bidi="ar"/>
        </w:rPr>
        <w:t xml:space="preserve">  </w:t>
      </w:r>
      <w:r>
        <w:rPr>
          <w:rFonts w:hint="eastAsia" w:ascii="仿宋" w:hAnsi="仿宋" w:eastAsia="仿宋" w:cs="宋体"/>
          <w:kern w:val="0"/>
          <w:sz w:val="32"/>
          <w:szCs w:val="32"/>
          <w:lang w:bidi="ar"/>
        </w:rPr>
        <w:t>县级以上人民政府财政部门应当每半年向本级人民代表大会有关专门委员会和常务委员会有关工作机构书面报告政府债务管理情况，说明政府债券的发行使用、规模结构、资金投向、资金管理、项目运行、项目库建设和债务风险等情况。</w:t>
      </w:r>
    </w:p>
    <w:p>
      <w:pPr>
        <w:adjustRightInd w:val="0"/>
        <w:snapToGrid w:val="0"/>
        <w:spacing w:line="360" w:lineRule="auto"/>
        <w:ind w:firstLine="640" w:firstLineChars="200"/>
        <w:rPr>
          <w:rFonts w:ascii="仿宋" w:hAnsi="仿宋" w:eastAsia="仿宋" w:cs="宋体"/>
          <w:kern w:val="0"/>
          <w:sz w:val="32"/>
          <w:szCs w:val="32"/>
        </w:rPr>
      </w:pPr>
      <w:r>
        <w:rPr>
          <w:rFonts w:hint="eastAsia" w:ascii="黑体" w:hAnsi="宋体" w:eastAsia="黑体" w:cs="仿宋"/>
          <w:sz w:val="32"/>
          <w:szCs w:val="32"/>
          <w:lang w:bidi="ar"/>
        </w:rPr>
        <w:t>第二十七条</w:t>
      </w:r>
      <w:r>
        <w:rPr>
          <w:rFonts w:hint="eastAsia" w:ascii="楷体" w:hAnsi="楷体" w:eastAsia="楷体" w:cs="仿宋"/>
          <w:sz w:val="32"/>
          <w:szCs w:val="32"/>
          <w:lang w:bidi="ar"/>
        </w:rPr>
        <w:t xml:space="preserve">  </w:t>
      </w:r>
      <w:r>
        <w:rPr>
          <w:rFonts w:hint="eastAsia" w:ascii="仿宋" w:hAnsi="仿宋" w:eastAsia="仿宋" w:cs="宋体"/>
          <w:kern w:val="0"/>
          <w:sz w:val="32"/>
          <w:szCs w:val="32"/>
          <w:lang w:bidi="ar"/>
        </w:rPr>
        <w:t>县级以上人民代表大会常务委员会可以通过听取专项工作报告、开展专题调研、组织人大代表视察、专题询问等方式，跟踪监督政府债券的发行和资金使用情况。</w:t>
      </w:r>
    </w:p>
    <w:p>
      <w:pPr>
        <w:adjustRightInd w:val="0"/>
        <w:snapToGrid w:val="0"/>
        <w:spacing w:line="360" w:lineRule="auto"/>
        <w:ind w:firstLine="640" w:firstLineChars="200"/>
        <w:rPr>
          <w:rFonts w:ascii="仿宋" w:hAnsi="仿宋" w:eastAsia="仿宋" w:cs="宋体"/>
          <w:kern w:val="0"/>
          <w:sz w:val="32"/>
          <w:szCs w:val="32"/>
        </w:rPr>
      </w:pPr>
      <w:r>
        <w:rPr>
          <w:rFonts w:hint="eastAsia" w:ascii="黑体" w:hAnsi="宋体" w:eastAsia="黑体" w:cs="黑体"/>
          <w:sz w:val="32"/>
          <w:szCs w:val="32"/>
          <w:lang w:bidi="ar"/>
        </w:rPr>
        <w:t>第二十八条</w:t>
      </w:r>
      <w:r>
        <w:rPr>
          <w:rFonts w:hint="eastAsia" w:ascii="楷体" w:hAnsi="楷体" w:eastAsia="楷体" w:cs="仿宋"/>
          <w:sz w:val="32"/>
          <w:szCs w:val="32"/>
          <w:lang w:bidi="ar"/>
        </w:rPr>
        <w:t xml:space="preserve">  </w:t>
      </w:r>
      <w:r>
        <w:rPr>
          <w:rFonts w:hint="eastAsia" w:ascii="仿宋" w:hAnsi="仿宋" w:eastAsia="仿宋" w:cs="宋体"/>
          <w:kern w:val="0"/>
          <w:sz w:val="32"/>
          <w:szCs w:val="32"/>
          <w:lang w:bidi="ar"/>
        </w:rPr>
        <w:t>县级以上人民代表大会常务委员会建立健全运用预算联网监督系统发现问题、反馈处理问题的工作机制，做好预算联网监督系统服务人民代表大会及其常务委员会、人民代表大会有关专门委员会和常务委员会有关工作机构、人大代表履行预算审查监督职责的工作。</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县级以上人民代表大会常务委员会有关工作机构对预算联网监督发现的问题，适时向本级人民政府有关部门通报；发现重大问题应当提请本级人民代表大会常务委员会主任会议研究。</w:t>
      </w:r>
    </w:p>
    <w:p>
      <w:pPr>
        <w:adjustRightInd w:val="0"/>
        <w:snapToGrid w:val="0"/>
        <w:spacing w:line="360" w:lineRule="auto"/>
        <w:ind w:firstLine="640" w:firstLineChars="200"/>
        <w:rPr>
          <w:rFonts w:ascii="仿宋_GB2312" w:hAnsi="Times New Roman" w:eastAsia="仿宋_GB2312" w:cs="仿宋_GB2312"/>
          <w:sz w:val="32"/>
          <w:szCs w:val="32"/>
        </w:rPr>
      </w:pPr>
      <w:r>
        <w:rPr>
          <w:rFonts w:hint="eastAsia" w:ascii="黑体" w:hAnsi="宋体" w:eastAsia="黑体" w:cs="仿宋"/>
          <w:sz w:val="32"/>
          <w:szCs w:val="32"/>
          <w:lang w:bidi="ar"/>
        </w:rPr>
        <w:t>第二十九条</w:t>
      </w:r>
      <w:r>
        <w:rPr>
          <w:rFonts w:hint="eastAsia" w:ascii="楷体" w:hAnsi="楷体" w:eastAsia="楷体" w:cs="仿宋"/>
          <w:sz w:val="32"/>
          <w:szCs w:val="32"/>
          <w:lang w:bidi="ar"/>
        </w:rPr>
        <w:t xml:space="preserve">  </w:t>
      </w:r>
      <w:r>
        <w:rPr>
          <w:rFonts w:hint="eastAsia" w:ascii="仿宋" w:hAnsi="仿宋" w:eastAsia="仿宋" w:cs="宋体"/>
          <w:kern w:val="0"/>
          <w:sz w:val="32"/>
          <w:szCs w:val="32"/>
          <w:lang w:bidi="ar"/>
        </w:rPr>
        <w:t>县级以上人民代表大会常务委员会有关工作机构可以委托第三方机构对本级人民政府重点支出、重大投资项目和部门预算的资金，以及相关支出政策进行绩效评价，并将评价结果提请本级人民代表大会常务委员会主任会议研究。</w:t>
      </w:r>
    </w:p>
    <w:p>
      <w:pPr>
        <w:adjustRightInd w:val="0"/>
        <w:snapToGrid w:val="0"/>
        <w:spacing w:line="360" w:lineRule="auto"/>
        <w:rPr>
          <w:rFonts w:ascii="仿宋_GB2312" w:hAnsi="Times New Roman" w:eastAsia="仿宋_GB2312" w:cs="宋体"/>
          <w:kern w:val="0"/>
          <w:sz w:val="32"/>
          <w:szCs w:val="32"/>
        </w:rPr>
      </w:pPr>
      <w:r>
        <w:rPr>
          <w:rFonts w:ascii="仿宋_GB2312" w:hAnsi="Times New Roman" w:eastAsia="仿宋_GB2312" w:cs="宋体"/>
          <w:kern w:val="0"/>
          <w:sz w:val="32"/>
          <w:szCs w:val="32"/>
          <w:lang w:bidi="ar"/>
        </w:rPr>
        <w:t xml:space="preserve"> </w:t>
      </w:r>
    </w:p>
    <w:p>
      <w:pPr>
        <w:adjustRightInd w:val="0"/>
        <w:snapToGrid w:val="0"/>
        <w:spacing w:line="360" w:lineRule="auto"/>
        <w:jc w:val="center"/>
        <w:rPr>
          <w:rFonts w:ascii="黑体" w:hAnsi="宋体" w:eastAsia="黑体" w:cs="黑体"/>
          <w:sz w:val="32"/>
          <w:szCs w:val="32"/>
        </w:rPr>
      </w:pPr>
      <w:r>
        <w:rPr>
          <w:rFonts w:hint="eastAsia" w:ascii="黑体" w:hAnsi="宋体" w:eastAsia="黑体" w:cs="黑体"/>
          <w:sz w:val="32"/>
          <w:szCs w:val="32"/>
          <w:lang w:bidi="ar"/>
        </w:rPr>
        <w:t>第四章  预算调整的审查和批准</w:t>
      </w:r>
    </w:p>
    <w:p>
      <w:pPr>
        <w:adjustRightInd w:val="0"/>
        <w:snapToGrid w:val="0"/>
        <w:spacing w:line="360" w:lineRule="auto"/>
        <w:rPr>
          <w:rFonts w:ascii="仿宋_GB2312" w:hAnsi="Times New Roman" w:eastAsia="仿宋_GB2312" w:cs="仿宋"/>
          <w:b/>
          <w:sz w:val="32"/>
          <w:szCs w:val="32"/>
        </w:rPr>
      </w:pPr>
      <w:r>
        <w:rPr>
          <w:rFonts w:ascii="仿宋_GB2312" w:hAnsi="Times New Roman" w:eastAsia="仿宋_GB2312" w:cs="仿宋"/>
          <w:b/>
          <w:sz w:val="32"/>
          <w:szCs w:val="32"/>
          <w:lang w:bidi="ar"/>
        </w:rPr>
        <w:t xml:space="preserve"> </w:t>
      </w:r>
    </w:p>
    <w:p>
      <w:pPr>
        <w:adjustRightInd w:val="0"/>
        <w:snapToGrid w:val="0"/>
        <w:spacing w:line="360" w:lineRule="auto"/>
        <w:ind w:firstLine="640" w:firstLineChars="200"/>
        <w:rPr>
          <w:rFonts w:ascii="仿宋" w:hAnsi="仿宋" w:eastAsia="仿宋" w:cs="宋体"/>
          <w:kern w:val="0"/>
          <w:sz w:val="32"/>
          <w:szCs w:val="32"/>
        </w:rPr>
      </w:pPr>
      <w:r>
        <w:rPr>
          <w:rFonts w:hint="eastAsia" w:ascii="黑体" w:hAnsi="宋体" w:eastAsia="黑体" w:cs="黑体"/>
          <w:sz w:val="32"/>
          <w:szCs w:val="32"/>
          <w:lang w:bidi="ar"/>
        </w:rPr>
        <w:t>第三十条</w:t>
      </w:r>
      <w:r>
        <w:rPr>
          <w:rFonts w:hint="eastAsia" w:ascii="楷体" w:hAnsi="楷体" w:eastAsia="楷体" w:cs="仿宋"/>
          <w:sz w:val="32"/>
          <w:szCs w:val="32"/>
          <w:lang w:bidi="ar"/>
        </w:rPr>
        <w:t xml:space="preserve">  </w:t>
      </w:r>
      <w:r>
        <w:rPr>
          <w:rFonts w:hint="eastAsia" w:ascii="仿宋" w:hAnsi="仿宋" w:eastAsia="仿宋" w:cs="宋体"/>
          <w:kern w:val="0"/>
          <w:sz w:val="32"/>
          <w:szCs w:val="32"/>
          <w:lang w:bidi="ar"/>
        </w:rPr>
        <w:t>在预算执行中，必须进行调整的，县级以上人民政府应当编制预算调整方案，说明预算调整的理由、依据、项目、数额和收支平衡等，提请本级人民代表大会常务委员会审查和批准。</w:t>
      </w:r>
    </w:p>
    <w:p>
      <w:pPr>
        <w:adjustRightInd w:val="0"/>
        <w:snapToGrid w:val="0"/>
        <w:spacing w:line="360" w:lineRule="auto"/>
        <w:ind w:firstLine="640" w:firstLineChars="200"/>
        <w:rPr>
          <w:rFonts w:ascii="仿宋" w:hAnsi="仿宋" w:eastAsia="仿宋" w:cs="宋体"/>
          <w:kern w:val="0"/>
          <w:sz w:val="32"/>
          <w:szCs w:val="32"/>
        </w:rPr>
      </w:pPr>
      <w:r>
        <w:rPr>
          <w:rFonts w:hint="eastAsia" w:ascii="黑体" w:hAnsi="宋体" w:eastAsia="黑体" w:cs="仿宋"/>
          <w:sz w:val="32"/>
          <w:szCs w:val="32"/>
          <w:lang w:bidi="ar"/>
        </w:rPr>
        <w:t>第三十一条</w:t>
      </w:r>
      <w:r>
        <w:rPr>
          <w:rFonts w:hint="eastAsia" w:ascii="楷体" w:hAnsi="楷体" w:eastAsia="楷体" w:cs="仿宋"/>
          <w:sz w:val="32"/>
          <w:szCs w:val="32"/>
          <w:lang w:bidi="ar"/>
        </w:rPr>
        <w:t xml:space="preserve">  </w:t>
      </w:r>
      <w:r>
        <w:rPr>
          <w:rFonts w:hint="eastAsia" w:ascii="仿宋" w:hAnsi="仿宋" w:eastAsia="仿宋" w:cs="宋体"/>
          <w:kern w:val="0"/>
          <w:sz w:val="32"/>
          <w:szCs w:val="32"/>
          <w:lang w:bidi="ar"/>
        </w:rPr>
        <w:t>因增加举借债务进行的预算调整，预算调整方案报告应当包括政府举借债务的必要性和合法性，本地区以及本级政府债务总体规模、结构和风险情况，本级政府债务资金主要使用方向、项目安排、偿债计划以及财政中长期可持续性等情况。</w:t>
      </w:r>
    </w:p>
    <w:p>
      <w:pPr>
        <w:adjustRightInd w:val="0"/>
        <w:snapToGrid w:val="0"/>
        <w:spacing w:line="360" w:lineRule="auto"/>
        <w:ind w:firstLine="640" w:firstLineChars="200"/>
        <w:rPr>
          <w:rFonts w:ascii="仿宋" w:hAnsi="仿宋" w:eastAsia="仿宋" w:cs="宋体"/>
          <w:kern w:val="0"/>
          <w:sz w:val="32"/>
          <w:szCs w:val="32"/>
        </w:rPr>
      </w:pPr>
      <w:r>
        <w:rPr>
          <w:rFonts w:hint="eastAsia" w:ascii="黑体" w:hAnsi="宋体" w:eastAsia="黑体" w:cs="黑体"/>
          <w:sz w:val="32"/>
          <w:szCs w:val="32"/>
          <w:lang w:bidi="ar"/>
        </w:rPr>
        <w:t>第三十二条</w:t>
      </w:r>
      <w:r>
        <w:rPr>
          <w:rFonts w:hint="eastAsia" w:ascii="楷体" w:hAnsi="楷体" w:eastAsia="楷体" w:cs="仿宋"/>
          <w:sz w:val="32"/>
          <w:szCs w:val="32"/>
          <w:lang w:bidi="ar"/>
        </w:rPr>
        <w:t xml:space="preserve">  </w:t>
      </w:r>
      <w:r>
        <w:rPr>
          <w:rFonts w:hint="eastAsia" w:ascii="仿宋" w:hAnsi="仿宋" w:eastAsia="仿宋" w:cs="宋体"/>
          <w:kern w:val="0"/>
          <w:sz w:val="32"/>
          <w:szCs w:val="32"/>
          <w:lang w:bidi="ar"/>
        </w:rPr>
        <w:t>县级以上人民政府财政部门应当在本级人民代表大会常务委员会举行会议审查批准预算调整方案的三十日前，向本级人民代表大会有关专门委员会和常务委员会有关工作机构报告预算调整方案编制情况，提交预算调整初步方案、调整前后的预算收支对照表和平衡表。</w:t>
      </w:r>
    </w:p>
    <w:p>
      <w:pPr>
        <w:adjustRightInd w:val="0"/>
        <w:snapToGrid w:val="0"/>
        <w:spacing w:line="360" w:lineRule="auto"/>
        <w:ind w:firstLine="640" w:firstLineChars="200"/>
        <w:rPr>
          <w:rFonts w:ascii="仿宋" w:hAnsi="仿宋" w:eastAsia="仿宋" w:cs="宋体"/>
          <w:kern w:val="0"/>
          <w:sz w:val="32"/>
          <w:szCs w:val="32"/>
        </w:rPr>
      </w:pPr>
      <w:r>
        <w:rPr>
          <w:rFonts w:hint="eastAsia" w:ascii="黑体" w:hAnsi="宋体" w:eastAsia="黑体" w:cs="仿宋"/>
          <w:sz w:val="32"/>
          <w:szCs w:val="32"/>
          <w:lang w:bidi="ar"/>
        </w:rPr>
        <w:t>第三十三条</w:t>
      </w:r>
      <w:r>
        <w:rPr>
          <w:rFonts w:hint="eastAsia" w:ascii="楷体" w:hAnsi="楷体" w:eastAsia="楷体" w:cs="仿宋"/>
          <w:sz w:val="32"/>
          <w:szCs w:val="32"/>
          <w:lang w:bidi="ar"/>
        </w:rPr>
        <w:t xml:space="preserve">  </w:t>
      </w:r>
      <w:r>
        <w:rPr>
          <w:rFonts w:hint="eastAsia" w:ascii="仿宋" w:hAnsi="仿宋" w:eastAsia="仿宋" w:cs="宋体"/>
          <w:kern w:val="0"/>
          <w:sz w:val="32"/>
          <w:szCs w:val="32"/>
          <w:lang w:bidi="ar"/>
        </w:rPr>
        <w:t>对预算调整方案，重点审查下列内容：</w:t>
      </w:r>
    </w:p>
    <w:p>
      <w:pPr>
        <w:numPr>
          <w:ilvl w:val="0"/>
          <w:numId w:val="2"/>
        </w:num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是否符合预算法等相关法律、法规的规定；</w:t>
      </w:r>
    </w:p>
    <w:p>
      <w:pPr>
        <w:adjustRightInd w:val="0"/>
        <w:snapToGrid w:val="0"/>
        <w:spacing w:line="360" w:lineRule="auto"/>
        <w:ind w:firstLine="630"/>
        <w:rPr>
          <w:rFonts w:ascii="仿宋" w:hAnsi="仿宋" w:eastAsia="仿宋" w:cs="宋体"/>
          <w:kern w:val="0"/>
          <w:sz w:val="32"/>
          <w:szCs w:val="32"/>
        </w:rPr>
      </w:pPr>
      <w:r>
        <w:rPr>
          <w:rFonts w:hint="eastAsia" w:ascii="仿宋" w:hAnsi="仿宋" w:eastAsia="仿宋" w:cs="宋体"/>
          <w:kern w:val="0"/>
          <w:sz w:val="32"/>
          <w:szCs w:val="32"/>
          <w:lang w:bidi="ar"/>
        </w:rPr>
        <w:t>（二）预算调整的理由和依据是否充分；</w:t>
      </w:r>
    </w:p>
    <w:p>
      <w:pPr>
        <w:adjustRightInd w:val="0"/>
        <w:snapToGrid w:val="0"/>
        <w:spacing w:line="360" w:lineRule="auto"/>
        <w:ind w:firstLine="630"/>
        <w:rPr>
          <w:rFonts w:ascii="仿宋" w:hAnsi="仿宋" w:eastAsia="仿宋" w:cs="宋体"/>
          <w:kern w:val="0"/>
          <w:sz w:val="32"/>
          <w:szCs w:val="32"/>
        </w:rPr>
      </w:pPr>
      <w:r>
        <w:rPr>
          <w:rFonts w:hint="eastAsia" w:ascii="仿宋" w:hAnsi="仿宋" w:eastAsia="仿宋" w:cs="宋体"/>
          <w:kern w:val="0"/>
          <w:sz w:val="32"/>
          <w:szCs w:val="32"/>
          <w:lang w:bidi="ar"/>
        </w:rPr>
        <w:t>（三）实施预算调整方案的措施是否切实可行；</w:t>
      </w:r>
    </w:p>
    <w:p>
      <w:pPr>
        <w:adjustRightInd w:val="0"/>
        <w:snapToGrid w:val="0"/>
        <w:spacing w:line="360" w:lineRule="auto"/>
        <w:ind w:firstLine="630"/>
        <w:rPr>
          <w:rFonts w:ascii="仿宋" w:hAnsi="仿宋" w:eastAsia="仿宋" w:cs="宋体"/>
          <w:kern w:val="0"/>
          <w:sz w:val="32"/>
          <w:szCs w:val="32"/>
        </w:rPr>
      </w:pPr>
      <w:r>
        <w:rPr>
          <w:rFonts w:hint="eastAsia" w:ascii="仿宋" w:hAnsi="仿宋" w:eastAsia="仿宋" w:cs="宋体"/>
          <w:kern w:val="0"/>
          <w:sz w:val="32"/>
          <w:szCs w:val="32"/>
          <w:lang w:bidi="ar"/>
        </w:rPr>
        <w:t>（四）收支结构调整是否合规、合理；</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（五）政府债务限额和政府新增债务规模的合理性；</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（六）一般债务项目的合规性、专项债务项目的科学性；</w:t>
      </w:r>
    </w:p>
    <w:p>
      <w:pPr>
        <w:adjustRightInd w:val="0"/>
        <w:snapToGrid w:val="0"/>
        <w:spacing w:line="360" w:lineRule="auto"/>
        <w:ind w:firstLine="630"/>
        <w:rPr>
          <w:rFonts w:ascii="仿宋" w:hAnsi="仿宋" w:eastAsia="仿宋" w:cs="宋体"/>
          <w:kern w:val="0"/>
          <w:sz w:val="32"/>
          <w:szCs w:val="32"/>
        </w:rPr>
      </w:pPr>
      <w:r>
        <w:rPr>
          <w:rFonts w:hint="eastAsia" w:ascii="仿宋" w:hAnsi="仿宋" w:eastAsia="仿宋" w:cs="宋体"/>
          <w:kern w:val="0"/>
          <w:sz w:val="32"/>
          <w:szCs w:val="32"/>
          <w:lang w:bidi="ar"/>
        </w:rPr>
        <w:t>（七）增加举借债务的，是否有切实可行的偿还计划和稳定的偿还资金来源；</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（八）预算调整有关重要事项的说明是否清晰；</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（九）其他与预算调整有关的重要情况。</w:t>
      </w:r>
    </w:p>
    <w:p>
      <w:pPr>
        <w:adjustRightInd w:val="0"/>
        <w:snapToGrid w:val="0"/>
        <w:spacing w:line="360" w:lineRule="auto"/>
        <w:ind w:firstLine="640" w:firstLineChars="200"/>
        <w:rPr>
          <w:rFonts w:ascii="仿宋" w:hAnsi="仿宋" w:eastAsia="仿宋" w:cs="宋体"/>
          <w:kern w:val="0"/>
          <w:sz w:val="32"/>
          <w:szCs w:val="32"/>
        </w:rPr>
      </w:pPr>
      <w:r>
        <w:rPr>
          <w:rFonts w:hint="eastAsia" w:ascii="黑体" w:hAnsi="宋体" w:eastAsia="黑体" w:cs="仿宋"/>
          <w:sz w:val="32"/>
          <w:szCs w:val="32"/>
          <w:lang w:bidi="ar"/>
        </w:rPr>
        <w:t>第三十四条</w:t>
      </w:r>
      <w:r>
        <w:rPr>
          <w:rFonts w:hint="eastAsia" w:ascii="楷体" w:hAnsi="楷体" w:eastAsia="楷体" w:cs="仿宋"/>
          <w:sz w:val="32"/>
          <w:szCs w:val="32"/>
          <w:lang w:bidi="ar"/>
        </w:rPr>
        <w:t xml:space="preserve">  </w:t>
      </w:r>
      <w:r>
        <w:rPr>
          <w:rFonts w:hint="eastAsia" w:ascii="仿宋" w:hAnsi="仿宋" w:eastAsia="仿宋" w:cs="宋体"/>
          <w:kern w:val="0"/>
          <w:sz w:val="32"/>
          <w:szCs w:val="32"/>
          <w:lang w:bidi="ar"/>
        </w:rPr>
        <w:t>县级以上人民代表大会有关专门委员会向常务委员会提出关于本级预算调整方案的审查结果报告。未设立专门委员会的，由常务委员会有关工作机构向常务委员会提出关于本级预算调整方案的研究意见报告。</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县级以上人民代表大会常务委员会结合审查结果报告或者研究意见报告，审查和批准本级预算调整方案。</w:t>
      </w:r>
    </w:p>
    <w:p>
      <w:pPr>
        <w:adjustRightInd w:val="0"/>
        <w:snapToGrid w:val="0"/>
        <w:spacing w:line="360" w:lineRule="auto"/>
        <w:ind w:firstLine="640" w:firstLineChars="200"/>
        <w:rPr>
          <w:rFonts w:ascii="仿宋_GB2312" w:hAnsi="Times New Roman" w:eastAsia="仿宋_GB2312" w:cs="宋体"/>
          <w:kern w:val="0"/>
          <w:sz w:val="32"/>
          <w:szCs w:val="32"/>
        </w:rPr>
      </w:pPr>
      <w:r>
        <w:rPr>
          <w:rFonts w:ascii="仿宋_GB2312" w:hAnsi="Times New Roman" w:eastAsia="仿宋_GB2312" w:cs="宋体"/>
          <w:kern w:val="0"/>
          <w:sz w:val="32"/>
          <w:szCs w:val="32"/>
          <w:lang w:bidi="ar"/>
        </w:rPr>
        <w:t xml:space="preserve"> </w:t>
      </w:r>
    </w:p>
    <w:p>
      <w:pPr>
        <w:adjustRightInd w:val="0"/>
        <w:snapToGrid w:val="0"/>
        <w:spacing w:line="360" w:lineRule="auto"/>
        <w:jc w:val="center"/>
        <w:rPr>
          <w:rFonts w:ascii="黑体" w:hAnsi="宋体" w:eastAsia="黑体" w:cs="黑体"/>
          <w:sz w:val="32"/>
          <w:szCs w:val="32"/>
        </w:rPr>
      </w:pPr>
      <w:r>
        <w:rPr>
          <w:rFonts w:hint="eastAsia" w:ascii="黑体" w:hAnsi="宋体" w:eastAsia="黑体" w:cs="黑体"/>
          <w:sz w:val="32"/>
          <w:szCs w:val="32"/>
          <w:lang w:bidi="ar"/>
        </w:rPr>
        <w:t>第五章  决算的审查和批准</w:t>
      </w:r>
    </w:p>
    <w:p>
      <w:pPr>
        <w:adjustRightInd w:val="0"/>
        <w:snapToGrid w:val="0"/>
        <w:spacing w:line="360" w:lineRule="auto"/>
        <w:ind w:firstLine="640" w:firstLineChars="200"/>
        <w:rPr>
          <w:rFonts w:ascii="黑体" w:hAnsi="Times New Roman" w:eastAsia="黑体" w:cs="仿宋"/>
          <w:sz w:val="32"/>
          <w:szCs w:val="32"/>
        </w:rPr>
      </w:pPr>
      <w:r>
        <w:rPr>
          <w:rFonts w:hint="eastAsia" w:ascii="黑体" w:hAnsi="Times New Roman" w:eastAsia="黑体" w:cs="仿宋"/>
          <w:sz w:val="32"/>
          <w:szCs w:val="32"/>
          <w:lang w:bidi="ar"/>
        </w:rPr>
        <w:t xml:space="preserve"> </w:t>
      </w:r>
    </w:p>
    <w:p>
      <w:pPr>
        <w:adjustRightInd w:val="0"/>
        <w:snapToGrid w:val="0"/>
        <w:spacing w:line="360" w:lineRule="auto"/>
        <w:ind w:firstLine="640" w:firstLineChars="200"/>
        <w:rPr>
          <w:rFonts w:ascii="仿宋" w:hAnsi="仿宋" w:eastAsia="仿宋" w:cs="宋体"/>
          <w:kern w:val="0"/>
          <w:sz w:val="32"/>
          <w:szCs w:val="32"/>
        </w:rPr>
      </w:pPr>
      <w:r>
        <w:rPr>
          <w:rFonts w:hint="eastAsia" w:ascii="黑体" w:hAnsi="宋体" w:eastAsia="黑体" w:cs="仿宋"/>
          <w:sz w:val="32"/>
          <w:szCs w:val="32"/>
          <w:lang w:bidi="ar"/>
        </w:rPr>
        <w:t>第三十五条</w:t>
      </w:r>
      <w:r>
        <w:rPr>
          <w:rFonts w:hint="eastAsia" w:ascii="楷体" w:hAnsi="楷体" w:eastAsia="楷体" w:cs="仿宋"/>
          <w:sz w:val="32"/>
          <w:szCs w:val="32"/>
          <w:lang w:bidi="ar"/>
        </w:rPr>
        <w:t xml:space="preserve">  </w:t>
      </w:r>
      <w:r>
        <w:rPr>
          <w:rFonts w:hint="eastAsia" w:ascii="仿宋" w:hAnsi="仿宋" w:eastAsia="仿宋" w:cs="宋体"/>
          <w:kern w:val="0"/>
          <w:sz w:val="32"/>
          <w:szCs w:val="32"/>
          <w:lang w:bidi="ar"/>
        </w:rPr>
        <w:t>县级以上人民政府应当在每年六月至九月期间，将上一年度本级决算草案及其报告提请本级人民代表大会常务委员会审查和批准。</w:t>
      </w:r>
    </w:p>
    <w:p>
      <w:pPr>
        <w:adjustRightInd w:val="0"/>
        <w:snapToGrid w:val="0"/>
        <w:spacing w:line="360" w:lineRule="auto"/>
        <w:ind w:firstLine="640" w:firstLineChars="200"/>
        <w:rPr>
          <w:rFonts w:ascii="仿宋" w:hAnsi="仿宋" w:eastAsia="仿宋" w:cs="宋体"/>
          <w:kern w:val="0"/>
          <w:sz w:val="32"/>
          <w:szCs w:val="32"/>
        </w:rPr>
      </w:pPr>
      <w:r>
        <w:rPr>
          <w:rFonts w:hint="eastAsia" w:ascii="黑体" w:hAnsi="宋体" w:eastAsia="黑体" w:cs="仿宋"/>
          <w:sz w:val="32"/>
          <w:szCs w:val="32"/>
          <w:lang w:bidi="ar"/>
        </w:rPr>
        <w:t>第三十六条</w:t>
      </w:r>
      <w:r>
        <w:rPr>
          <w:rFonts w:hint="eastAsia" w:ascii="楷体" w:hAnsi="楷体" w:eastAsia="楷体" w:cs="仿宋"/>
          <w:sz w:val="32"/>
          <w:szCs w:val="32"/>
          <w:lang w:bidi="ar"/>
        </w:rPr>
        <w:t xml:space="preserve">  </w:t>
      </w:r>
      <w:r>
        <w:rPr>
          <w:rFonts w:hint="eastAsia" w:ascii="仿宋" w:hAnsi="仿宋" w:eastAsia="仿宋" w:cs="宋体"/>
          <w:kern w:val="0"/>
          <w:sz w:val="32"/>
          <w:szCs w:val="32"/>
          <w:lang w:bidi="ar"/>
        </w:rPr>
        <w:t>县级以上人</w:t>
      </w:r>
      <w:bookmarkStart w:id="0" w:name="_GoBack"/>
      <w:bookmarkEnd w:id="0"/>
      <w:r>
        <w:rPr>
          <w:rFonts w:hint="eastAsia" w:ascii="仿宋" w:hAnsi="仿宋" w:eastAsia="仿宋" w:cs="宋体"/>
          <w:kern w:val="0"/>
          <w:sz w:val="32"/>
          <w:szCs w:val="32"/>
          <w:lang w:bidi="ar"/>
        </w:rPr>
        <w:t xml:space="preserve">民政府财政部门提交的决算草案应当与预算相对应，按预算数、调整预算数、决算数分别列出，变化较大的应当作出说明，并提供下列材料： </w:t>
      </w:r>
    </w:p>
    <w:p>
      <w:pPr>
        <w:numPr>
          <w:ilvl w:val="0"/>
          <w:numId w:val="3"/>
        </w:numPr>
        <w:adjustRightInd w:val="0"/>
        <w:snapToGrid w:val="0"/>
        <w:spacing w:line="360" w:lineRule="auto"/>
        <w:ind w:left="0" w:leftChars="0" w:firstLine="420" w:firstLineChars="0"/>
        <w:rPr>
          <w:rFonts w:ascii="仿宋" w:hAnsi="仿宋" w:eastAsia="仿宋" w:cs="宋体"/>
          <w:kern w:val="0"/>
          <w:sz w:val="32"/>
          <w:szCs w:val="32"/>
        </w:rPr>
      </w:pPr>
      <w:r>
        <w:rPr>
          <w:rFonts w:hint="eastAsia" w:ascii="仿宋" w:hAnsi="仿宋" w:eastAsia="仿宋" w:cs="宋体"/>
          <w:kern w:val="0"/>
          <w:sz w:val="32"/>
          <w:szCs w:val="32"/>
          <w:lang w:bidi="ar"/>
        </w:rPr>
        <w:t>决算草案的报告；</w:t>
      </w:r>
    </w:p>
    <w:p>
      <w:pPr>
        <w:numPr>
          <w:ilvl w:val="0"/>
          <w:numId w:val="3"/>
        </w:numPr>
        <w:adjustRightInd w:val="0"/>
        <w:snapToGrid w:val="0"/>
        <w:spacing w:line="360" w:lineRule="auto"/>
        <w:ind w:left="0" w:leftChars="0" w:firstLine="420" w:firstLineChars="0"/>
        <w:rPr>
          <w:rFonts w:ascii="仿宋" w:hAnsi="仿宋" w:eastAsia="仿宋" w:cs="宋体"/>
          <w:kern w:val="0"/>
          <w:sz w:val="32"/>
          <w:szCs w:val="32"/>
        </w:rPr>
      </w:pPr>
      <w:r>
        <w:rPr>
          <w:rFonts w:hint="eastAsia" w:ascii="仿宋" w:hAnsi="仿宋" w:eastAsia="仿宋" w:cs="宋体"/>
          <w:kern w:val="0"/>
          <w:sz w:val="32"/>
          <w:szCs w:val="32"/>
          <w:lang w:bidi="ar"/>
        </w:rPr>
        <w:t>部门决算草案；</w:t>
      </w:r>
    </w:p>
    <w:p>
      <w:pPr>
        <w:numPr>
          <w:ilvl w:val="0"/>
          <w:numId w:val="3"/>
        </w:numPr>
        <w:adjustRightInd w:val="0"/>
        <w:snapToGrid w:val="0"/>
        <w:spacing w:line="360" w:lineRule="auto"/>
        <w:ind w:left="0" w:leftChars="0" w:firstLine="420" w:firstLineChars="0"/>
        <w:rPr>
          <w:rFonts w:ascii="仿宋" w:hAnsi="仿宋" w:eastAsia="仿宋" w:cs="宋体"/>
          <w:kern w:val="0"/>
          <w:sz w:val="32"/>
          <w:szCs w:val="32"/>
        </w:rPr>
      </w:pPr>
      <w:r>
        <w:rPr>
          <w:rFonts w:hint="eastAsia" w:ascii="仿宋" w:hAnsi="仿宋" w:eastAsia="仿宋" w:cs="宋体"/>
          <w:kern w:val="0"/>
          <w:sz w:val="32"/>
          <w:szCs w:val="32"/>
          <w:lang w:bidi="ar"/>
        </w:rPr>
        <w:t>政府重大投资项目预算执行情况表；</w:t>
      </w:r>
    </w:p>
    <w:p>
      <w:pPr>
        <w:numPr>
          <w:ilvl w:val="0"/>
          <w:numId w:val="3"/>
        </w:numPr>
        <w:adjustRightInd w:val="0"/>
        <w:snapToGrid w:val="0"/>
        <w:spacing w:line="360" w:lineRule="auto"/>
        <w:ind w:left="0" w:leftChars="0" w:firstLine="420" w:firstLineChars="0"/>
        <w:rPr>
          <w:rFonts w:ascii="仿宋" w:hAnsi="仿宋" w:eastAsia="仿宋" w:cs="宋体"/>
          <w:kern w:val="0"/>
          <w:sz w:val="32"/>
          <w:szCs w:val="32"/>
        </w:rPr>
      </w:pPr>
      <w:r>
        <w:rPr>
          <w:rFonts w:hint="eastAsia" w:ascii="仿宋" w:hAnsi="仿宋" w:eastAsia="仿宋" w:cs="宋体"/>
          <w:kern w:val="0"/>
          <w:sz w:val="32"/>
          <w:szCs w:val="32"/>
          <w:lang w:bidi="ar"/>
        </w:rPr>
        <w:t>财政转移支付预算执行情况表；</w:t>
      </w:r>
    </w:p>
    <w:p>
      <w:pPr>
        <w:numPr>
          <w:ilvl w:val="0"/>
          <w:numId w:val="3"/>
        </w:numPr>
        <w:adjustRightInd w:val="0"/>
        <w:snapToGrid w:val="0"/>
        <w:spacing w:line="360" w:lineRule="auto"/>
        <w:ind w:left="0" w:leftChars="0" w:firstLine="420" w:firstLineChars="0"/>
        <w:rPr>
          <w:rFonts w:ascii="仿宋" w:hAnsi="仿宋" w:eastAsia="仿宋" w:cs="宋体"/>
          <w:kern w:val="0"/>
          <w:sz w:val="32"/>
          <w:szCs w:val="32"/>
        </w:rPr>
      </w:pPr>
      <w:r>
        <w:rPr>
          <w:rFonts w:hint="eastAsia" w:ascii="仿宋" w:hAnsi="仿宋" w:eastAsia="仿宋" w:cs="宋体"/>
          <w:kern w:val="0"/>
          <w:sz w:val="32"/>
          <w:szCs w:val="32"/>
          <w:lang w:bidi="ar"/>
        </w:rPr>
        <w:t>政府债务规模、变动、结构、余额情况表；</w:t>
      </w:r>
    </w:p>
    <w:p>
      <w:pPr>
        <w:numPr>
          <w:ilvl w:val="0"/>
          <w:numId w:val="3"/>
        </w:numPr>
        <w:adjustRightInd w:val="0"/>
        <w:snapToGrid w:val="0"/>
        <w:spacing w:line="360" w:lineRule="auto"/>
        <w:ind w:left="0" w:leftChars="0" w:firstLine="420" w:firstLineChars="0"/>
        <w:rPr>
          <w:rFonts w:ascii="仿宋" w:hAnsi="仿宋" w:eastAsia="仿宋" w:cs="宋体"/>
          <w:kern w:val="0"/>
          <w:sz w:val="32"/>
          <w:szCs w:val="32"/>
        </w:rPr>
      </w:pPr>
      <w:r>
        <w:rPr>
          <w:rFonts w:hint="eastAsia" w:ascii="仿宋" w:hAnsi="仿宋" w:eastAsia="仿宋" w:cs="宋体"/>
          <w:kern w:val="0"/>
          <w:sz w:val="32"/>
          <w:szCs w:val="32"/>
          <w:lang w:bidi="ar"/>
        </w:rPr>
        <w:t>关于决算的其他材料。</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一般公共预算支出应当按其功能分类编列到项，按其经济性质分类编列到款；本级政府性基金预算、国有资本经营预算、社会保险基金预算支出，应当按其功能分类编列到项。</w:t>
      </w:r>
    </w:p>
    <w:p>
      <w:pPr>
        <w:adjustRightInd w:val="0"/>
        <w:snapToGrid w:val="0"/>
        <w:spacing w:line="360" w:lineRule="auto"/>
        <w:ind w:firstLine="640" w:firstLineChars="200"/>
        <w:rPr>
          <w:rFonts w:ascii="仿宋" w:hAnsi="仿宋" w:eastAsia="仿宋" w:cs="宋体"/>
          <w:kern w:val="0"/>
          <w:sz w:val="32"/>
          <w:szCs w:val="32"/>
        </w:rPr>
      </w:pPr>
      <w:r>
        <w:rPr>
          <w:rFonts w:hint="eastAsia" w:ascii="黑体" w:hAnsi="宋体" w:eastAsia="黑体" w:cs="仿宋"/>
          <w:sz w:val="32"/>
          <w:szCs w:val="32"/>
          <w:lang w:bidi="ar"/>
        </w:rPr>
        <w:t>第三十七条</w:t>
      </w:r>
      <w:r>
        <w:rPr>
          <w:rFonts w:hint="eastAsia" w:ascii="楷体" w:hAnsi="楷体" w:eastAsia="楷体" w:cs="仿宋"/>
          <w:sz w:val="32"/>
          <w:szCs w:val="32"/>
          <w:lang w:bidi="ar"/>
        </w:rPr>
        <w:t xml:space="preserve">  </w:t>
      </w:r>
      <w:r>
        <w:rPr>
          <w:rFonts w:hint="eastAsia" w:ascii="仿宋" w:hAnsi="仿宋" w:eastAsia="仿宋" w:cs="宋体"/>
          <w:kern w:val="0"/>
          <w:sz w:val="32"/>
          <w:szCs w:val="32"/>
          <w:lang w:bidi="ar"/>
        </w:rPr>
        <w:t>决算草案的报告应当包括下列内容：</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（一）贯彻落实国家以及本地区国民经济和社会发展重大方针政策、决策部署的主要情况；</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（二）重大收支政策落实情况；</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（三）收入和支出预算调整以及决算情况，收支平衡情况及其与本级人民代表大会批准的上一年度预算执行情况报告所反映情况的差异以及原因；</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（四）政府债务规模、结构、使用、偿还、项目实施绩效情况，重大建设项目资金到位、项目实施、资金管理等阶段性情况；</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（五）重点支出和重大投资项目预算的执行情况以及资金使用绩效总体情况；</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（六）上级财政补助资金的安排和使用情况；</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（七）其他需要报告的事项。</w:t>
      </w:r>
    </w:p>
    <w:p>
      <w:pPr>
        <w:adjustRightInd w:val="0"/>
        <w:snapToGrid w:val="0"/>
        <w:spacing w:line="360" w:lineRule="auto"/>
        <w:ind w:firstLine="640" w:firstLineChars="200"/>
        <w:rPr>
          <w:rFonts w:ascii="仿宋" w:hAnsi="仿宋" w:eastAsia="仿宋" w:cs="宋体"/>
          <w:kern w:val="0"/>
          <w:sz w:val="32"/>
          <w:szCs w:val="32"/>
        </w:rPr>
      </w:pPr>
      <w:r>
        <w:rPr>
          <w:rFonts w:hint="eastAsia" w:ascii="黑体" w:hAnsi="宋体" w:eastAsia="黑体" w:cs="仿宋"/>
          <w:sz w:val="32"/>
          <w:szCs w:val="32"/>
          <w:lang w:bidi="ar"/>
        </w:rPr>
        <w:t>第三十八条</w:t>
      </w:r>
      <w:r>
        <w:rPr>
          <w:rFonts w:hint="eastAsia" w:ascii="楷体" w:hAnsi="楷体" w:eastAsia="楷体" w:cs="仿宋"/>
          <w:sz w:val="32"/>
          <w:szCs w:val="32"/>
          <w:lang w:bidi="ar"/>
        </w:rPr>
        <w:t xml:space="preserve">  </w:t>
      </w:r>
      <w:r>
        <w:rPr>
          <w:rFonts w:hint="eastAsia" w:ascii="仿宋" w:hAnsi="仿宋" w:eastAsia="仿宋" w:cs="宋体"/>
          <w:kern w:val="0"/>
          <w:sz w:val="32"/>
          <w:szCs w:val="32"/>
          <w:lang w:bidi="ar"/>
        </w:rPr>
        <w:t>县级以上人民政府财政部门应当在本级人民代表大会常务委员会举行会议审查和批准决算草案的三十日前，向人民代表大会有关专门委员会和常务委员会有关工作机构报告本级决算草案编制情况，提交本级决算草案等相关材料；县级以上人民政府审计部门应当向本级人民代表大会有关专门委员会和常务委员会有关工作机构报告上一年度预算执行和其他财政收支的审计工作情况。</w:t>
      </w:r>
    </w:p>
    <w:p>
      <w:pPr>
        <w:adjustRightInd w:val="0"/>
        <w:snapToGrid w:val="0"/>
        <w:spacing w:line="360" w:lineRule="auto"/>
        <w:ind w:firstLine="640" w:firstLineChars="200"/>
        <w:rPr>
          <w:rFonts w:ascii="仿宋" w:hAnsi="仿宋" w:eastAsia="仿宋" w:cs="宋体"/>
          <w:kern w:val="0"/>
          <w:sz w:val="32"/>
          <w:szCs w:val="32"/>
        </w:rPr>
      </w:pPr>
      <w:r>
        <w:rPr>
          <w:rFonts w:hint="eastAsia" w:ascii="黑体" w:hAnsi="宋体" w:eastAsia="黑体" w:cs="仿宋"/>
          <w:sz w:val="32"/>
          <w:szCs w:val="32"/>
          <w:lang w:bidi="ar"/>
        </w:rPr>
        <w:t>第三十九条</w:t>
      </w:r>
      <w:r>
        <w:rPr>
          <w:rFonts w:hint="eastAsia" w:ascii="楷体" w:hAnsi="楷体" w:eastAsia="楷体" w:cs="仿宋"/>
          <w:sz w:val="32"/>
          <w:szCs w:val="32"/>
          <w:lang w:bidi="ar"/>
        </w:rPr>
        <w:t xml:space="preserve">  </w:t>
      </w:r>
      <w:r>
        <w:rPr>
          <w:rFonts w:hint="eastAsia" w:ascii="仿宋" w:hAnsi="仿宋" w:eastAsia="仿宋" w:cs="宋体"/>
          <w:kern w:val="0"/>
          <w:sz w:val="32"/>
          <w:szCs w:val="32"/>
          <w:lang w:bidi="ar"/>
        </w:rPr>
        <w:t>县级以上人民代表大会常务委员会应当加强政府债务资金审查。重点审查下列内容：</w:t>
      </w:r>
    </w:p>
    <w:p>
      <w:pPr>
        <w:numPr>
          <w:ilvl w:val="0"/>
          <w:numId w:val="4"/>
        </w:num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是否存在因虚列收入、隐瞒支出和超预算支出在预算批准限额之外形成新的债务等情况；</w:t>
      </w:r>
    </w:p>
    <w:p>
      <w:pPr>
        <w:numPr>
          <w:ilvl w:val="0"/>
          <w:numId w:val="4"/>
        </w:num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债务资金有无挪用、长期闲置、损失浪费等情况；</w:t>
      </w:r>
    </w:p>
    <w:p>
      <w:pPr>
        <w:numPr>
          <w:ilvl w:val="0"/>
          <w:numId w:val="4"/>
        </w:num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政府债务规模、结构、使用、偿还和项目实施等情况；</w:t>
      </w:r>
    </w:p>
    <w:p>
      <w:pPr>
        <w:numPr>
          <w:ilvl w:val="0"/>
          <w:numId w:val="4"/>
        </w:num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专项债务资金项目的收入、支出、还本付息、资产、绩效等情况；</w:t>
      </w:r>
    </w:p>
    <w:p>
      <w:pPr>
        <w:numPr>
          <w:ilvl w:val="0"/>
          <w:numId w:val="4"/>
        </w:num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重大建设项目实施情况。</w:t>
      </w:r>
    </w:p>
    <w:p>
      <w:pPr>
        <w:adjustRightInd w:val="0"/>
        <w:snapToGrid w:val="0"/>
        <w:spacing w:line="360" w:lineRule="auto"/>
        <w:ind w:firstLine="640" w:firstLineChars="200"/>
        <w:rPr>
          <w:rFonts w:ascii="仿宋" w:hAnsi="仿宋" w:eastAsia="仿宋" w:cs="宋体"/>
          <w:kern w:val="0"/>
          <w:sz w:val="32"/>
          <w:szCs w:val="32"/>
        </w:rPr>
      </w:pPr>
      <w:r>
        <w:rPr>
          <w:rFonts w:hint="eastAsia" w:ascii="黑体" w:hAnsi="宋体" w:eastAsia="黑体" w:cs="仿宋"/>
          <w:sz w:val="32"/>
          <w:szCs w:val="32"/>
          <w:lang w:bidi="ar"/>
        </w:rPr>
        <w:t>第四十条</w:t>
      </w:r>
      <w:r>
        <w:rPr>
          <w:rFonts w:hint="eastAsia" w:ascii="楷体" w:hAnsi="楷体" w:eastAsia="楷体" w:cs="仿宋"/>
          <w:sz w:val="32"/>
          <w:szCs w:val="32"/>
          <w:lang w:bidi="ar"/>
        </w:rPr>
        <w:t xml:space="preserve">  </w:t>
      </w:r>
      <w:r>
        <w:rPr>
          <w:rFonts w:hint="eastAsia" w:ascii="仿宋" w:hAnsi="仿宋" w:eastAsia="仿宋" w:cs="宋体"/>
          <w:kern w:val="0"/>
          <w:sz w:val="32"/>
          <w:szCs w:val="32"/>
          <w:lang w:bidi="ar"/>
        </w:rPr>
        <w:t>县级以上人民代表大会常务委员会应当加强对重点支出和重大投资项目绩效目标、绩效评价结果的审查监督。各部门、各单位重点支出、重大投资项目支出和政府债券资金使用等重要绩效评价结果与决算草案同步报送本级人民代表大会常务委员会审查。</w:t>
      </w:r>
    </w:p>
    <w:p>
      <w:pPr>
        <w:adjustRightInd w:val="0"/>
        <w:snapToGrid w:val="0"/>
        <w:spacing w:line="360" w:lineRule="auto"/>
        <w:ind w:firstLine="640" w:firstLineChars="200"/>
        <w:rPr>
          <w:rFonts w:ascii="仿宋" w:hAnsi="仿宋" w:eastAsia="仿宋" w:cs="宋体"/>
          <w:kern w:val="0"/>
          <w:sz w:val="32"/>
          <w:szCs w:val="32"/>
        </w:rPr>
      </w:pPr>
      <w:r>
        <w:rPr>
          <w:rFonts w:hint="eastAsia" w:ascii="黑体" w:hAnsi="宋体" w:eastAsia="黑体" w:cs="仿宋"/>
          <w:sz w:val="32"/>
          <w:szCs w:val="32"/>
          <w:lang w:bidi="ar"/>
        </w:rPr>
        <w:t>第四十一条</w:t>
      </w:r>
      <w:r>
        <w:rPr>
          <w:rFonts w:hint="eastAsia" w:ascii="楷体" w:hAnsi="楷体" w:eastAsia="楷体" w:cs="仿宋"/>
          <w:sz w:val="32"/>
          <w:szCs w:val="32"/>
          <w:lang w:bidi="ar"/>
        </w:rPr>
        <w:t xml:space="preserve">  </w:t>
      </w:r>
      <w:r>
        <w:rPr>
          <w:rFonts w:hint="eastAsia" w:ascii="仿宋" w:hAnsi="仿宋" w:eastAsia="仿宋" w:cs="宋体"/>
          <w:kern w:val="0"/>
          <w:sz w:val="32"/>
          <w:szCs w:val="32"/>
          <w:lang w:bidi="ar"/>
        </w:rPr>
        <w:t>县级以上人民代表大会有关专门委员会向常务委员会提出关于本级决算草案的审查结果报告。未设立专门委员会的，由常务委员会有关工作机构向常务委员会提出关于本级决算草案的研究意见报告。</w:t>
      </w:r>
    </w:p>
    <w:p>
      <w:pPr>
        <w:adjustRightInd w:val="0"/>
        <w:snapToGrid w:val="0"/>
        <w:spacing w:line="360" w:lineRule="auto"/>
        <w:ind w:firstLine="640" w:firstLineChars="200"/>
        <w:rPr>
          <w:rFonts w:ascii="仿宋" w:hAnsi="仿宋" w:eastAsia="仿宋" w:cs="宋体"/>
          <w:kern w:val="0"/>
          <w:sz w:val="32"/>
          <w:szCs w:val="32"/>
        </w:rPr>
      </w:pPr>
      <w:r>
        <w:rPr>
          <w:rFonts w:hint="eastAsia" w:ascii="黑体" w:hAnsi="宋体" w:eastAsia="黑体" w:cs="仿宋"/>
          <w:sz w:val="32"/>
          <w:szCs w:val="32"/>
          <w:lang w:bidi="ar"/>
        </w:rPr>
        <w:t>第四十二条</w:t>
      </w:r>
      <w:r>
        <w:rPr>
          <w:rFonts w:hint="eastAsia" w:ascii="楷体" w:hAnsi="楷体" w:eastAsia="楷体" w:cs="仿宋"/>
          <w:sz w:val="32"/>
          <w:szCs w:val="32"/>
          <w:lang w:bidi="ar"/>
        </w:rPr>
        <w:t xml:space="preserve">  </w:t>
      </w:r>
      <w:r>
        <w:rPr>
          <w:rFonts w:hint="eastAsia" w:ascii="仿宋" w:hAnsi="仿宋" w:eastAsia="仿宋" w:cs="宋体"/>
          <w:kern w:val="0"/>
          <w:sz w:val="32"/>
          <w:szCs w:val="32"/>
          <w:lang w:bidi="ar"/>
        </w:rPr>
        <w:t>县级以上人民政府在提请本级人民代表大会常务委员会审查和批准本级决算草案时，应当提出审计部门对预算执行和其他财政收支的审计工作报告。</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审计工作报告应当重点报告下列内容：</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（一）本级预算执行、部门预算执行和其他财政收支的审计情况；</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（二）财政政策执行、重要政策实施和财政资金绩效管理的审计情况；</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（三）重大建设项目预算执行的审计情况；</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（四）政府债务管理、使用的审计情况；</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（五）查出问题的原因分析、意见和建议；</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（六）其他需要报告的重要情况。</w:t>
      </w:r>
    </w:p>
    <w:p>
      <w:pPr>
        <w:adjustRightInd w:val="0"/>
        <w:snapToGrid w:val="0"/>
        <w:spacing w:line="360" w:lineRule="auto"/>
        <w:ind w:firstLine="640" w:firstLineChars="200"/>
        <w:rPr>
          <w:rFonts w:ascii="仿宋" w:hAnsi="仿宋" w:eastAsia="仿宋" w:cs="宋体"/>
          <w:kern w:val="0"/>
          <w:sz w:val="32"/>
          <w:szCs w:val="32"/>
        </w:rPr>
      </w:pPr>
      <w:r>
        <w:rPr>
          <w:rFonts w:hint="eastAsia" w:ascii="黑体" w:hAnsi="宋体" w:eastAsia="黑体" w:cs="仿宋"/>
          <w:sz w:val="32"/>
          <w:szCs w:val="32"/>
          <w:lang w:bidi="ar"/>
        </w:rPr>
        <w:t>第四十三条</w:t>
      </w:r>
      <w:r>
        <w:rPr>
          <w:rFonts w:hint="eastAsia" w:ascii="楷体" w:hAnsi="楷体" w:eastAsia="楷体" w:cs="仿宋"/>
          <w:sz w:val="32"/>
          <w:szCs w:val="32"/>
          <w:lang w:bidi="ar"/>
        </w:rPr>
        <w:t xml:space="preserve">  </w:t>
      </w:r>
      <w:r>
        <w:rPr>
          <w:rFonts w:hint="eastAsia" w:ascii="仿宋" w:hAnsi="仿宋" w:eastAsia="仿宋" w:cs="宋体"/>
          <w:kern w:val="0"/>
          <w:sz w:val="32"/>
          <w:szCs w:val="32"/>
          <w:lang w:bidi="ar"/>
        </w:rPr>
        <w:t>县级以上人民代表大会常务委员会举行会议时，常务委员会组成人员就决算草案及其报告、审计工作报告中的有关问题提出询问，本级人民政府及其财政、审计等有关部门负责人应当到会，回答询问。</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县级以上人民代表大会有关专门委员会或者常务委员会有关工作机构认为必要，经常务委员会主任会议研究同意，可以要求被审计单位负责人列席常务委员会会议，听取意见和建议，回答询问。</w:t>
      </w:r>
    </w:p>
    <w:p>
      <w:pPr>
        <w:adjustRightInd w:val="0"/>
        <w:snapToGrid w:val="0"/>
        <w:spacing w:line="360" w:lineRule="auto"/>
        <w:ind w:firstLine="640" w:firstLineChars="200"/>
        <w:rPr>
          <w:rFonts w:ascii="仿宋" w:hAnsi="仿宋" w:eastAsia="仿宋" w:cs="宋体"/>
          <w:kern w:val="0"/>
          <w:sz w:val="32"/>
          <w:szCs w:val="32"/>
        </w:rPr>
      </w:pPr>
      <w:r>
        <w:rPr>
          <w:rFonts w:hint="eastAsia" w:ascii="黑体" w:hAnsi="宋体" w:eastAsia="黑体" w:cs="仿宋"/>
          <w:sz w:val="32"/>
          <w:szCs w:val="32"/>
          <w:lang w:bidi="ar"/>
        </w:rPr>
        <w:t>第四十四条</w:t>
      </w:r>
      <w:r>
        <w:rPr>
          <w:rFonts w:hint="eastAsia" w:ascii="楷体" w:hAnsi="楷体" w:eastAsia="楷体" w:cs="仿宋"/>
          <w:sz w:val="32"/>
          <w:szCs w:val="32"/>
          <w:lang w:bidi="ar"/>
        </w:rPr>
        <w:t xml:space="preserve">  </w:t>
      </w:r>
      <w:r>
        <w:rPr>
          <w:rFonts w:hint="eastAsia" w:ascii="仿宋" w:hAnsi="仿宋" w:eastAsia="仿宋" w:cs="宋体"/>
          <w:kern w:val="0"/>
          <w:sz w:val="32"/>
          <w:szCs w:val="32"/>
          <w:lang w:bidi="ar"/>
        </w:rPr>
        <w:t>县级以上人民代表大会常务委员会应当运用听取和审议专项工作报告、专题询问、满意度测评等方式，对审计查出问题整改情况开展跟踪监督，推动建立健全整改长效机制。每年年末听取本级人民政府关于上一年度本级预算执行和其他财政收支审计查出问题整改情况的报告，人民政府负责人或者人民政府委托的有关部门负责人到会报告整改情况。</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县级以上人民代表大会常务委员会根据需要，可以听取存在审计查出突出问题的责任部门、单位的报告。</w:t>
      </w:r>
    </w:p>
    <w:p>
      <w:pPr>
        <w:adjustRightInd w:val="0"/>
        <w:snapToGrid w:val="0"/>
        <w:spacing w:line="360" w:lineRule="auto"/>
        <w:ind w:firstLine="640" w:firstLineChars="200"/>
        <w:rPr>
          <w:rFonts w:ascii="仿宋" w:hAnsi="仿宋" w:eastAsia="仿宋" w:cs="宋体"/>
          <w:kern w:val="0"/>
          <w:sz w:val="32"/>
          <w:szCs w:val="32"/>
        </w:rPr>
      </w:pPr>
      <w:r>
        <w:rPr>
          <w:rFonts w:hint="eastAsia" w:ascii="黑体" w:hAnsi="宋体" w:eastAsia="黑体" w:cs="仿宋"/>
          <w:sz w:val="32"/>
          <w:szCs w:val="32"/>
          <w:lang w:bidi="ar"/>
        </w:rPr>
        <w:t>第四十五条</w:t>
      </w:r>
      <w:r>
        <w:rPr>
          <w:rFonts w:hint="eastAsia" w:ascii="楷体" w:hAnsi="楷体" w:eastAsia="楷体" w:cs="仿宋"/>
          <w:sz w:val="32"/>
          <w:szCs w:val="32"/>
          <w:lang w:bidi="ar"/>
        </w:rPr>
        <w:t xml:space="preserve">  </w:t>
      </w:r>
      <w:r>
        <w:rPr>
          <w:rFonts w:hint="eastAsia" w:ascii="仿宋" w:hAnsi="仿宋" w:eastAsia="仿宋" w:cs="宋体"/>
          <w:kern w:val="0"/>
          <w:sz w:val="32"/>
          <w:szCs w:val="32"/>
          <w:lang w:bidi="ar"/>
        </w:rPr>
        <w:t>审计查出问题整改情况的报告应当包括下列内容：</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（一）本级人民代表大会常务委员会有关决议以及审议意见的落实情况；</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（二）审计查出问题的整改情况以及突出问题的整改详细清单；</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（三）被审计单位建立健全财务管理以及相关规章制度情况；</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（四）尚未完成整改的问题、原因，进一步落实整改的建议；</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（五）其他需要报告的重要情况。</w:t>
      </w:r>
    </w:p>
    <w:p>
      <w:pPr>
        <w:adjustRightInd w:val="0"/>
        <w:snapToGrid w:val="0"/>
        <w:spacing w:line="360" w:lineRule="auto"/>
        <w:ind w:firstLine="640" w:firstLineChars="200"/>
        <w:rPr>
          <w:rFonts w:ascii="仿宋_GB2312" w:hAnsi="微软雅黑" w:eastAsia="仿宋_GB2312" w:cs="仿宋_GB2312"/>
          <w:sz w:val="32"/>
          <w:szCs w:val="32"/>
          <w:shd w:val="clear" w:color="auto" w:fill="FFFFFF"/>
        </w:rPr>
      </w:pPr>
      <w:r>
        <w:rPr>
          <w:rFonts w:ascii="仿宋_GB2312" w:hAnsi="微软雅黑" w:eastAsia="仿宋_GB2312" w:cs="仿宋_GB2312"/>
          <w:sz w:val="32"/>
          <w:szCs w:val="32"/>
          <w:shd w:val="clear" w:color="auto" w:fill="FFFFFF"/>
          <w:lang w:bidi="ar"/>
        </w:rPr>
        <w:t xml:space="preserve"> </w:t>
      </w:r>
    </w:p>
    <w:p>
      <w:pPr>
        <w:adjustRightInd w:val="0"/>
        <w:snapToGrid w:val="0"/>
        <w:spacing w:line="360" w:lineRule="auto"/>
        <w:jc w:val="center"/>
        <w:rPr>
          <w:rFonts w:ascii="黑体" w:hAnsi="宋体" w:eastAsia="黑体" w:cs="黑体"/>
          <w:sz w:val="32"/>
          <w:szCs w:val="32"/>
        </w:rPr>
      </w:pPr>
      <w:r>
        <w:rPr>
          <w:rFonts w:hint="eastAsia" w:ascii="黑体" w:hAnsi="宋体" w:eastAsia="黑体" w:cs="黑体"/>
          <w:sz w:val="32"/>
          <w:szCs w:val="32"/>
          <w:lang w:bidi="ar"/>
        </w:rPr>
        <w:t>第六章  备案和公开</w:t>
      </w:r>
    </w:p>
    <w:p>
      <w:pPr>
        <w:adjustRightInd w:val="0"/>
        <w:snapToGrid w:val="0"/>
        <w:spacing w:line="360" w:lineRule="auto"/>
        <w:ind w:firstLine="640" w:firstLineChars="200"/>
        <w:rPr>
          <w:rFonts w:ascii="仿宋" w:hAnsi="仿宋" w:eastAsia="仿宋" w:cs="宋体"/>
          <w:kern w:val="0"/>
          <w:sz w:val="32"/>
          <w:szCs w:val="32"/>
        </w:rPr>
      </w:pPr>
      <w:r>
        <w:rPr>
          <w:rFonts w:hint="eastAsia" w:ascii="黑体" w:hAnsi="Times New Roman" w:eastAsia="黑体" w:cs="仿宋"/>
          <w:sz w:val="32"/>
          <w:szCs w:val="32"/>
          <w:lang w:bidi="ar"/>
        </w:rPr>
        <w:t xml:space="preserve"> </w:t>
      </w:r>
    </w:p>
    <w:p>
      <w:pPr>
        <w:adjustRightInd w:val="0"/>
        <w:snapToGrid w:val="0"/>
        <w:spacing w:line="360" w:lineRule="auto"/>
        <w:ind w:firstLine="640" w:firstLineChars="200"/>
        <w:rPr>
          <w:rFonts w:ascii="仿宋" w:hAnsi="仿宋" w:eastAsia="仿宋" w:cs="宋体"/>
          <w:kern w:val="0"/>
          <w:sz w:val="32"/>
          <w:szCs w:val="32"/>
        </w:rPr>
      </w:pPr>
      <w:r>
        <w:rPr>
          <w:rFonts w:hint="eastAsia" w:ascii="黑体" w:hAnsi="宋体" w:eastAsia="黑体" w:cs="仿宋"/>
          <w:sz w:val="32"/>
          <w:szCs w:val="32"/>
          <w:lang w:bidi="ar"/>
        </w:rPr>
        <w:t xml:space="preserve">第四十六条  </w:t>
      </w:r>
      <w:r>
        <w:rPr>
          <w:rFonts w:hint="eastAsia" w:ascii="仿宋" w:hAnsi="仿宋" w:eastAsia="仿宋" w:cs="宋体"/>
          <w:kern w:val="0"/>
          <w:sz w:val="32"/>
          <w:szCs w:val="32"/>
          <w:lang w:bidi="ar"/>
        </w:rPr>
        <w:t>县级以上人民政府财政部门应当按年度编制以权责发生制为基础的政府综合财务报告，并按照有关规定审计后报本级人民代表大会常务委员会备案。本级人民代表大会常务委员会有关工作机构负责备案的具体工作。</w:t>
      </w:r>
    </w:p>
    <w:p>
      <w:pPr>
        <w:adjustRightInd w:val="0"/>
        <w:snapToGrid w:val="0"/>
        <w:spacing w:line="360" w:lineRule="auto"/>
        <w:ind w:firstLine="640" w:firstLineChars="200"/>
        <w:rPr>
          <w:rFonts w:ascii="仿宋" w:hAnsi="仿宋" w:eastAsia="仿宋" w:cs="宋体"/>
          <w:kern w:val="0"/>
          <w:sz w:val="32"/>
          <w:szCs w:val="32"/>
        </w:rPr>
      </w:pPr>
      <w:r>
        <w:rPr>
          <w:rFonts w:hint="eastAsia" w:ascii="黑体" w:hAnsi="宋体" w:eastAsia="黑体" w:cs="仿宋"/>
          <w:sz w:val="32"/>
          <w:szCs w:val="32"/>
          <w:lang w:bidi="ar"/>
        </w:rPr>
        <w:t>第四十七条</w:t>
      </w:r>
      <w:r>
        <w:rPr>
          <w:rFonts w:hint="eastAsia" w:ascii="楷体" w:hAnsi="楷体" w:eastAsia="楷体" w:cs="仿宋"/>
          <w:sz w:val="32"/>
          <w:szCs w:val="32"/>
          <w:lang w:bidi="ar"/>
        </w:rPr>
        <w:t xml:space="preserve">  </w:t>
      </w:r>
      <w:r>
        <w:rPr>
          <w:rFonts w:hint="eastAsia" w:ascii="仿宋" w:hAnsi="仿宋" w:eastAsia="仿宋" w:cs="宋体"/>
          <w:kern w:val="0"/>
          <w:sz w:val="32"/>
          <w:szCs w:val="32"/>
          <w:lang w:bidi="ar"/>
        </w:rPr>
        <w:t>经本级人民代表大会或者本级人民代表大会常务委员会批准的预算、预算调整、决算、预算执行情况的报告以及报表，应当在批准后二十日内由本级人民政府财政部门向社会公开，并对本级人民政府财政转移支付安排、执行的情况以及举借债务的情况等重要事项作出说明。</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经本级人民政府财政部门批复的部门预算、决算以及报表，应当在批复后二十日内由各部门向社会公开，并对部门预算、决算中机关运行经费的安排、使用情况等重要事项作出说明。</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县级以上人民政府、各部门、各单位应当将政府采购的情况及时向社会公开。</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以上公开事项，涉及国家秘密的除外。</w:t>
      </w:r>
    </w:p>
    <w:p>
      <w:pPr>
        <w:adjustRightInd w:val="0"/>
        <w:snapToGrid w:val="0"/>
        <w:spacing w:line="360" w:lineRule="auto"/>
        <w:ind w:firstLine="640" w:firstLineChars="200"/>
        <w:rPr>
          <w:rFonts w:ascii="仿宋" w:hAnsi="仿宋" w:eastAsia="仿宋" w:cs="宋体"/>
          <w:kern w:val="0"/>
          <w:sz w:val="32"/>
          <w:szCs w:val="32"/>
        </w:rPr>
      </w:pPr>
      <w:r>
        <w:rPr>
          <w:rFonts w:hint="eastAsia" w:ascii="黑体" w:hAnsi="宋体" w:eastAsia="黑体" w:cs="仿宋"/>
          <w:sz w:val="32"/>
          <w:szCs w:val="32"/>
          <w:lang w:bidi="ar"/>
        </w:rPr>
        <w:t>第四十八条</w:t>
      </w:r>
      <w:r>
        <w:rPr>
          <w:rFonts w:hint="eastAsia" w:ascii="楷体" w:hAnsi="楷体" w:eastAsia="楷体" w:cs="仿宋"/>
          <w:sz w:val="32"/>
          <w:szCs w:val="32"/>
          <w:lang w:bidi="ar"/>
        </w:rPr>
        <w:t xml:space="preserve">  </w:t>
      </w:r>
      <w:r>
        <w:rPr>
          <w:rFonts w:hint="eastAsia" w:ascii="仿宋" w:hAnsi="仿宋" w:eastAsia="仿宋" w:cs="宋体"/>
          <w:kern w:val="0"/>
          <w:sz w:val="32"/>
          <w:szCs w:val="32"/>
          <w:lang w:bidi="ar"/>
        </w:rPr>
        <w:t>县级以上人民政府及其有关部门应当在门户网站设立预算公开专栏，公开信息，并保持长期公开状态，便于社会公众查询监督。</w:t>
      </w:r>
    </w:p>
    <w:p>
      <w:pPr>
        <w:adjustRightInd w:val="0"/>
        <w:snapToGrid w:val="0"/>
        <w:spacing w:line="360" w:lineRule="auto"/>
        <w:ind w:firstLine="640" w:firstLineChars="200"/>
        <w:rPr>
          <w:rFonts w:ascii="仿宋" w:hAnsi="仿宋" w:eastAsia="仿宋" w:cs="宋体"/>
          <w:kern w:val="0"/>
          <w:sz w:val="32"/>
          <w:szCs w:val="32"/>
        </w:rPr>
      </w:pPr>
      <w:r>
        <w:rPr>
          <w:rFonts w:hint="eastAsia" w:ascii="仿宋" w:hAnsi="仿宋" w:eastAsia="仿宋" w:cs="宋体"/>
          <w:kern w:val="0"/>
          <w:sz w:val="32"/>
          <w:szCs w:val="32"/>
          <w:lang w:bidi="ar"/>
        </w:rPr>
        <w:t>未设立门户网站的部门应当通过本级政府的门户网站或者政府公报、新闻发布会、报刊、广播、电视等方式公开。</w:t>
      </w:r>
    </w:p>
    <w:p>
      <w:pPr>
        <w:adjustRightInd w:val="0"/>
        <w:snapToGrid w:val="0"/>
        <w:spacing w:line="360" w:lineRule="auto"/>
        <w:rPr>
          <w:rFonts w:ascii="仿宋_GB2312" w:hAnsi="微软雅黑" w:eastAsia="仿宋_GB2312" w:cs="仿宋_GB2312"/>
          <w:sz w:val="32"/>
          <w:szCs w:val="32"/>
          <w:shd w:val="clear" w:color="auto" w:fill="FFFFFF"/>
        </w:rPr>
      </w:pPr>
      <w:r>
        <w:rPr>
          <w:rFonts w:ascii="仿宋_GB2312" w:hAnsi="微软雅黑" w:eastAsia="仿宋_GB2312" w:cs="仿宋_GB2312"/>
          <w:sz w:val="32"/>
          <w:szCs w:val="32"/>
          <w:shd w:val="clear" w:color="auto" w:fill="FFFFFF"/>
          <w:lang w:bidi="ar"/>
        </w:rPr>
        <w:t xml:space="preserve"> </w:t>
      </w:r>
    </w:p>
    <w:p>
      <w:pPr>
        <w:adjustRightInd w:val="0"/>
        <w:snapToGrid w:val="0"/>
        <w:spacing w:line="360" w:lineRule="auto"/>
        <w:jc w:val="center"/>
        <w:rPr>
          <w:rFonts w:ascii="黑体" w:hAnsi="宋体" w:eastAsia="黑体" w:cs="黑体"/>
          <w:sz w:val="32"/>
          <w:szCs w:val="32"/>
        </w:rPr>
      </w:pPr>
      <w:r>
        <w:rPr>
          <w:rFonts w:hint="eastAsia" w:ascii="黑体" w:hAnsi="宋体" w:eastAsia="黑体" w:cs="黑体"/>
          <w:sz w:val="32"/>
          <w:szCs w:val="32"/>
          <w:lang w:bidi="ar"/>
        </w:rPr>
        <w:t>第七章  附  则</w:t>
      </w:r>
    </w:p>
    <w:p>
      <w:pPr>
        <w:adjustRightInd w:val="0"/>
        <w:snapToGrid w:val="0"/>
        <w:spacing w:line="360" w:lineRule="auto"/>
        <w:rPr>
          <w:rFonts w:ascii="仿宋_GB2312" w:hAnsi="Times New Roman" w:eastAsia="仿宋_GB2312" w:cs="仿宋"/>
          <w:b/>
          <w:sz w:val="32"/>
          <w:szCs w:val="32"/>
        </w:rPr>
      </w:pPr>
      <w:r>
        <w:rPr>
          <w:rFonts w:ascii="仿宋_GB2312" w:hAnsi="Times New Roman" w:eastAsia="仿宋_GB2312" w:cs="仿宋"/>
          <w:b/>
          <w:sz w:val="32"/>
          <w:szCs w:val="32"/>
          <w:lang w:bidi="ar"/>
        </w:rPr>
        <w:t xml:space="preserve"> </w:t>
      </w:r>
    </w:p>
    <w:p>
      <w:pPr>
        <w:adjustRightInd w:val="0"/>
        <w:snapToGrid w:val="0"/>
        <w:spacing w:line="360" w:lineRule="auto"/>
        <w:ind w:firstLine="640" w:firstLineChars="200"/>
        <w:rPr>
          <w:rFonts w:ascii="仿宋" w:hAnsi="仿宋" w:eastAsia="仿宋" w:cs="宋体"/>
          <w:kern w:val="0"/>
          <w:sz w:val="32"/>
          <w:szCs w:val="32"/>
        </w:rPr>
      </w:pPr>
      <w:r>
        <w:rPr>
          <w:rFonts w:hint="eastAsia" w:ascii="黑体" w:hAnsi="宋体" w:eastAsia="黑体" w:cs="宋体"/>
          <w:kern w:val="0"/>
          <w:sz w:val="32"/>
          <w:szCs w:val="32"/>
          <w:lang w:bidi="ar"/>
        </w:rPr>
        <w:t>第四十九条</w:t>
      </w:r>
      <w:r>
        <w:rPr>
          <w:rFonts w:hint="eastAsia" w:ascii="楷体" w:hAnsi="楷体" w:eastAsia="楷体" w:cs="仿宋"/>
          <w:sz w:val="32"/>
          <w:szCs w:val="32"/>
          <w:lang w:bidi="ar"/>
        </w:rPr>
        <w:t xml:space="preserve">  </w:t>
      </w:r>
      <w:r>
        <w:rPr>
          <w:rFonts w:hint="eastAsia" w:ascii="仿宋" w:hAnsi="仿宋" w:eastAsia="仿宋" w:cs="宋体"/>
          <w:kern w:val="0"/>
          <w:sz w:val="32"/>
          <w:szCs w:val="32"/>
          <w:lang w:bidi="ar"/>
        </w:rPr>
        <w:t>本条例所列由县级以上人民代表大会常务委员会有关工作机构承担的工作职责，未设立常务委员会有关工作机构的，由人民代表大会有关专门委员会承担。</w:t>
      </w:r>
    </w:p>
    <w:p>
      <w:pPr>
        <w:adjustRightInd w:val="0"/>
        <w:snapToGrid w:val="0"/>
        <w:spacing w:line="360" w:lineRule="auto"/>
        <w:ind w:firstLine="640" w:firstLineChars="200"/>
        <w:rPr>
          <w:rFonts w:ascii="仿宋" w:hAnsi="仿宋" w:eastAsia="仿宋" w:cs="宋体"/>
          <w:kern w:val="0"/>
          <w:sz w:val="32"/>
          <w:szCs w:val="32"/>
        </w:rPr>
      </w:pPr>
      <w:r>
        <w:rPr>
          <w:rFonts w:hint="eastAsia" w:ascii="黑体" w:hAnsi="宋体" w:eastAsia="黑体" w:cs="宋体"/>
          <w:kern w:val="0"/>
          <w:sz w:val="32"/>
          <w:szCs w:val="32"/>
          <w:lang w:bidi="ar"/>
        </w:rPr>
        <w:t>第五十条</w:t>
      </w:r>
      <w:r>
        <w:rPr>
          <w:rFonts w:hint="eastAsia" w:ascii="楷体" w:hAnsi="楷体" w:eastAsia="楷体" w:cs="仿宋"/>
          <w:sz w:val="32"/>
          <w:szCs w:val="32"/>
          <w:lang w:bidi="ar"/>
        </w:rPr>
        <w:t xml:space="preserve">  </w:t>
      </w:r>
      <w:r>
        <w:rPr>
          <w:rFonts w:hint="eastAsia" w:ascii="仿宋" w:hAnsi="仿宋" w:eastAsia="仿宋" w:cs="宋体"/>
          <w:kern w:val="0"/>
          <w:sz w:val="32"/>
          <w:szCs w:val="32"/>
          <w:lang w:bidi="ar"/>
        </w:rPr>
        <w:t>本条例自2022年1月1日起施行。1999年11月30日山西省第九届人民代表大会常务委员会第十三次会议通过的《山西省预算监督条例》同时废止。</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7B1BA6"/>
    <w:multiLevelType w:val="singleLevel"/>
    <w:tmpl w:val="E07B1BA6"/>
    <w:lvl w:ilvl="0" w:tentative="0">
      <w:start w:val="1"/>
      <w:numFmt w:val="chineseCounting"/>
      <w:suff w:val="nothing"/>
      <w:lvlText w:val="（%1）"/>
      <w:lvlJc w:val="left"/>
      <w:pPr>
        <w:ind w:left="0" w:firstLine="420"/>
      </w:pPr>
      <w:rPr>
        <w:rFonts w:hint="eastAsia"/>
      </w:rPr>
    </w:lvl>
  </w:abstractNum>
  <w:abstractNum w:abstractNumId="1">
    <w:nsid w:val="1EF30B87"/>
    <w:multiLevelType w:val="multilevel"/>
    <w:tmpl w:val="1EF30B87"/>
    <w:lvl w:ilvl="0" w:tentative="0">
      <w:start w:val="1"/>
      <w:numFmt w:val="chineseCounting"/>
      <w:suff w:val="nothing"/>
      <w:lvlText w:val="（%1）"/>
      <w:lvlJc w:val="left"/>
      <w:pPr>
        <w:ind w:left="0" w:firstLine="0"/>
      </w:pPr>
      <w:rPr>
        <w:rFonts w:hint="eastAsia" w:ascii="仿宋" w:hAnsi="仿宋" w:eastAsia="仿宋" w:cs="仿宋"/>
      </w:rPr>
    </w:lvl>
    <w:lvl w:ilvl="1" w:tentative="0">
      <w:start w:val="1"/>
      <w:numFmt w:val="decimal"/>
      <w:lvlText w:val="%2."/>
      <w:lvlJc w:val="left"/>
      <w:pPr>
        <w:tabs>
          <w:tab w:val="left" w:pos="1440"/>
        </w:tabs>
        <w:ind w:left="1440" w:hanging="360"/>
      </w:pPr>
      <w:rPr>
        <w:rFonts w:hint="default" w:ascii="Times New Roman" w:hAnsi="Times New Roman" w:cs="Times New Roman"/>
      </w:rPr>
    </w:lvl>
    <w:lvl w:ilvl="2" w:tentative="0">
      <w:start w:val="1"/>
      <w:numFmt w:val="decimal"/>
      <w:lvlText w:val="%3."/>
      <w:lvlJc w:val="left"/>
      <w:pPr>
        <w:tabs>
          <w:tab w:val="left" w:pos="2160"/>
        </w:tabs>
        <w:ind w:left="2160" w:hanging="360"/>
      </w:pPr>
      <w:rPr>
        <w:rFonts w:hint="default" w:ascii="Times New Roman" w:hAnsi="Times New Roman" w:cs="Times New Roman"/>
      </w:rPr>
    </w:lvl>
    <w:lvl w:ilvl="3" w:tentative="0">
      <w:start w:val="1"/>
      <w:numFmt w:val="decimal"/>
      <w:lvlText w:val="%4."/>
      <w:lvlJc w:val="left"/>
      <w:pPr>
        <w:tabs>
          <w:tab w:val="left" w:pos="2880"/>
        </w:tabs>
        <w:ind w:left="2880" w:hanging="360"/>
      </w:pPr>
      <w:rPr>
        <w:rFonts w:hint="default" w:ascii="Times New Roman" w:hAnsi="Times New Roman" w:cs="Times New Roman"/>
      </w:rPr>
    </w:lvl>
    <w:lvl w:ilvl="4" w:tentative="0">
      <w:start w:val="1"/>
      <w:numFmt w:val="decimal"/>
      <w:lvlText w:val="%5."/>
      <w:lvlJc w:val="left"/>
      <w:pPr>
        <w:tabs>
          <w:tab w:val="left" w:pos="3600"/>
        </w:tabs>
        <w:ind w:left="3600" w:hanging="360"/>
      </w:pPr>
      <w:rPr>
        <w:rFonts w:hint="default" w:ascii="Times New Roman" w:hAnsi="Times New Roman" w:cs="Times New Roman"/>
      </w:rPr>
    </w:lvl>
    <w:lvl w:ilvl="5" w:tentative="0">
      <w:start w:val="1"/>
      <w:numFmt w:val="decimal"/>
      <w:lvlText w:val="%6."/>
      <w:lvlJc w:val="left"/>
      <w:pPr>
        <w:tabs>
          <w:tab w:val="left" w:pos="4320"/>
        </w:tabs>
        <w:ind w:left="4320" w:hanging="360"/>
      </w:pPr>
      <w:rPr>
        <w:rFonts w:hint="default" w:ascii="Times New Roman" w:hAnsi="Times New Roman" w:cs="Times New Roman"/>
      </w:rPr>
    </w:lvl>
    <w:lvl w:ilvl="6" w:tentative="0">
      <w:start w:val="1"/>
      <w:numFmt w:val="decimal"/>
      <w:lvlText w:val="%7."/>
      <w:lvlJc w:val="left"/>
      <w:pPr>
        <w:tabs>
          <w:tab w:val="left" w:pos="5040"/>
        </w:tabs>
        <w:ind w:left="5040" w:hanging="360"/>
      </w:pPr>
      <w:rPr>
        <w:rFonts w:hint="default" w:ascii="Times New Roman" w:hAnsi="Times New Roman" w:cs="Times New Roman"/>
      </w:rPr>
    </w:lvl>
    <w:lvl w:ilvl="7" w:tentative="0">
      <w:start w:val="1"/>
      <w:numFmt w:val="decimal"/>
      <w:lvlText w:val="%8."/>
      <w:lvlJc w:val="left"/>
      <w:pPr>
        <w:tabs>
          <w:tab w:val="left" w:pos="5760"/>
        </w:tabs>
        <w:ind w:left="5760" w:hanging="360"/>
      </w:pPr>
      <w:rPr>
        <w:rFonts w:hint="default" w:ascii="Times New Roman" w:hAnsi="Times New Roman" w:cs="Times New Roman"/>
      </w:rPr>
    </w:lvl>
    <w:lvl w:ilvl="8" w:tentative="0">
      <w:start w:val="1"/>
      <w:numFmt w:val="decimal"/>
      <w:lvlText w:val="%9."/>
      <w:lvlJc w:val="left"/>
      <w:pPr>
        <w:tabs>
          <w:tab w:val="left" w:pos="6480"/>
        </w:tabs>
        <w:ind w:left="6480" w:hanging="360"/>
      </w:pPr>
      <w:rPr>
        <w:rFonts w:hint="default" w:ascii="Times New Roman" w:hAnsi="Times New Roman" w:cs="Times New Roman"/>
      </w:rPr>
    </w:lvl>
  </w:abstractNum>
  <w:abstractNum w:abstractNumId="2">
    <w:nsid w:val="7067C1E3"/>
    <w:multiLevelType w:val="singleLevel"/>
    <w:tmpl w:val="7067C1E3"/>
    <w:lvl w:ilvl="0" w:tentative="0">
      <w:start w:val="1"/>
      <w:numFmt w:val="chineseCounting"/>
      <w:suff w:val="nothing"/>
      <w:lvlText w:val="（%1）"/>
      <w:lvlJc w:val="left"/>
      <w:pPr>
        <w:ind w:left="0" w:firstLine="420"/>
      </w:pPr>
      <w:rPr>
        <w:rFonts w:hint="eastAsia"/>
      </w:rPr>
    </w:lvl>
  </w:abstractNum>
  <w:abstractNum w:abstractNumId="3">
    <w:nsid w:val="76C23F90"/>
    <w:multiLevelType w:val="multilevel"/>
    <w:tmpl w:val="76C23F90"/>
    <w:lvl w:ilvl="0" w:tentative="0">
      <w:start w:val="1"/>
      <w:numFmt w:val="chineseCounting"/>
      <w:suff w:val="nothing"/>
      <w:lvlText w:val="（%1）"/>
      <w:lvlJc w:val="left"/>
      <w:pPr>
        <w:ind w:left="0" w:firstLine="0"/>
      </w:pPr>
      <w:rPr>
        <w:rFonts w:hint="eastAsia" w:ascii="宋体" w:hAnsi="宋体" w:eastAsia="宋体" w:cs="宋体"/>
      </w:rPr>
    </w:lvl>
    <w:lvl w:ilvl="1" w:tentative="0">
      <w:start w:val="1"/>
      <w:numFmt w:val="decimal"/>
      <w:lvlText w:val="%2."/>
      <w:lvlJc w:val="left"/>
      <w:pPr>
        <w:tabs>
          <w:tab w:val="left" w:pos="1440"/>
        </w:tabs>
        <w:ind w:left="1440" w:hanging="360"/>
      </w:pPr>
      <w:rPr>
        <w:rFonts w:hint="default" w:ascii="Times New Roman" w:hAnsi="Times New Roman" w:cs="Times New Roman"/>
      </w:rPr>
    </w:lvl>
    <w:lvl w:ilvl="2" w:tentative="0">
      <w:start w:val="1"/>
      <w:numFmt w:val="decimal"/>
      <w:lvlText w:val="%3."/>
      <w:lvlJc w:val="left"/>
      <w:pPr>
        <w:tabs>
          <w:tab w:val="left" w:pos="2160"/>
        </w:tabs>
        <w:ind w:left="2160" w:hanging="360"/>
      </w:pPr>
      <w:rPr>
        <w:rFonts w:hint="default" w:ascii="Times New Roman" w:hAnsi="Times New Roman" w:cs="Times New Roman"/>
      </w:rPr>
    </w:lvl>
    <w:lvl w:ilvl="3" w:tentative="0">
      <w:start w:val="1"/>
      <w:numFmt w:val="decimal"/>
      <w:lvlText w:val="%4."/>
      <w:lvlJc w:val="left"/>
      <w:pPr>
        <w:tabs>
          <w:tab w:val="left" w:pos="2880"/>
        </w:tabs>
        <w:ind w:left="2880" w:hanging="360"/>
      </w:pPr>
      <w:rPr>
        <w:rFonts w:hint="default" w:ascii="Times New Roman" w:hAnsi="Times New Roman" w:cs="Times New Roman"/>
      </w:rPr>
    </w:lvl>
    <w:lvl w:ilvl="4" w:tentative="0">
      <w:start w:val="1"/>
      <w:numFmt w:val="decimal"/>
      <w:lvlText w:val="%5."/>
      <w:lvlJc w:val="left"/>
      <w:pPr>
        <w:tabs>
          <w:tab w:val="left" w:pos="3600"/>
        </w:tabs>
        <w:ind w:left="3600" w:hanging="360"/>
      </w:pPr>
      <w:rPr>
        <w:rFonts w:hint="default" w:ascii="Times New Roman" w:hAnsi="Times New Roman" w:cs="Times New Roman"/>
      </w:rPr>
    </w:lvl>
    <w:lvl w:ilvl="5" w:tentative="0">
      <w:start w:val="1"/>
      <w:numFmt w:val="decimal"/>
      <w:lvlText w:val="%6."/>
      <w:lvlJc w:val="left"/>
      <w:pPr>
        <w:tabs>
          <w:tab w:val="left" w:pos="4320"/>
        </w:tabs>
        <w:ind w:left="4320" w:hanging="360"/>
      </w:pPr>
      <w:rPr>
        <w:rFonts w:hint="default" w:ascii="Times New Roman" w:hAnsi="Times New Roman" w:cs="Times New Roman"/>
      </w:rPr>
    </w:lvl>
    <w:lvl w:ilvl="6" w:tentative="0">
      <w:start w:val="1"/>
      <w:numFmt w:val="decimal"/>
      <w:lvlText w:val="%7."/>
      <w:lvlJc w:val="left"/>
      <w:pPr>
        <w:tabs>
          <w:tab w:val="left" w:pos="5040"/>
        </w:tabs>
        <w:ind w:left="5040" w:hanging="360"/>
      </w:pPr>
      <w:rPr>
        <w:rFonts w:hint="default" w:ascii="Times New Roman" w:hAnsi="Times New Roman" w:cs="Times New Roman"/>
      </w:rPr>
    </w:lvl>
    <w:lvl w:ilvl="7" w:tentative="0">
      <w:start w:val="1"/>
      <w:numFmt w:val="decimal"/>
      <w:lvlText w:val="%8."/>
      <w:lvlJc w:val="left"/>
      <w:pPr>
        <w:tabs>
          <w:tab w:val="left" w:pos="5760"/>
        </w:tabs>
        <w:ind w:left="5760" w:hanging="360"/>
      </w:pPr>
      <w:rPr>
        <w:rFonts w:hint="default" w:ascii="Times New Roman" w:hAnsi="Times New Roman" w:cs="Times New Roman"/>
      </w:rPr>
    </w:lvl>
    <w:lvl w:ilvl="8" w:tentative="0">
      <w:start w:val="1"/>
      <w:numFmt w:val="decimal"/>
      <w:lvlText w:val="%9."/>
      <w:lvlJc w:val="left"/>
      <w:pPr>
        <w:tabs>
          <w:tab w:val="left" w:pos="6480"/>
        </w:tabs>
        <w:ind w:left="6480" w:hanging="360"/>
      </w:pPr>
      <w:rPr>
        <w:rFonts w:hint="default" w:ascii="Times New Roman" w:hAnsi="Times New Roman" w:cs="Times New Roman"/>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724F4D"/>
    <w:rsid w:val="00B77787"/>
    <w:rsid w:val="00DA1DD2"/>
    <w:rsid w:val="05724F4D"/>
    <w:rsid w:val="422513DF"/>
    <w:rsid w:val="52361EEF"/>
    <w:rsid w:val="53D24729"/>
    <w:rsid w:val="551877A1"/>
    <w:rsid w:val="7EF74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5"/>
    <w:qFormat/>
    <w:uiPriority w:val="0"/>
    <w:pPr>
      <w:keepNext/>
      <w:keepLines/>
      <w:spacing w:line="576" w:lineRule="auto"/>
      <w:outlineLvl w:val="0"/>
    </w:pPr>
    <w:rPr>
      <w:rFonts w:ascii="Times New Roman" w:hAnsi="Times New Roman" w:eastAsia="宋体" w:cs="Times New Roman"/>
      <w:b/>
      <w:kern w:val="44"/>
      <w:sz w:val="44"/>
      <w:szCs w:val="44"/>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customStyle="1" w:styleId="5">
    <w:name w:val="标题 1 Char"/>
    <w:basedOn w:val="4"/>
    <w:link w:val="2"/>
    <w:qFormat/>
    <w:uiPriority w:val="0"/>
    <w:rPr>
      <w:b/>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1263</Words>
  <Characters>7205</Characters>
  <Lines>60</Lines>
  <Paragraphs>16</Paragraphs>
  <TotalTime>204</TotalTime>
  <ScaleCrop>false</ScaleCrop>
  <LinksUpToDate>false</LinksUpToDate>
  <CharactersWithSpaces>8452</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2021-12-09T14:33:00Z</dcterms:created>
  <dc:creator>Lenovo</dc:creator>
  <cp:lastModifiedBy>jiawei</cp:lastModifiedBy>
  <dcterms:modified xsi:type="dcterms:W3CDTF">2021-12-31T08:19:36Z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43E240BA53464AF0AB139B0D0F762F38</vt:lpwstr>
  </property>
</Properties>
</file>