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color w:val="auto"/>
          <w:sz w:val="44"/>
          <w:szCs w:val="44"/>
          <w:highlight w:val="none"/>
        </w:rPr>
      </w:pPr>
      <w:r>
        <w:rPr>
          <w:rFonts w:hint="eastAsia" w:ascii="方正小标宋简体" w:hAnsi="方正小标宋简体" w:eastAsia="方正小标宋简体" w:cs="方正小标宋简体"/>
          <w:color w:val="auto"/>
          <w:sz w:val="44"/>
          <w:szCs w:val="44"/>
          <w:highlight w:val="none"/>
        </w:rPr>
        <w:t>晋中市太谷传统医药</w:t>
      </w:r>
    </w:p>
    <w:p>
      <w:pPr>
        <w:pageBreakBefore w:val="0"/>
        <w:kinsoku/>
        <w:wordWrap/>
        <w:overflowPunct/>
        <w:topLinePunct w:val="0"/>
        <w:autoSpaceDE/>
        <w:autoSpaceDN/>
        <w:bidi w:val="0"/>
        <w:adjustRightInd/>
        <w:snapToGrid/>
        <w:spacing w:line="600" w:lineRule="exact"/>
        <w:jc w:val="center"/>
        <w:textAlignment w:val="auto"/>
        <w:rPr>
          <w:rFonts w:ascii="方正小标宋简体" w:hAnsi="方正小标宋简体" w:eastAsia="方正小标宋简体" w:cs="方正小标宋简体"/>
          <w:color w:val="auto"/>
          <w:sz w:val="44"/>
          <w:szCs w:val="44"/>
          <w:highlight w:val="none"/>
        </w:rPr>
      </w:pPr>
      <w:r>
        <w:rPr>
          <w:rFonts w:hint="eastAsia" w:ascii="方正小标宋简体" w:hAnsi="方正小标宋简体" w:eastAsia="方正小标宋简体" w:cs="方正小标宋简体"/>
          <w:color w:val="auto"/>
          <w:sz w:val="44"/>
          <w:szCs w:val="44"/>
          <w:highlight w:val="none"/>
        </w:rPr>
        <w:t>国家级非物质文化遗产保护条例</w:t>
      </w:r>
    </w:p>
    <w:p>
      <w:pPr>
        <w:pStyle w:val="10"/>
        <w:spacing w:line="600" w:lineRule="exact"/>
        <w:jc w:val="center"/>
        <w:rPr>
          <w:rFonts w:ascii="楷体_GB2312" w:hAnsi="楷体_GB2312" w:eastAsia="楷体_GB2312" w:cs="楷体_GB2312"/>
          <w:b w:val="0"/>
          <w:bCs/>
          <w:sz w:val="32"/>
          <w:szCs w:val="32"/>
        </w:rPr>
      </w:pPr>
    </w:p>
    <w:p>
      <w:pPr>
        <w:pStyle w:val="10"/>
        <w:spacing w:line="600" w:lineRule="exact"/>
        <w:ind w:firstLine="640" w:firstLineChars="200"/>
        <w:rPr>
          <w:rFonts w:ascii="楷体_GB2312" w:hAnsi="楷体_GB2312" w:eastAsia="楷体_GB2312" w:cs="楷体_GB2312"/>
          <w:b w:val="0"/>
          <w:bCs/>
          <w:spacing w:val="6"/>
          <w:sz w:val="32"/>
          <w:szCs w:val="32"/>
        </w:rPr>
      </w:pPr>
      <w:r>
        <w:rPr>
          <w:rFonts w:hint="eastAsia" w:ascii="楷体_GB2312" w:hAnsi="楷体_GB2312" w:eastAsia="楷体_GB2312" w:cs="楷体_GB2312"/>
          <w:b w:val="0"/>
          <w:bCs/>
          <w:sz w:val="32"/>
          <w:szCs w:val="32"/>
        </w:rPr>
        <w:t>（</w:t>
      </w:r>
      <w:r>
        <w:rPr>
          <w:rFonts w:hint="eastAsia" w:ascii="楷体_GB2312" w:hAnsi="楷体_GB2312" w:eastAsia="楷体_GB2312" w:cs="楷体_GB2312"/>
          <w:b w:val="0"/>
          <w:bCs/>
          <w:spacing w:val="6"/>
          <w:sz w:val="32"/>
          <w:szCs w:val="32"/>
        </w:rPr>
        <w:t>2020年</w:t>
      </w:r>
      <w:r>
        <w:rPr>
          <w:rFonts w:hint="eastAsia" w:ascii="楷体_GB2312" w:hAnsi="楷体_GB2312" w:eastAsia="楷体_GB2312" w:cs="楷体_GB2312"/>
          <w:b w:val="0"/>
          <w:bCs/>
          <w:spacing w:val="6"/>
          <w:sz w:val="32"/>
          <w:szCs w:val="32"/>
          <w:lang w:val="en-US" w:eastAsia="zh-CN"/>
        </w:rPr>
        <w:t>10</w:t>
      </w:r>
      <w:r>
        <w:rPr>
          <w:rFonts w:hint="eastAsia" w:ascii="楷体_GB2312" w:hAnsi="楷体_GB2312" w:eastAsia="楷体_GB2312" w:cs="楷体_GB2312"/>
          <w:b w:val="0"/>
          <w:bCs/>
          <w:spacing w:val="6"/>
          <w:sz w:val="32"/>
          <w:szCs w:val="32"/>
        </w:rPr>
        <w:t>月30日晋中市第四届人民代表大会常务委员会第三十</w:t>
      </w:r>
      <w:r>
        <w:rPr>
          <w:rFonts w:hint="eastAsia" w:ascii="楷体_GB2312" w:hAnsi="楷体_GB2312" w:eastAsia="楷体_GB2312" w:cs="楷体_GB2312"/>
          <w:b w:val="0"/>
          <w:bCs/>
          <w:spacing w:val="6"/>
          <w:sz w:val="32"/>
          <w:szCs w:val="32"/>
          <w:lang w:eastAsia="zh-CN"/>
        </w:rPr>
        <w:t>八</w:t>
      </w:r>
      <w:r>
        <w:rPr>
          <w:rFonts w:hint="eastAsia" w:ascii="楷体_GB2312" w:hAnsi="楷体_GB2312" w:eastAsia="楷体_GB2312" w:cs="楷体_GB2312"/>
          <w:b w:val="0"/>
          <w:bCs/>
          <w:spacing w:val="6"/>
          <w:sz w:val="32"/>
          <w:szCs w:val="32"/>
        </w:rPr>
        <w:t>次会议通过</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2020年</w:t>
      </w:r>
      <w:r>
        <w:rPr>
          <w:rFonts w:hint="eastAsia" w:ascii="楷体_GB2312" w:hAnsi="楷体_GB2312" w:eastAsia="楷体_GB2312" w:cs="楷体_GB2312"/>
          <w:b w:val="0"/>
          <w:bCs/>
          <w:spacing w:val="6"/>
          <w:sz w:val="32"/>
          <w:szCs w:val="32"/>
          <w:lang w:val="en-US" w:eastAsia="zh-CN"/>
        </w:rPr>
        <w:t>11</w:t>
      </w:r>
      <w:r>
        <w:rPr>
          <w:rFonts w:hint="eastAsia" w:ascii="楷体_GB2312" w:hAnsi="楷体_GB2312" w:eastAsia="楷体_GB2312" w:cs="楷体_GB2312"/>
          <w:b w:val="0"/>
          <w:bCs/>
          <w:spacing w:val="6"/>
          <w:sz w:val="32"/>
          <w:szCs w:val="32"/>
        </w:rPr>
        <w:t>月</w:t>
      </w:r>
      <w:r>
        <w:rPr>
          <w:rFonts w:hint="eastAsia" w:ascii="楷体_GB2312" w:hAnsi="楷体_GB2312" w:eastAsia="楷体_GB2312" w:cs="楷体_GB2312"/>
          <w:b w:val="0"/>
          <w:bCs/>
          <w:spacing w:val="6"/>
          <w:sz w:val="32"/>
          <w:szCs w:val="32"/>
          <w:lang w:val="en-US" w:eastAsia="zh-CN"/>
        </w:rPr>
        <w:t>27</w:t>
      </w:r>
      <w:r>
        <w:rPr>
          <w:rFonts w:hint="eastAsia" w:ascii="楷体_GB2312" w:hAnsi="楷体_GB2312" w:eastAsia="楷体_GB2312" w:cs="楷体_GB2312"/>
          <w:b w:val="0"/>
          <w:bCs/>
          <w:spacing w:val="6"/>
          <w:sz w:val="32"/>
          <w:szCs w:val="32"/>
        </w:rPr>
        <w:t>日山西省第十三届人民代表大会常务委员会第</w:t>
      </w:r>
      <w:r>
        <w:rPr>
          <w:rFonts w:hint="eastAsia" w:ascii="楷体_GB2312" w:hAnsi="楷体_GB2312" w:eastAsia="楷体_GB2312" w:cs="楷体_GB2312"/>
          <w:b w:val="0"/>
          <w:bCs/>
          <w:spacing w:val="6"/>
          <w:sz w:val="32"/>
          <w:szCs w:val="32"/>
          <w:lang w:eastAsia="zh-CN"/>
        </w:rPr>
        <w:t>二十一</w:t>
      </w:r>
      <w:r>
        <w:rPr>
          <w:rFonts w:hint="eastAsia" w:ascii="楷体_GB2312" w:hAnsi="楷体_GB2312" w:eastAsia="楷体_GB2312" w:cs="楷体_GB2312"/>
          <w:b w:val="0"/>
          <w:bCs/>
          <w:spacing w:val="6"/>
          <w:sz w:val="32"/>
          <w:szCs w:val="32"/>
        </w:rPr>
        <w:t>次会议批准）</w:t>
      </w:r>
    </w:p>
    <w:p>
      <w:pPr>
        <w:keepNext w:val="0"/>
        <w:keepLines w:val="0"/>
        <w:pageBreakBefore w:val="0"/>
        <w:widowControl/>
        <w:kinsoku/>
        <w:wordWrap/>
        <w:overflowPunct/>
        <w:topLinePunct w:val="0"/>
        <w:autoSpaceDE/>
        <w:autoSpaceDN/>
        <w:bidi w:val="0"/>
        <w:adjustRightInd/>
        <w:snapToGrid/>
        <w:spacing w:before="313" w:beforeLines="100" w:after="313" w:afterLines="100" w:line="600" w:lineRule="exact"/>
        <w:jc w:val="center"/>
        <w:textAlignment w:val="auto"/>
        <w:outlineLvl w:val="9"/>
        <w:rPr>
          <w:rFonts w:hint="eastAsia" w:ascii="黑体" w:hAnsi="黑体" w:eastAsia="黑体" w:cs="黑体"/>
          <w:color w:val="auto"/>
          <w:sz w:val="32"/>
          <w:szCs w:val="32"/>
          <w:highlight w:val="none"/>
        </w:rPr>
      </w:pPr>
    </w:p>
    <w:p>
      <w:pPr>
        <w:keepNext w:val="0"/>
        <w:keepLines w:val="0"/>
        <w:pageBreakBefore w:val="0"/>
        <w:widowControl/>
        <w:kinsoku/>
        <w:wordWrap/>
        <w:overflowPunct/>
        <w:topLinePunct w:val="0"/>
        <w:autoSpaceDE/>
        <w:autoSpaceDN/>
        <w:bidi w:val="0"/>
        <w:adjustRightInd/>
        <w:snapToGrid/>
        <w:spacing w:before="313" w:beforeLines="100" w:after="313" w:afterLines="100" w:line="600" w:lineRule="exact"/>
        <w:jc w:val="center"/>
        <w:textAlignment w:val="auto"/>
        <w:outlineLvl w:val="9"/>
        <w:rPr>
          <w:rFonts w:ascii="黑体" w:hAnsi="黑体" w:eastAsia="黑体" w:cs="黑体"/>
          <w:color w:val="auto"/>
          <w:sz w:val="32"/>
          <w:szCs w:val="32"/>
          <w:highlight w:val="none"/>
        </w:rPr>
      </w:pPr>
      <w:r>
        <w:rPr>
          <w:rFonts w:hint="eastAsia" w:ascii="黑体" w:hAnsi="黑体" w:eastAsia="黑体" w:cs="黑体"/>
          <w:color w:val="auto"/>
          <w:sz w:val="32"/>
          <w:szCs w:val="32"/>
          <w:highlight w:val="none"/>
        </w:rPr>
        <w:t>第一章  总</w:t>
      </w:r>
      <w:r>
        <w:rPr>
          <w:rFonts w:hint="eastAsia" w:ascii="黑体" w:hAnsi="黑体" w:eastAsia="黑体" w:cs="黑体"/>
          <w:color w:val="auto"/>
          <w:sz w:val="32"/>
          <w:szCs w:val="32"/>
          <w:highlight w:val="none"/>
          <w:lang w:val="en-US" w:eastAsia="zh-CN"/>
        </w:rPr>
        <w:t xml:space="preserve">  </w:t>
      </w:r>
      <w:r>
        <w:rPr>
          <w:rFonts w:hint="eastAsia" w:ascii="黑体" w:hAnsi="黑体" w:eastAsia="黑体" w:cs="黑体"/>
          <w:color w:val="auto"/>
          <w:sz w:val="32"/>
          <w:szCs w:val="32"/>
          <w:highlight w:val="none"/>
        </w:rPr>
        <w:t>则</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outlineLvl w:val="9"/>
        <w:rPr>
          <w:rFonts w:ascii="仿宋_GB2312" w:hAnsi="Times New Roman" w:eastAsia="仿宋_GB2312"/>
          <w:color w:val="auto"/>
          <w:sz w:val="32"/>
          <w:szCs w:val="32"/>
          <w:highlight w:val="none"/>
        </w:rPr>
      </w:pPr>
      <w:r>
        <w:rPr>
          <w:rFonts w:hint="eastAsia" w:ascii="黑体" w:hAnsi="黑体" w:eastAsia="黑体" w:cs="黑体"/>
          <w:color w:val="auto"/>
          <w:sz w:val="32"/>
          <w:szCs w:val="32"/>
          <w:highlight w:val="none"/>
        </w:rPr>
        <w:t>第一条</w:t>
      </w:r>
      <w:r>
        <w:rPr>
          <w:rFonts w:hint="eastAsia" w:ascii="黑体" w:hAnsi="黑体" w:eastAsia="黑体" w:cs="黑体"/>
          <w:color w:val="auto"/>
          <w:sz w:val="32"/>
          <w:szCs w:val="32"/>
          <w:highlight w:val="none"/>
          <w:lang w:val="en-US" w:eastAsia="zh-CN"/>
        </w:rPr>
        <w:t xml:space="preserve">  </w:t>
      </w:r>
      <w:r>
        <w:rPr>
          <w:rFonts w:hint="eastAsia" w:ascii="仿宋_GB2312" w:hAnsi="Times New Roman" w:eastAsia="仿宋_GB2312"/>
          <w:color w:val="auto"/>
          <w:sz w:val="32"/>
          <w:szCs w:val="32"/>
          <w:highlight w:val="none"/>
        </w:rPr>
        <w:t>为了传承和弘扬太谷传统医药文化，保障太谷传统医药国家级非物质文化遗产的质量和特色，促进太谷传统医药产业持续健康发展，根据《中华人民共和国非物质文化遗产法》《中华人民共和国中医药法》《山西省非物质文化遗产条例》等法律、法规，结合实际，制定本条例。</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outlineLvl w:val="9"/>
        <w:rPr>
          <w:rFonts w:ascii="Times New Roman" w:hAnsi="Times New Roman" w:eastAsia="仿宋_GB2312"/>
          <w:snapToGrid w:val="0"/>
          <w:color w:val="auto"/>
          <w:sz w:val="32"/>
          <w:szCs w:val="32"/>
          <w:highlight w:val="none"/>
        </w:rPr>
      </w:pPr>
      <w:r>
        <w:rPr>
          <w:rFonts w:hint="eastAsia" w:ascii="黑体" w:hAnsi="黑体" w:eastAsia="黑体" w:cs="黑体"/>
          <w:color w:val="auto"/>
          <w:sz w:val="32"/>
          <w:szCs w:val="32"/>
          <w:highlight w:val="none"/>
        </w:rPr>
        <w:t>第二条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snapToGrid w:val="0"/>
          <w:color w:val="auto"/>
          <w:sz w:val="32"/>
          <w:szCs w:val="32"/>
          <w:highlight w:val="none"/>
        </w:rPr>
        <w:t>本条例适用于太谷传统医药国家级非物质文化遗产的保护、传承和发展。</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outlineLvl w:val="9"/>
        <w:rPr>
          <w:rFonts w:ascii="Times New Roman" w:hAnsi="Times New Roman" w:eastAsia="仿宋_GB2312"/>
          <w:snapToGrid w:val="0"/>
          <w:color w:val="auto"/>
          <w:sz w:val="32"/>
          <w:szCs w:val="32"/>
          <w:highlight w:val="none"/>
        </w:rPr>
      </w:pPr>
      <w:r>
        <w:rPr>
          <w:rFonts w:ascii="Times New Roman" w:hAnsi="Times New Roman" w:eastAsia="仿宋_GB2312"/>
          <w:snapToGrid w:val="0"/>
          <w:color w:val="auto"/>
          <w:sz w:val="32"/>
          <w:szCs w:val="32"/>
          <w:highlight w:val="none"/>
        </w:rPr>
        <w:t>本条例</w:t>
      </w:r>
      <w:r>
        <w:rPr>
          <w:rFonts w:hint="eastAsia" w:ascii="Times New Roman" w:hAnsi="Times New Roman" w:eastAsia="仿宋_GB2312"/>
          <w:snapToGrid w:val="0"/>
          <w:color w:val="auto"/>
          <w:sz w:val="32"/>
          <w:szCs w:val="32"/>
          <w:highlight w:val="none"/>
        </w:rPr>
        <w:t>所称太谷传统医药国家级非物质文化遗产，是指列入国家级非物质文化遗产代表性项目名录的龟龄集、定坤丹、安宫牛黄丸传统制作技艺。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太谷传统医药国家级非物质文化遗产的保护，坚持政府主导、企业负责、社会参与、保护优先、合理利用的原则，</w:t>
      </w:r>
      <w:r>
        <w:rPr>
          <w:rFonts w:hint="eastAsia" w:ascii="仿宋_GB2312" w:hAnsi="仿宋_GB2312" w:eastAsia="仿宋_GB2312" w:cs="仿宋_GB2312"/>
          <w:sz w:val="32"/>
          <w:szCs w:val="32"/>
          <w:lang w:val="zh-CN"/>
        </w:rPr>
        <w:t>保持其</w:t>
      </w:r>
      <w:r>
        <w:rPr>
          <w:rFonts w:hint="eastAsia" w:ascii="仿宋_GB2312" w:hAnsi="仿宋_GB2312" w:eastAsia="仿宋_GB2312" w:cs="仿宋_GB2312"/>
          <w:sz w:val="32"/>
          <w:szCs w:val="32"/>
        </w:rPr>
        <w:t>原</w:t>
      </w:r>
      <w:r>
        <w:rPr>
          <w:rFonts w:hint="eastAsia" w:ascii="仿宋_GB2312" w:hAnsi="仿宋_GB2312" w:eastAsia="仿宋_GB2312" w:cs="仿宋_GB2312"/>
          <w:sz w:val="32"/>
          <w:szCs w:val="32"/>
          <w:lang w:val="zh-CN"/>
        </w:rPr>
        <w:t>真性、</w:t>
      </w:r>
      <w:r>
        <w:rPr>
          <w:rFonts w:hint="eastAsia" w:ascii="仿宋_GB2312" w:hAnsi="仿宋_GB2312" w:eastAsia="仿宋_GB2312" w:cs="仿宋_GB2312"/>
          <w:sz w:val="32"/>
          <w:szCs w:val="32"/>
        </w:rPr>
        <w:t>地域性</w:t>
      </w:r>
      <w:r>
        <w:rPr>
          <w:rFonts w:hint="eastAsia" w:ascii="仿宋_GB2312" w:hAnsi="仿宋_GB2312" w:eastAsia="仿宋_GB2312" w:cs="仿宋_GB2312"/>
          <w:sz w:val="32"/>
          <w:szCs w:val="32"/>
          <w:lang w:val="zh-CN"/>
        </w:rPr>
        <w:t>、</w:t>
      </w:r>
      <w:r>
        <w:rPr>
          <w:rFonts w:hint="eastAsia" w:ascii="仿宋_GB2312" w:hAnsi="仿宋_GB2312" w:eastAsia="仿宋_GB2312" w:cs="仿宋_GB2312"/>
          <w:sz w:val="32"/>
          <w:szCs w:val="32"/>
        </w:rPr>
        <w:t>活态性</w:t>
      </w:r>
      <w:r>
        <w:rPr>
          <w:rFonts w:hint="eastAsia" w:ascii="仿宋_GB2312" w:hAnsi="仿宋_GB2312" w:eastAsia="仿宋_GB2312" w:cs="仿宋_GB2312"/>
          <w:sz w:val="32"/>
          <w:szCs w:val="32"/>
          <w:lang w:val="zh-CN"/>
        </w:rPr>
        <w:t>和传承性。</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市、太谷区（以下简称区）人民政府应当将太谷传统医药国家级非物质文化遗产的保护纳入本级国民经济和社会发展规划，保护经费列入本级财政预算。</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outlineLvl w:val="9"/>
        <w:rPr>
          <w:rFonts w:ascii="仿宋_GB2312" w:hAnsi="Times New Roman" w:eastAsia="仿宋_GB2312"/>
          <w:color w:val="auto"/>
          <w:sz w:val="32"/>
          <w:szCs w:val="32"/>
          <w:highlight w:val="none"/>
        </w:rPr>
      </w:pPr>
      <w:r>
        <w:rPr>
          <w:rFonts w:hint="eastAsia" w:ascii="仿宋_GB2312" w:hAnsi="Times New Roman" w:eastAsia="仿宋_GB2312"/>
          <w:color w:val="auto"/>
          <w:sz w:val="32"/>
          <w:szCs w:val="32"/>
          <w:highlight w:val="none"/>
        </w:rPr>
        <w:t>市、区人民政府文化主管部门负责太谷传统医药国家级非物质文化遗产保护和利用工作。</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Times New Roman" w:eastAsia="仿宋_GB2312"/>
          <w:color w:val="auto"/>
          <w:sz w:val="32"/>
          <w:szCs w:val="32"/>
          <w:highlight w:val="none"/>
        </w:rPr>
      </w:pPr>
      <w:r>
        <w:rPr>
          <w:rFonts w:hint="eastAsia" w:ascii="仿宋_GB2312" w:hAnsi="Times New Roman" w:eastAsia="仿宋_GB2312"/>
          <w:color w:val="auto"/>
          <w:sz w:val="32"/>
          <w:szCs w:val="32"/>
          <w:highlight w:val="none"/>
        </w:rPr>
        <w:t>市、区人民政府发展和改革、卫生健康、市场监督管理、自然资源、生态环境、城乡建设等主管部门，在各自职责范围内做好太谷传统医药国家级非物质文化遗产保护的相关工作。</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Times New Roman" w:eastAsia="仿宋_GB2312"/>
          <w:color w:val="auto"/>
          <w:sz w:val="32"/>
          <w:szCs w:val="32"/>
          <w:highlight w:val="none"/>
        </w:rPr>
      </w:pPr>
      <w:r>
        <w:rPr>
          <w:rFonts w:hint="eastAsia" w:ascii="黑体" w:hAnsi="黑体" w:eastAsia="黑体" w:cs="黑体"/>
          <w:color w:val="auto"/>
          <w:sz w:val="32"/>
          <w:szCs w:val="32"/>
          <w:highlight w:val="none"/>
        </w:rPr>
        <w:t>第五条</w:t>
      </w:r>
      <w:r>
        <w:rPr>
          <w:rFonts w:hint="eastAsia" w:ascii="黑体" w:hAnsi="黑体" w:eastAsia="黑体" w:cs="黑体"/>
          <w:color w:val="auto"/>
          <w:sz w:val="32"/>
          <w:szCs w:val="32"/>
          <w:highlight w:val="none"/>
          <w:lang w:val="en-US" w:eastAsia="zh-CN"/>
        </w:rPr>
        <w:t xml:space="preserve">  </w:t>
      </w:r>
      <w:r>
        <w:rPr>
          <w:rFonts w:hint="eastAsia" w:ascii="仿宋_GB2312" w:hAnsi="Times New Roman" w:eastAsia="仿宋_GB2312"/>
          <w:color w:val="auto"/>
          <w:sz w:val="32"/>
          <w:szCs w:val="32"/>
          <w:highlight w:val="none"/>
        </w:rPr>
        <w:t>市、区人民政府应当建立非物质文化遗产保护工作联席会议制度，统筹协调解决太谷传统医药国家级非物质文化遗产保护中的文化传承、产业发展、信息共享等重大问题。</w:t>
      </w:r>
    </w:p>
    <w:p>
      <w:pPr>
        <w:keepNext w:val="0"/>
        <w:keepLines w:val="0"/>
        <w:pageBreakBefore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rPr>
        <w:t>第六条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鼓励</w:t>
      </w:r>
      <w:r>
        <w:rPr>
          <w:rFonts w:hint="eastAsia" w:ascii="仿宋_GB2312" w:hAnsi="仿宋_GB2312" w:eastAsia="仿宋_GB2312" w:cs="仿宋_GB2312"/>
          <w:color w:val="auto"/>
          <w:sz w:val="32"/>
          <w:szCs w:val="32"/>
          <w:highlight w:val="none"/>
        </w:rPr>
        <w:t>公民</w:t>
      </w:r>
      <w:r>
        <w:rPr>
          <w:rFonts w:hint="eastAsia" w:ascii="仿宋_GB2312" w:hAnsi="仿宋_GB2312" w:eastAsia="仿宋_GB2312" w:cs="仿宋_GB2312"/>
          <w:color w:val="auto"/>
          <w:sz w:val="32"/>
          <w:szCs w:val="32"/>
          <w:highlight w:val="none"/>
          <w:lang w:val="zh-CN"/>
        </w:rPr>
        <w:t>、法人和</w:t>
      </w:r>
      <w:r>
        <w:rPr>
          <w:rFonts w:hint="eastAsia" w:ascii="仿宋_GB2312" w:hAnsi="仿宋_GB2312" w:eastAsia="仿宋_GB2312" w:cs="仿宋_GB2312"/>
          <w:color w:val="auto"/>
          <w:sz w:val="32"/>
          <w:szCs w:val="32"/>
          <w:highlight w:val="none"/>
        </w:rPr>
        <w:t>其他</w:t>
      </w:r>
      <w:r>
        <w:rPr>
          <w:rFonts w:hint="eastAsia" w:ascii="仿宋_GB2312" w:hAnsi="仿宋_GB2312" w:eastAsia="仿宋_GB2312" w:cs="仿宋_GB2312"/>
          <w:color w:val="auto"/>
          <w:sz w:val="32"/>
          <w:szCs w:val="32"/>
          <w:highlight w:val="none"/>
          <w:lang w:val="zh-CN"/>
        </w:rPr>
        <w:t>组织通过投资</w:t>
      </w:r>
      <w:r>
        <w:rPr>
          <w:rFonts w:ascii="仿宋_GB2312" w:hAnsi="仿宋_GB2312" w:eastAsia="仿宋_GB2312" w:cs="仿宋_GB2312"/>
          <w:color w:val="auto"/>
          <w:sz w:val="32"/>
          <w:szCs w:val="32"/>
          <w:highlight w:val="none"/>
          <w:lang w:val="zh-CN"/>
        </w:rPr>
        <w:t>、</w:t>
      </w:r>
      <w:r>
        <w:rPr>
          <w:rFonts w:hint="eastAsia" w:ascii="仿宋_GB2312" w:hAnsi="仿宋_GB2312" w:eastAsia="仿宋_GB2312" w:cs="仿宋_GB2312"/>
          <w:color w:val="auto"/>
          <w:sz w:val="32"/>
          <w:szCs w:val="32"/>
          <w:highlight w:val="none"/>
          <w:lang w:val="zh-CN"/>
        </w:rPr>
        <w:t>捐赠等方式，参与</w:t>
      </w:r>
      <w:r>
        <w:rPr>
          <w:rFonts w:hint="eastAsia" w:ascii="仿宋_GB2312" w:hAnsi="仿宋_GB2312" w:eastAsia="仿宋_GB2312" w:cs="仿宋_GB2312"/>
          <w:color w:val="auto"/>
          <w:sz w:val="32"/>
          <w:szCs w:val="32"/>
          <w:highlight w:val="none"/>
        </w:rPr>
        <w:t>太谷</w:t>
      </w:r>
      <w:r>
        <w:rPr>
          <w:rFonts w:hint="eastAsia" w:ascii="仿宋_GB2312" w:hAnsi="仿宋_GB2312" w:eastAsia="仿宋_GB2312" w:cs="仿宋_GB2312"/>
          <w:color w:val="auto"/>
          <w:sz w:val="32"/>
          <w:szCs w:val="32"/>
          <w:highlight w:val="none"/>
          <w:lang w:val="zh-CN"/>
        </w:rPr>
        <w:t>传统医药国家级非物质文化遗产保护工作</w:t>
      </w:r>
      <w:r>
        <w:rPr>
          <w:rFonts w:hint="eastAsia" w:ascii="仿宋_GB2312" w:hAnsi="仿宋_GB2312" w:eastAsia="仿宋_GB2312" w:cs="仿宋_GB2312"/>
          <w:color w:val="auto"/>
          <w:sz w:val="32"/>
          <w:szCs w:val="32"/>
          <w:highlight w:val="none"/>
        </w:rPr>
        <w:t>。</w:t>
      </w:r>
    </w:p>
    <w:p>
      <w:pPr>
        <w:keepNext w:val="0"/>
        <w:keepLines w:val="0"/>
        <w:pageBreakBefore w:val="0"/>
        <w:widowControl/>
        <w:numPr>
          <w:ilvl w:val="0"/>
          <w:numId w:val="1"/>
        </w:numPr>
        <w:kinsoku/>
        <w:wordWrap/>
        <w:overflowPunct/>
        <w:topLinePunct w:val="0"/>
        <w:autoSpaceDE/>
        <w:autoSpaceDN/>
        <w:bidi w:val="0"/>
        <w:adjustRightInd/>
        <w:snapToGrid/>
        <w:spacing w:before="313" w:beforeLines="100" w:after="313" w:afterLines="100" w:line="600" w:lineRule="exact"/>
        <w:jc w:val="center"/>
        <w:textAlignment w:val="auto"/>
        <w:outlineLvl w:val="9"/>
        <w:rPr>
          <w:rFonts w:ascii="黑体" w:hAnsi="黑体" w:eastAsia="黑体" w:cs="黑体"/>
          <w:color w:val="auto"/>
          <w:sz w:val="32"/>
          <w:szCs w:val="32"/>
          <w:highlight w:val="none"/>
          <w:lang w:val="zh-CN"/>
        </w:rPr>
      </w:pPr>
      <w:r>
        <w:rPr>
          <w:rFonts w:hint="eastAsia" w:ascii="黑体" w:hAnsi="黑体" w:eastAsia="黑体" w:cs="黑体"/>
          <w:color w:val="auto"/>
          <w:sz w:val="32"/>
          <w:szCs w:val="32"/>
          <w:highlight w:val="none"/>
        </w:rPr>
        <w:t xml:space="preserve"> 传承与</w:t>
      </w:r>
      <w:r>
        <w:rPr>
          <w:rFonts w:hint="eastAsia" w:ascii="黑体" w:hAnsi="黑体" w:eastAsia="黑体" w:cs="黑体"/>
          <w:color w:val="auto"/>
          <w:sz w:val="32"/>
          <w:szCs w:val="32"/>
          <w:highlight w:val="none"/>
          <w:lang w:val="zh-CN"/>
        </w:rPr>
        <w:t>发展</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Times New Roman" w:eastAsia="仿宋_GB2312" w:cs="Times New Roman"/>
          <w:strike/>
          <w:dstrike w:val="0"/>
          <w:color w:val="auto"/>
          <w:sz w:val="32"/>
          <w:szCs w:val="32"/>
          <w:highlight w:val="none"/>
          <w:lang w:eastAsia="zh-CN"/>
        </w:rPr>
      </w:pPr>
      <w:r>
        <w:rPr>
          <w:rFonts w:hint="eastAsia" w:ascii="黑体" w:hAnsi="黑体" w:eastAsia="黑体" w:cs="黑体"/>
          <w:color w:val="auto"/>
          <w:sz w:val="32"/>
          <w:szCs w:val="32"/>
          <w:highlight w:val="none"/>
        </w:rPr>
        <w:t>第七条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太谷传统医药国家级非物质文化遗产代表性项目的代表性传承人（以下简称代表性传承人）有权在太谷</w:t>
      </w:r>
      <w:r>
        <w:rPr>
          <w:rFonts w:hint="eastAsia" w:ascii="仿宋_GB2312" w:hAnsi="仿宋_GB2312" w:eastAsia="仿宋_GB2312" w:cs="仿宋_GB2312"/>
          <w:color w:val="auto"/>
          <w:sz w:val="32"/>
          <w:szCs w:val="32"/>
          <w:highlight w:val="none"/>
          <w:lang w:val="zh-CN"/>
        </w:rPr>
        <w:t>传统医药国家级非物质文化遗产代表性项目保护单位（以下简称项目保护单位）</w:t>
      </w:r>
      <w:r>
        <w:rPr>
          <w:rFonts w:ascii="仿宋_GB2312" w:hAnsi="仿宋_GB2312" w:eastAsia="仿宋_GB2312" w:cs="仿宋_GB2312"/>
          <w:color w:val="auto"/>
          <w:sz w:val="32"/>
          <w:szCs w:val="32"/>
          <w:highlight w:val="none"/>
        </w:rPr>
        <w:t>内</w:t>
      </w:r>
      <w:r>
        <w:rPr>
          <w:rFonts w:hint="eastAsia" w:ascii="仿宋_GB2312" w:hAnsi="仿宋_GB2312" w:eastAsia="仿宋_GB2312" w:cs="仿宋_GB2312"/>
          <w:color w:val="auto"/>
          <w:sz w:val="32"/>
          <w:szCs w:val="32"/>
          <w:highlight w:val="none"/>
        </w:rPr>
        <w:t>选择和培养传承人</w:t>
      </w:r>
      <w:r>
        <w:rPr>
          <w:rFonts w:hint="eastAsia" w:ascii="仿宋_GB2312" w:hAnsi="仿宋_GB2312" w:eastAsia="仿宋_GB2312" w:cs="仿宋_GB2312"/>
          <w:color w:val="auto"/>
          <w:sz w:val="32"/>
          <w:szCs w:val="32"/>
          <w:highlight w:val="none"/>
          <w:lang w:eastAsia="zh-CN"/>
        </w:rPr>
        <w:t>。</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w:t>
      </w:r>
      <w:r>
        <w:rPr>
          <w:rFonts w:hint="eastAsia" w:ascii="黑体" w:hAnsi="黑体" w:eastAsia="黑体" w:cs="黑体"/>
          <w:color w:val="auto"/>
          <w:sz w:val="32"/>
          <w:szCs w:val="32"/>
          <w:highlight w:val="none"/>
        </w:rPr>
        <w:t>八</w:t>
      </w:r>
      <w:r>
        <w:rPr>
          <w:rFonts w:hint="eastAsia" w:ascii="黑体" w:hAnsi="黑体" w:eastAsia="黑体" w:cs="黑体"/>
          <w:color w:val="auto"/>
          <w:sz w:val="32"/>
          <w:szCs w:val="32"/>
          <w:highlight w:val="none"/>
          <w:lang w:val="zh-CN"/>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代表性传承人应当</w:t>
      </w:r>
      <w:r>
        <w:rPr>
          <w:rFonts w:hint="eastAsia" w:ascii="仿宋_GB2312" w:hAnsi="仿宋_GB2312" w:eastAsia="仿宋_GB2312" w:cs="仿宋_GB2312"/>
          <w:color w:val="auto"/>
          <w:sz w:val="32"/>
          <w:szCs w:val="32"/>
          <w:highlight w:val="none"/>
        </w:rPr>
        <w:t>依法</w:t>
      </w:r>
      <w:r>
        <w:rPr>
          <w:rFonts w:hint="eastAsia" w:ascii="仿宋_GB2312" w:hAnsi="仿宋_GB2312" w:eastAsia="仿宋_GB2312" w:cs="仿宋_GB2312"/>
          <w:color w:val="auto"/>
          <w:sz w:val="32"/>
          <w:szCs w:val="32"/>
          <w:highlight w:val="none"/>
          <w:lang w:val="zh-CN"/>
        </w:rPr>
        <w:t>履行</w:t>
      </w:r>
      <w:r>
        <w:rPr>
          <w:rFonts w:hint="eastAsia" w:ascii="仿宋_GB2312" w:hAnsi="仿宋_GB2312" w:eastAsia="仿宋_GB2312" w:cs="仿宋_GB2312"/>
          <w:color w:val="auto"/>
          <w:sz w:val="32"/>
          <w:szCs w:val="32"/>
          <w:highlight w:val="none"/>
        </w:rPr>
        <w:t>传承</w:t>
      </w:r>
      <w:r>
        <w:rPr>
          <w:rFonts w:hint="eastAsia" w:ascii="仿宋_GB2312" w:hAnsi="仿宋_GB2312" w:eastAsia="仿宋_GB2312" w:cs="仿宋_GB2312"/>
          <w:color w:val="auto"/>
          <w:sz w:val="32"/>
          <w:szCs w:val="32"/>
          <w:highlight w:val="none"/>
          <w:lang w:val="zh-CN"/>
        </w:rPr>
        <w:t>义务，常随学徒不得少于二人。</w:t>
      </w:r>
    </w:p>
    <w:p>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lang w:val="zh-CN"/>
        </w:rPr>
        <w:t>第</w:t>
      </w:r>
      <w:r>
        <w:rPr>
          <w:rFonts w:hint="eastAsia" w:ascii="黑体" w:hAnsi="黑体" w:eastAsia="黑体" w:cs="黑体"/>
          <w:color w:val="auto"/>
          <w:sz w:val="32"/>
          <w:szCs w:val="32"/>
          <w:highlight w:val="none"/>
        </w:rPr>
        <w:t>九</w:t>
      </w:r>
      <w:r>
        <w:rPr>
          <w:rFonts w:hint="eastAsia" w:ascii="黑体" w:hAnsi="黑体" w:eastAsia="黑体" w:cs="黑体"/>
          <w:color w:val="auto"/>
          <w:sz w:val="32"/>
          <w:szCs w:val="32"/>
          <w:highlight w:val="none"/>
          <w:lang w:val="zh-CN"/>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项目保护单位</w:t>
      </w:r>
      <w:r>
        <w:rPr>
          <w:rFonts w:hint="eastAsia" w:ascii="仿宋_GB2312" w:hAnsi="仿宋_GB2312" w:eastAsia="仿宋_GB2312" w:cs="仿宋_GB2312"/>
          <w:color w:val="auto"/>
          <w:sz w:val="32"/>
          <w:szCs w:val="32"/>
          <w:highlight w:val="none"/>
        </w:rPr>
        <w:t>依法</w:t>
      </w:r>
      <w:r>
        <w:rPr>
          <w:rFonts w:hint="eastAsia" w:ascii="仿宋_GB2312" w:hAnsi="仿宋_GB2312" w:eastAsia="仿宋_GB2312" w:cs="仿宋_GB2312"/>
          <w:color w:val="auto"/>
          <w:sz w:val="32"/>
          <w:szCs w:val="32"/>
          <w:highlight w:val="none"/>
          <w:lang w:val="zh-CN"/>
        </w:rPr>
        <w:t>合理利用传统医药</w:t>
      </w:r>
      <w:r>
        <w:rPr>
          <w:rFonts w:hint="eastAsia" w:ascii="仿宋_GB2312" w:hAnsi="仿宋_GB2312" w:eastAsia="仿宋_GB2312" w:cs="仿宋_GB2312"/>
          <w:color w:val="auto"/>
          <w:sz w:val="32"/>
          <w:szCs w:val="32"/>
          <w:highlight w:val="none"/>
        </w:rPr>
        <w:t>国家级</w:t>
      </w:r>
      <w:r>
        <w:rPr>
          <w:rFonts w:hint="eastAsia" w:ascii="仿宋_GB2312" w:hAnsi="仿宋_GB2312" w:eastAsia="仿宋_GB2312" w:cs="仿宋_GB2312"/>
          <w:color w:val="auto"/>
          <w:sz w:val="32"/>
          <w:szCs w:val="32"/>
          <w:highlight w:val="none"/>
          <w:lang w:val="zh-CN"/>
        </w:rPr>
        <w:t>非物质文化遗产代表性项目，提供相关产品和服务，</w:t>
      </w:r>
      <w:r>
        <w:rPr>
          <w:rFonts w:hint="eastAsia" w:ascii="仿宋_GB2312" w:hAnsi="仿宋_GB2312" w:eastAsia="仿宋_GB2312" w:cs="仿宋_GB2312"/>
          <w:color w:val="auto"/>
          <w:sz w:val="32"/>
          <w:szCs w:val="32"/>
          <w:highlight w:val="none"/>
        </w:rPr>
        <w:t>并有权推荐非物质文化遗产代表性项目的代表性传承人。</w:t>
      </w:r>
    </w:p>
    <w:p>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第十条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项目保护单位应当履行下列义务：</w:t>
      </w:r>
    </w:p>
    <w:p>
      <w:pPr>
        <w:keepNext w:val="0"/>
        <w:keepLines w:val="0"/>
        <w:pageBreakBefore w:val="0"/>
        <w:widowControl w:val="0"/>
        <w:kinsoku/>
        <w:wordWrap/>
        <w:overflowPunct/>
        <w:topLinePunct w:val="0"/>
        <w:autoSpaceDE/>
        <w:autoSpaceDN/>
        <w:bidi w:val="0"/>
        <w:adjustRightInd/>
        <w:snapToGrid/>
        <w:spacing w:line="600" w:lineRule="exact"/>
        <w:ind w:firstLine="641"/>
        <w:jc w:val="both"/>
        <w:textAlignment w:val="auto"/>
        <w:outlineLvl w:val="9"/>
        <w:rPr>
          <w:rFonts w:hint="eastAsia"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（一）为代表性传承人开展传承活动提供必要条件；</w:t>
      </w:r>
    </w:p>
    <w:p>
      <w:pPr>
        <w:keepNext w:val="0"/>
        <w:keepLines w:val="0"/>
        <w:pageBreakBefore w:val="0"/>
        <w:widowControl w:val="0"/>
        <w:kinsoku/>
        <w:wordWrap/>
        <w:overflowPunct/>
        <w:topLinePunct w:val="0"/>
        <w:autoSpaceDE/>
        <w:autoSpaceDN/>
        <w:bidi w:val="0"/>
        <w:adjustRightInd/>
        <w:snapToGrid/>
        <w:spacing w:line="600" w:lineRule="exact"/>
        <w:ind w:firstLine="641"/>
        <w:jc w:val="both"/>
        <w:textAlignment w:val="auto"/>
        <w:outlineLvl w:val="9"/>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（二）坚持使用优质药材，传承传统技艺，坚守传统工艺流程和核心技艺，保证项目的原真性；</w:t>
      </w:r>
    </w:p>
    <w:p>
      <w:pPr>
        <w:keepNext w:val="0"/>
        <w:keepLines w:val="0"/>
        <w:pageBreakBefore w:val="0"/>
        <w:widowControl w:val="0"/>
        <w:kinsoku/>
        <w:wordWrap/>
        <w:overflowPunct/>
        <w:topLinePunct w:val="0"/>
        <w:autoSpaceDE/>
        <w:autoSpaceDN/>
        <w:bidi w:val="0"/>
        <w:adjustRightInd/>
        <w:snapToGrid/>
        <w:spacing w:line="600" w:lineRule="exact"/>
        <w:ind w:firstLine="641"/>
        <w:jc w:val="both"/>
        <w:textAlignment w:val="auto"/>
        <w:outlineLvl w:val="9"/>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（三）合理使用</w:t>
      </w:r>
      <w:r>
        <w:rPr>
          <w:rFonts w:hint="eastAsia" w:ascii="Times New Roman" w:hAnsi="Times New Roman" w:eastAsia="仿宋_GB2312"/>
          <w:snapToGrid w:val="0"/>
          <w:color w:val="auto"/>
          <w:sz w:val="32"/>
          <w:szCs w:val="32"/>
          <w:highlight w:val="none"/>
        </w:rPr>
        <w:t>太谷传统医药国家级非物质文化遗产标牌、</w:t>
      </w:r>
      <w:r>
        <w:rPr>
          <w:rFonts w:hint="eastAsia" w:ascii="仿宋_GB2312" w:hAnsi="仿宋_GB2312" w:eastAsia="仿宋_GB2312" w:cs="仿宋_GB2312"/>
          <w:color w:val="auto"/>
          <w:sz w:val="32"/>
          <w:szCs w:val="32"/>
          <w:highlight w:val="none"/>
          <w:lang w:val="zh-CN"/>
        </w:rPr>
        <w:t>项目保护单位标牌和生产性保护示范基地标识，不得擅自复制或者转让；</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w:t>
      </w:r>
      <w:r>
        <w:rPr>
          <w:rFonts w:hint="eastAsia" w:ascii="仿宋_GB2312" w:hAnsi="仿宋_GB2312" w:eastAsia="仿宋_GB2312" w:cs="仿宋_GB2312"/>
          <w:color w:val="auto"/>
          <w:sz w:val="32"/>
          <w:szCs w:val="32"/>
          <w:highlight w:val="none"/>
        </w:rPr>
        <w:t>四</w:t>
      </w:r>
      <w:r>
        <w:rPr>
          <w:rFonts w:hint="eastAsia" w:ascii="仿宋_GB2312" w:hAnsi="仿宋_GB2312" w:eastAsia="仿宋_GB2312" w:cs="仿宋_GB2312"/>
          <w:color w:val="auto"/>
          <w:sz w:val="32"/>
          <w:szCs w:val="32"/>
          <w:highlight w:val="none"/>
          <w:lang w:val="zh-CN"/>
        </w:rPr>
        <w:t>）妥善</w:t>
      </w:r>
      <w:r>
        <w:rPr>
          <w:rFonts w:ascii="仿宋_GB2312" w:hAnsi="仿宋_GB2312" w:eastAsia="仿宋_GB2312" w:cs="仿宋_GB2312"/>
          <w:color w:val="auto"/>
          <w:sz w:val="32"/>
          <w:szCs w:val="32"/>
          <w:highlight w:val="none"/>
          <w:lang w:val="zh-CN"/>
        </w:rPr>
        <w:t>保管国家级非物质文化</w:t>
      </w:r>
      <w:r>
        <w:rPr>
          <w:rFonts w:hint="eastAsia" w:ascii="仿宋_GB2312" w:hAnsi="仿宋_GB2312" w:eastAsia="仿宋_GB2312" w:cs="仿宋_GB2312"/>
          <w:color w:val="auto"/>
          <w:sz w:val="32"/>
          <w:szCs w:val="32"/>
          <w:highlight w:val="none"/>
          <w:lang w:val="zh-CN"/>
        </w:rPr>
        <w:t>遗产</w:t>
      </w:r>
      <w:r>
        <w:rPr>
          <w:rFonts w:ascii="仿宋_GB2312" w:hAnsi="仿宋_GB2312" w:eastAsia="仿宋_GB2312" w:cs="仿宋_GB2312"/>
          <w:color w:val="auto"/>
          <w:sz w:val="32"/>
          <w:szCs w:val="32"/>
          <w:highlight w:val="none"/>
          <w:lang w:val="zh-CN"/>
        </w:rPr>
        <w:t>实物资料</w:t>
      </w:r>
      <w:r>
        <w:rPr>
          <w:rFonts w:hint="eastAsia" w:ascii="仿宋_GB2312" w:hAnsi="仿宋_GB2312" w:eastAsia="仿宋_GB2312" w:cs="仿宋_GB2312"/>
          <w:color w:val="auto"/>
          <w:sz w:val="32"/>
          <w:szCs w:val="32"/>
          <w:highlight w:val="none"/>
          <w:lang w:val="zh-CN"/>
        </w:rPr>
        <w:t>，</w:t>
      </w:r>
      <w:r>
        <w:rPr>
          <w:rFonts w:ascii="仿宋_GB2312" w:hAnsi="仿宋_GB2312" w:eastAsia="仿宋_GB2312" w:cs="仿宋_GB2312"/>
          <w:color w:val="auto"/>
          <w:sz w:val="32"/>
          <w:szCs w:val="32"/>
          <w:highlight w:val="none"/>
          <w:lang w:val="zh-CN"/>
        </w:rPr>
        <w:t>不得侵占或者转让；</w:t>
      </w:r>
    </w:p>
    <w:p>
      <w:pPr>
        <w:pStyle w:val="6"/>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w:t>
      </w:r>
      <w:r>
        <w:rPr>
          <w:rFonts w:hint="eastAsia" w:ascii="仿宋_GB2312" w:hAnsi="仿宋_GB2312" w:eastAsia="仿宋_GB2312" w:cs="仿宋_GB2312"/>
          <w:color w:val="auto"/>
          <w:sz w:val="32"/>
          <w:szCs w:val="32"/>
          <w:highlight w:val="none"/>
        </w:rPr>
        <w:t>五</w:t>
      </w:r>
      <w:r>
        <w:rPr>
          <w:rFonts w:hint="eastAsia" w:ascii="仿宋_GB2312" w:hAnsi="仿宋_GB2312" w:eastAsia="仿宋_GB2312" w:cs="仿宋_GB2312"/>
          <w:color w:val="auto"/>
          <w:sz w:val="32"/>
          <w:szCs w:val="32"/>
          <w:highlight w:val="none"/>
          <w:lang w:val="zh-CN"/>
        </w:rPr>
        <w:t>）加强生产技艺培训，开展技术交流、技能竞赛和业务学习等活动；</w:t>
      </w:r>
    </w:p>
    <w:p>
      <w:pPr>
        <w:pStyle w:val="6"/>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（六</w:t>
      </w:r>
      <w:r>
        <w:rPr>
          <w:rFonts w:ascii="仿宋_GB2312" w:hAnsi="仿宋_GB2312" w:eastAsia="仿宋_GB2312" w:cs="仿宋_GB2312"/>
          <w:color w:val="auto"/>
          <w:sz w:val="32"/>
          <w:szCs w:val="32"/>
          <w:highlight w:val="none"/>
          <w:lang w:val="zh-CN"/>
        </w:rPr>
        <w:t>）</w:t>
      </w:r>
      <w:r>
        <w:rPr>
          <w:rFonts w:hint="eastAsia" w:ascii="仿宋_GB2312" w:hAnsi="仿宋_GB2312" w:eastAsia="仿宋_GB2312" w:cs="仿宋_GB2312"/>
          <w:color w:val="auto"/>
          <w:sz w:val="32"/>
          <w:szCs w:val="32"/>
          <w:highlight w:val="none"/>
          <w:lang w:val="zh-CN"/>
        </w:rPr>
        <w:t>其他依法应当履行的义务。</w:t>
      </w:r>
    </w:p>
    <w:p>
      <w:pPr>
        <w:pStyle w:val="6"/>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第十一条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保护和利用太谷传统医药国家级非物质文化遗产，应当尊重历史真实性和本土文化内涵，保持原有文化生态和文化风貌，不得贬损、歪曲和篡改历史渊源，不得进行虚假或者误导性宣传。</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ascii="黑体" w:hAnsi="黑体" w:eastAsia="黑体" w:cs="黑体"/>
          <w:color w:val="auto"/>
          <w:sz w:val="32"/>
          <w:szCs w:val="32"/>
          <w:highlight w:val="none"/>
          <w:lang w:val="zh-CN"/>
        </w:rPr>
        <w:t>第十</w:t>
      </w:r>
      <w:r>
        <w:rPr>
          <w:rFonts w:hint="eastAsia" w:ascii="黑体" w:hAnsi="黑体" w:eastAsia="黑体" w:cs="黑体"/>
          <w:color w:val="auto"/>
          <w:sz w:val="32"/>
          <w:szCs w:val="32"/>
          <w:highlight w:val="none"/>
        </w:rPr>
        <w:t>二</w:t>
      </w:r>
      <w:r>
        <w:rPr>
          <w:rFonts w:hint="eastAsia" w:ascii="黑体" w:hAnsi="黑体" w:eastAsia="黑体" w:cs="黑体"/>
          <w:color w:val="auto"/>
          <w:sz w:val="32"/>
          <w:szCs w:val="32"/>
          <w:highlight w:val="none"/>
          <w:lang w:val="zh-CN"/>
        </w:rPr>
        <w:t>条</w:t>
      </w:r>
      <w:r>
        <w:rPr>
          <w:rFonts w:hint="eastAsia" w:ascii="仿宋_GB2312" w:hAnsi="仿宋_GB2312" w:eastAsia="仿宋_GB2312" w:cs="仿宋_GB2312"/>
          <w:b/>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任何单位和个人不得从事下列行为：</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（一）擅自使用太谷传统医药国家级非物质文化遗产项目名称、标牌标识；</w:t>
      </w:r>
    </w:p>
    <w:p>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color w:val="auto"/>
          <w:sz w:val="32"/>
          <w:szCs w:val="32"/>
          <w:highlight w:val="none"/>
          <w:lang w:val="zh-CN"/>
        </w:rPr>
      </w:pPr>
      <w:r>
        <w:rPr>
          <w:rFonts w:ascii="仿宋_GB2312" w:hAnsi="仿宋_GB2312" w:eastAsia="仿宋_GB2312" w:cs="仿宋_GB2312"/>
          <w:color w:val="auto"/>
          <w:sz w:val="32"/>
          <w:szCs w:val="32"/>
          <w:highlight w:val="none"/>
          <w:lang w:val="zh-CN"/>
        </w:rPr>
        <w:t>（二）擅自以太谷传统医药国家级非物质文化遗产项目名义注册企业或者从事生产、经营活动</w:t>
      </w:r>
      <w:r>
        <w:rPr>
          <w:rFonts w:hint="eastAsia" w:ascii="仿宋_GB2312" w:hAnsi="仿宋_GB2312" w:eastAsia="仿宋_GB2312" w:cs="仿宋_GB2312"/>
          <w:color w:val="auto"/>
          <w:sz w:val="32"/>
          <w:szCs w:val="32"/>
          <w:highlight w:val="none"/>
          <w:lang w:val="zh-CN"/>
        </w:rPr>
        <w:t>。</w:t>
      </w:r>
    </w:p>
    <w:p>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w:t>
      </w:r>
      <w:r>
        <w:rPr>
          <w:rFonts w:hint="eastAsia" w:ascii="黑体" w:hAnsi="黑体" w:eastAsia="黑体" w:cs="黑体"/>
          <w:color w:val="auto"/>
          <w:sz w:val="32"/>
          <w:szCs w:val="32"/>
          <w:highlight w:val="none"/>
        </w:rPr>
        <w:t>十三</w:t>
      </w:r>
      <w:r>
        <w:rPr>
          <w:rFonts w:hint="eastAsia" w:ascii="黑体" w:hAnsi="黑体" w:eastAsia="黑体" w:cs="黑体"/>
          <w:color w:val="auto"/>
          <w:sz w:val="32"/>
          <w:szCs w:val="32"/>
          <w:highlight w:val="none"/>
          <w:lang w:val="zh-CN"/>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项目保护单位应当根据需要，设立太谷传统医药国家级非物质文化遗产展示场所、传习场所和中医药文化宣传教育基地。</w:t>
      </w:r>
    </w:p>
    <w:p>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公共文化机构应当有计划地展示</w:t>
      </w:r>
      <w:r>
        <w:rPr>
          <w:rFonts w:hint="eastAsia" w:ascii="仿宋_GB2312" w:hAnsi="仿宋_GB2312" w:eastAsia="仿宋_GB2312" w:cs="仿宋_GB2312"/>
          <w:color w:val="auto"/>
          <w:sz w:val="32"/>
          <w:szCs w:val="32"/>
          <w:highlight w:val="none"/>
        </w:rPr>
        <w:t>太谷</w:t>
      </w:r>
      <w:r>
        <w:rPr>
          <w:rFonts w:hint="eastAsia" w:ascii="仿宋_GB2312" w:hAnsi="仿宋_GB2312" w:eastAsia="仿宋_GB2312" w:cs="仿宋_GB2312"/>
          <w:color w:val="auto"/>
          <w:sz w:val="32"/>
          <w:szCs w:val="32"/>
          <w:highlight w:val="none"/>
          <w:lang w:val="zh-CN"/>
        </w:rPr>
        <w:t>传统医药国家级非物质文化遗产代表性项目，按照有关规定向社会开放。</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新闻媒体应当开展</w:t>
      </w:r>
      <w:r>
        <w:rPr>
          <w:rFonts w:hint="eastAsia" w:ascii="仿宋_GB2312" w:hAnsi="仿宋_GB2312" w:eastAsia="仿宋_GB2312" w:cs="仿宋_GB2312"/>
          <w:color w:val="auto"/>
          <w:sz w:val="32"/>
          <w:szCs w:val="32"/>
          <w:highlight w:val="none"/>
        </w:rPr>
        <w:t>太谷</w:t>
      </w:r>
      <w:r>
        <w:rPr>
          <w:rFonts w:hint="eastAsia" w:ascii="仿宋_GB2312" w:hAnsi="仿宋_GB2312" w:eastAsia="仿宋_GB2312" w:cs="仿宋_GB2312"/>
          <w:color w:val="auto"/>
          <w:sz w:val="32"/>
          <w:szCs w:val="32"/>
          <w:highlight w:val="none"/>
          <w:lang w:val="zh-CN"/>
        </w:rPr>
        <w:t>传统医药国家级非物质文化遗产代表性项目的宣传，普及传统医药知识。</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鼓励</w:t>
      </w:r>
      <w:r>
        <w:rPr>
          <w:rFonts w:hint="eastAsia" w:ascii="仿宋_GB2312" w:hAnsi="仿宋_GB2312" w:eastAsia="仿宋_GB2312" w:cs="仿宋_GB2312"/>
          <w:color w:val="auto"/>
          <w:sz w:val="32"/>
          <w:szCs w:val="32"/>
          <w:highlight w:val="none"/>
        </w:rPr>
        <w:t>有关部门</w:t>
      </w:r>
      <w:r>
        <w:rPr>
          <w:rFonts w:hint="eastAsia" w:ascii="仿宋_GB2312" w:hAnsi="仿宋_GB2312" w:eastAsia="仿宋_GB2312" w:cs="仿宋_GB2312"/>
          <w:color w:val="auto"/>
          <w:sz w:val="32"/>
          <w:szCs w:val="32"/>
          <w:highlight w:val="none"/>
          <w:lang w:val="zh-CN"/>
        </w:rPr>
        <w:t>将太谷传统医药国家级非物质文化遗产纳入社区文化建设内容。</w:t>
      </w:r>
    </w:p>
    <w:p>
      <w:pPr>
        <w:pageBreakBefore w:val="0"/>
        <w:kinsoku/>
        <w:wordWrap/>
        <w:overflowPunct/>
        <w:topLinePunct w:val="0"/>
        <w:autoSpaceDE/>
        <w:autoSpaceDN/>
        <w:bidi w:val="0"/>
        <w:adjustRightInd/>
        <w:snapToGrid/>
        <w:spacing w:line="600" w:lineRule="exact"/>
        <w:ind w:firstLine="640"/>
        <w:jc w:val="both"/>
        <w:textAlignment w:val="auto"/>
        <w:rPr>
          <w:rFonts w:hint="eastAsia"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第十四条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市、区人民政府应当依托太谷传统医药国家级非物质文化遗产项目，建设中医药特色医养结合示范基地，推动健康产业园区与产业联盟发展。</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市、区人民政府应当促进太谷传统医药国</w:t>
      </w:r>
      <w:r>
        <w:rPr>
          <w:rFonts w:hint="eastAsia" w:ascii="仿宋_GB2312" w:hAnsi="仿宋_GB2312" w:eastAsia="仿宋_GB2312" w:cs="仿宋_GB2312"/>
          <w:color w:val="auto"/>
          <w:sz w:val="32"/>
          <w:szCs w:val="32"/>
          <w:highlight w:val="none"/>
        </w:rPr>
        <w:t>家级</w:t>
      </w:r>
      <w:r>
        <w:rPr>
          <w:rFonts w:hint="eastAsia" w:ascii="仿宋_GB2312" w:hAnsi="仿宋_GB2312" w:eastAsia="仿宋_GB2312" w:cs="仿宋_GB2312"/>
          <w:color w:val="auto"/>
          <w:sz w:val="32"/>
          <w:szCs w:val="32"/>
          <w:highlight w:val="none"/>
          <w:lang w:val="zh-CN"/>
        </w:rPr>
        <w:t>非物质文化遗产与</w:t>
      </w:r>
      <w:r>
        <w:rPr>
          <w:rFonts w:hint="eastAsia" w:ascii="仿宋_GB2312" w:hAnsi="仿宋_GB2312" w:eastAsia="仿宋_GB2312" w:cs="仿宋_GB2312"/>
          <w:color w:val="auto"/>
          <w:sz w:val="32"/>
          <w:szCs w:val="32"/>
          <w:highlight w:val="none"/>
        </w:rPr>
        <w:t>特色</w:t>
      </w:r>
      <w:r>
        <w:rPr>
          <w:rFonts w:hint="eastAsia" w:ascii="仿宋_GB2312" w:hAnsi="仿宋_GB2312" w:eastAsia="仿宋_GB2312" w:cs="仿宋_GB2312"/>
          <w:color w:val="auto"/>
          <w:sz w:val="32"/>
          <w:szCs w:val="32"/>
          <w:highlight w:val="none"/>
          <w:lang w:val="zh-CN"/>
        </w:rPr>
        <w:t>旅游融合发展。</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第十</w:t>
      </w:r>
      <w:r>
        <w:rPr>
          <w:rFonts w:hint="eastAsia" w:ascii="黑体" w:hAnsi="黑体" w:eastAsia="黑体" w:cs="黑体"/>
          <w:color w:val="auto"/>
          <w:sz w:val="32"/>
          <w:szCs w:val="32"/>
          <w:highlight w:val="none"/>
        </w:rPr>
        <w:t>五</w:t>
      </w:r>
      <w:r>
        <w:rPr>
          <w:rFonts w:hint="eastAsia" w:ascii="黑体" w:hAnsi="黑体" w:eastAsia="黑体" w:cs="黑体"/>
          <w:color w:val="auto"/>
          <w:sz w:val="32"/>
          <w:szCs w:val="32"/>
          <w:highlight w:val="none"/>
          <w:lang w:val="zh-CN"/>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市、区人民政府应当</w:t>
      </w:r>
      <w:r>
        <w:rPr>
          <w:rFonts w:hint="eastAsia" w:ascii="仿宋_GB2312" w:hAnsi="仿宋_GB2312" w:eastAsia="仿宋_GB2312" w:cs="仿宋_GB2312"/>
          <w:color w:val="auto"/>
          <w:sz w:val="32"/>
          <w:szCs w:val="32"/>
          <w:highlight w:val="none"/>
        </w:rPr>
        <w:t>鼓励</w:t>
      </w:r>
      <w:r>
        <w:rPr>
          <w:rFonts w:hint="eastAsia" w:ascii="仿宋_GB2312" w:hAnsi="仿宋_GB2312" w:eastAsia="仿宋_GB2312" w:cs="仿宋_GB2312"/>
          <w:color w:val="auto"/>
          <w:sz w:val="32"/>
          <w:szCs w:val="32"/>
          <w:highlight w:val="none"/>
          <w:lang w:val="zh-CN"/>
        </w:rPr>
        <w:t>太谷传统医药国家级非物质文化遗产项目</w:t>
      </w:r>
      <w:r>
        <w:rPr>
          <w:rFonts w:ascii="仿宋_GB2312" w:hAnsi="仿宋_GB2312" w:eastAsia="仿宋_GB2312" w:cs="仿宋_GB2312"/>
          <w:color w:val="auto"/>
          <w:sz w:val="32"/>
          <w:szCs w:val="32"/>
          <w:highlight w:val="none"/>
          <w:lang w:val="zh-CN"/>
        </w:rPr>
        <w:t>保护单位通过</w:t>
      </w:r>
      <w:r>
        <w:rPr>
          <w:rFonts w:hint="eastAsia" w:ascii="仿宋_GB2312" w:hAnsi="仿宋_GB2312" w:eastAsia="仿宋_GB2312" w:cs="仿宋_GB2312"/>
          <w:color w:val="auto"/>
          <w:sz w:val="32"/>
          <w:szCs w:val="32"/>
          <w:highlight w:val="none"/>
          <w:lang w:val="zh-CN"/>
        </w:rPr>
        <w:t>建设出口基地、海外中心、国际合作基地等方式，加强对外交流与合作。</w:t>
      </w:r>
    </w:p>
    <w:p>
      <w:pPr>
        <w:keepNext w:val="0"/>
        <w:keepLines w:val="0"/>
        <w:pageBreakBefore w:val="0"/>
        <w:kinsoku/>
        <w:wordWrap/>
        <w:overflowPunct/>
        <w:topLinePunct w:val="0"/>
        <w:autoSpaceDE/>
        <w:autoSpaceDN/>
        <w:bidi w:val="0"/>
        <w:adjustRightInd/>
        <w:snapToGrid/>
        <w:spacing w:before="313" w:beforeLines="100" w:after="313" w:afterLines="100" w:line="600" w:lineRule="exact"/>
        <w:jc w:val="center"/>
        <w:textAlignment w:val="auto"/>
        <w:outlineLvl w:val="9"/>
        <w:rPr>
          <w:rFonts w:ascii="黑体" w:hAnsi="黑体" w:eastAsia="黑体" w:cs="黑体"/>
          <w:color w:val="auto"/>
          <w:sz w:val="32"/>
          <w:szCs w:val="32"/>
          <w:highlight w:val="none"/>
          <w:lang w:val="zh-CN"/>
        </w:rPr>
      </w:pPr>
      <w:r>
        <w:rPr>
          <w:rFonts w:hint="eastAsia" w:ascii="黑体" w:hAnsi="黑体" w:eastAsia="黑体" w:cs="黑体"/>
          <w:color w:val="auto"/>
          <w:sz w:val="32"/>
          <w:szCs w:val="32"/>
          <w:highlight w:val="none"/>
          <w:lang w:val="zh-CN"/>
        </w:rPr>
        <w:t>第三章</w:t>
      </w:r>
      <w:r>
        <w:rPr>
          <w:rFonts w:hint="eastAsia" w:ascii="黑体" w:hAnsi="黑体" w:eastAsia="黑体" w:cs="黑体"/>
          <w:color w:val="auto"/>
          <w:sz w:val="32"/>
          <w:szCs w:val="32"/>
          <w:highlight w:val="none"/>
          <w:lang w:val="en-US" w:eastAsia="zh-CN"/>
        </w:rPr>
        <w:t xml:space="preserve">  </w:t>
      </w:r>
      <w:r>
        <w:rPr>
          <w:rFonts w:hint="eastAsia" w:ascii="黑体" w:hAnsi="黑体" w:eastAsia="黑体" w:cs="黑体"/>
          <w:color w:val="auto"/>
          <w:sz w:val="32"/>
          <w:szCs w:val="32"/>
          <w:highlight w:val="none"/>
          <w:lang w:val="zh-CN"/>
        </w:rPr>
        <w:t>保障措施</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w:t>
      </w:r>
      <w:r>
        <w:rPr>
          <w:rFonts w:hint="eastAsia" w:ascii="黑体" w:hAnsi="黑体" w:eastAsia="黑体" w:cs="黑体"/>
          <w:color w:val="auto"/>
          <w:sz w:val="32"/>
          <w:szCs w:val="32"/>
          <w:highlight w:val="none"/>
        </w:rPr>
        <w:t>十六</w:t>
      </w:r>
      <w:r>
        <w:rPr>
          <w:rFonts w:hint="eastAsia" w:ascii="黑体" w:hAnsi="黑体" w:eastAsia="黑体" w:cs="黑体"/>
          <w:color w:val="auto"/>
          <w:sz w:val="32"/>
          <w:szCs w:val="32"/>
          <w:highlight w:val="none"/>
          <w:lang w:val="zh-CN"/>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太谷</w:t>
      </w:r>
      <w:r>
        <w:rPr>
          <w:rFonts w:hint="eastAsia" w:ascii="仿宋_GB2312" w:hAnsi="仿宋_GB2312" w:eastAsia="仿宋_GB2312" w:cs="仿宋_GB2312"/>
          <w:color w:val="auto"/>
          <w:sz w:val="32"/>
          <w:szCs w:val="32"/>
          <w:highlight w:val="none"/>
          <w:lang w:val="zh-CN"/>
        </w:rPr>
        <w:t>传统医药国家级非物质文化遗产保护</w:t>
      </w:r>
      <w:r>
        <w:rPr>
          <w:rFonts w:hint="eastAsia" w:ascii="仿宋_GB2312" w:hAnsi="Times New Roman" w:eastAsia="仿宋_GB2312"/>
          <w:color w:val="auto"/>
          <w:sz w:val="32"/>
          <w:szCs w:val="32"/>
          <w:highlight w:val="none"/>
          <w:lang w:eastAsia="zh-CN"/>
        </w:rPr>
        <w:t>经费</w:t>
      </w:r>
      <w:r>
        <w:rPr>
          <w:rFonts w:hint="eastAsia" w:ascii="仿宋_GB2312" w:hAnsi="Times New Roman" w:eastAsia="仿宋_GB2312"/>
          <w:color w:val="auto"/>
          <w:sz w:val="32"/>
          <w:szCs w:val="32"/>
          <w:highlight w:val="none"/>
        </w:rPr>
        <w:t>，</w:t>
      </w:r>
      <w:r>
        <w:rPr>
          <w:rFonts w:hint="eastAsia" w:ascii="仿宋_GB2312" w:hAnsi="Times New Roman" w:eastAsia="仿宋_GB2312"/>
          <w:color w:val="auto"/>
          <w:sz w:val="32"/>
          <w:szCs w:val="32"/>
          <w:highlight w:val="none"/>
          <w:lang w:eastAsia="zh-CN"/>
        </w:rPr>
        <w:t>主要</w:t>
      </w:r>
      <w:r>
        <w:rPr>
          <w:rFonts w:hint="eastAsia" w:ascii="仿宋_GB2312" w:hAnsi="仿宋_GB2312" w:eastAsia="仿宋_GB2312" w:cs="仿宋_GB2312"/>
          <w:color w:val="auto"/>
          <w:sz w:val="32"/>
          <w:szCs w:val="32"/>
          <w:highlight w:val="none"/>
          <w:lang w:val="zh-CN"/>
        </w:rPr>
        <w:t>用于下列事项：</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（一）濒危太谷传统医药国家级非物质文化遗产的抢救；</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（二）太谷传统医药国家级非物质文化遗产资料和实物的征集和收购；</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（三）太谷传统医药国家级非物质文化遗产代表性项目的研究；</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（四）太谷传统医药国家级非物质文化遗产代表性项目传承人的补助。</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第十七条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市、区人民政府文化主管部门应当</w:t>
      </w:r>
      <w:r>
        <w:rPr>
          <w:rFonts w:hint="eastAsia" w:ascii="仿宋_GB2312" w:hAnsi="仿宋_GB2312" w:eastAsia="仿宋_GB2312" w:cs="仿宋_GB2312"/>
          <w:color w:val="auto"/>
          <w:sz w:val="32"/>
          <w:szCs w:val="32"/>
          <w:highlight w:val="none"/>
        </w:rPr>
        <w:t>对项目</w:t>
      </w:r>
      <w:r>
        <w:rPr>
          <w:rFonts w:hint="eastAsia" w:ascii="仿宋_GB2312" w:hAnsi="仿宋_GB2312" w:eastAsia="仿宋_GB2312" w:cs="仿宋_GB2312"/>
          <w:color w:val="auto"/>
          <w:sz w:val="32"/>
          <w:szCs w:val="32"/>
          <w:highlight w:val="none"/>
          <w:lang w:val="zh-CN"/>
        </w:rPr>
        <w:t>保护单位和代表性传承人义务履行、经费使用</w:t>
      </w:r>
      <w:r>
        <w:rPr>
          <w:rFonts w:hint="eastAsia" w:ascii="仿宋_GB2312" w:hAnsi="仿宋_GB2312" w:eastAsia="仿宋_GB2312" w:cs="仿宋_GB2312"/>
          <w:color w:val="auto"/>
          <w:sz w:val="32"/>
          <w:szCs w:val="32"/>
          <w:highlight w:val="none"/>
        </w:rPr>
        <w:t>进行监督</w:t>
      </w:r>
      <w:r>
        <w:rPr>
          <w:rFonts w:hint="eastAsia" w:ascii="仿宋_GB2312" w:hAnsi="仿宋_GB2312" w:eastAsia="仿宋_GB2312" w:cs="仿宋_GB2312"/>
          <w:color w:val="auto"/>
          <w:sz w:val="32"/>
          <w:szCs w:val="32"/>
          <w:highlight w:val="none"/>
          <w:lang w:val="zh-CN"/>
        </w:rPr>
        <w:t>。</w:t>
      </w:r>
    </w:p>
    <w:p>
      <w:pPr>
        <w:pStyle w:val="6"/>
        <w:pageBreakBefore w:val="0"/>
        <w:kinsoku/>
        <w:wordWrap/>
        <w:overflowPunct/>
        <w:topLinePunct w:val="0"/>
        <w:autoSpaceDE/>
        <w:autoSpaceDN/>
        <w:bidi w:val="0"/>
        <w:adjustRightInd/>
        <w:snapToGrid/>
        <w:spacing w:line="600" w:lineRule="exact"/>
        <w:ind w:firstLine="640"/>
        <w:jc w:val="both"/>
        <w:textAlignment w:val="auto"/>
        <w:rPr>
          <w:rFonts w:hint="eastAsia"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第十</w:t>
      </w:r>
      <w:r>
        <w:rPr>
          <w:rFonts w:hint="eastAsia" w:ascii="黑体" w:hAnsi="黑体" w:eastAsia="黑体" w:cs="黑体"/>
          <w:color w:val="auto"/>
          <w:sz w:val="32"/>
          <w:szCs w:val="32"/>
          <w:highlight w:val="none"/>
        </w:rPr>
        <w:t>八</w:t>
      </w:r>
      <w:r>
        <w:rPr>
          <w:rFonts w:hint="eastAsia" w:ascii="黑体" w:hAnsi="黑体" w:eastAsia="黑体" w:cs="黑体"/>
          <w:color w:val="auto"/>
          <w:sz w:val="32"/>
          <w:szCs w:val="32"/>
          <w:highlight w:val="none"/>
          <w:lang w:val="zh-CN"/>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市、区</w:t>
      </w:r>
      <w:r>
        <w:rPr>
          <w:rFonts w:hint="eastAsia" w:ascii="仿宋_GB2312" w:hAnsi="仿宋_GB2312" w:eastAsia="仿宋_GB2312" w:cs="仿宋_GB2312"/>
          <w:color w:val="auto"/>
          <w:sz w:val="32"/>
          <w:szCs w:val="32"/>
          <w:highlight w:val="none"/>
        </w:rPr>
        <w:t>人</w:t>
      </w:r>
      <w:r>
        <w:rPr>
          <w:rFonts w:hint="eastAsia" w:ascii="仿宋_GB2312" w:hAnsi="仿宋_GB2312" w:eastAsia="仿宋_GB2312" w:cs="仿宋_GB2312"/>
          <w:color w:val="auto"/>
          <w:sz w:val="32"/>
          <w:szCs w:val="32"/>
          <w:highlight w:val="none"/>
          <w:lang w:val="zh-CN"/>
        </w:rPr>
        <w:t>民政府市场监督管理、文化主管等部门应当支持、指导项目保护单位通过申请知识产权、制定标准等方式，对太谷传统医药国家级非物质文化遗产代表性项目进行保护。</w:t>
      </w:r>
    </w:p>
    <w:p>
      <w:pPr>
        <w:pageBreakBefore w:val="0"/>
        <w:kinsoku/>
        <w:wordWrap/>
        <w:overflowPunct/>
        <w:topLinePunct w:val="0"/>
        <w:autoSpaceDE/>
        <w:autoSpaceDN/>
        <w:bidi w:val="0"/>
        <w:adjustRightInd/>
        <w:snapToGrid/>
        <w:spacing w:line="600" w:lineRule="exact"/>
        <w:ind w:firstLine="640"/>
        <w:jc w:val="both"/>
        <w:textAlignment w:val="auto"/>
        <w:rPr>
          <w:rFonts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第十九条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市、区人民政府应当搭建非物质文化遗产数字化平台，促进</w:t>
      </w:r>
      <w:r>
        <w:rPr>
          <w:rFonts w:hint="eastAsia" w:ascii="仿宋_GB2312" w:hAnsi="仿宋_GB2312" w:eastAsia="仿宋_GB2312" w:cs="仿宋_GB2312"/>
          <w:color w:val="auto"/>
          <w:sz w:val="32"/>
          <w:szCs w:val="32"/>
          <w:highlight w:val="none"/>
        </w:rPr>
        <w:t>太谷</w:t>
      </w:r>
      <w:r>
        <w:rPr>
          <w:rFonts w:hint="eastAsia" w:ascii="仿宋_GB2312" w:hAnsi="仿宋_GB2312" w:eastAsia="仿宋_GB2312" w:cs="仿宋_GB2312"/>
          <w:color w:val="auto"/>
          <w:sz w:val="32"/>
          <w:szCs w:val="32"/>
          <w:highlight w:val="none"/>
          <w:lang w:val="zh-CN"/>
        </w:rPr>
        <w:t>传统医药国家级非物质文化遗产的保存</w:t>
      </w:r>
      <w:r>
        <w:rPr>
          <w:rFonts w:ascii="仿宋_GB2312" w:hAnsi="仿宋_GB2312" w:eastAsia="仿宋_GB2312" w:cs="仿宋_GB2312"/>
          <w:color w:val="auto"/>
          <w:sz w:val="32"/>
          <w:szCs w:val="32"/>
          <w:highlight w:val="none"/>
          <w:lang w:val="zh-CN"/>
        </w:rPr>
        <w:t>和传播</w:t>
      </w:r>
      <w:r>
        <w:rPr>
          <w:rFonts w:hint="eastAsia" w:ascii="仿宋_GB2312" w:hAnsi="仿宋_GB2312" w:eastAsia="仿宋_GB2312" w:cs="仿宋_GB2312"/>
          <w:color w:val="auto"/>
          <w:sz w:val="32"/>
          <w:szCs w:val="32"/>
          <w:highlight w:val="none"/>
          <w:lang w:val="zh-CN"/>
        </w:rPr>
        <w:t>。</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w:t>
      </w:r>
      <w:r>
        <w:rPr>
          <w:rFonts w:hint="eastAsia" w:ascii="黑体" w:hAnsi="黑体" w:eastAsia="黑体" w:cs="黑体"/>
          <w:color w:val="auto"/>
          <w:sz w:val="32"/>
          <w:szCs w:val="32"/>
          <w:highlight w:val="none"/>
        </w:rPr>
        <w:t>二</w:t>
      </w:r>
      <w:r>
        <w:rPr>
          <w:rFonts w:hint="eastAsia" w:ascii="黑体" w:hAnsi="黑体" w:eastAsia="黑体" w:cs="黑体"/>
          <w:color w:val="auto"/>
          <w:sz w:val="32"/>
          <w:szCs w:val="32"/>
          <w:highlight w:val="none"/>
          <w:lang w:val="zh-CN"/>
        </w:rPr>
        <w:t>十条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市、区人民政府应当加强对</w:t>
      </w:r>
      <w:r>
        <w:rPr>
          <w:rFonts w:hint="eastAsia" w:ascii="仿宋_GB2312" w:hAnsi="仿宋_GB2312" w:eastAsia="仿宋_GB2312" w:cs="仿宋_GB2312"/>
          <w:color w:val="auto"/>
          <w:sz w:val="32"/>
          <w:szCs w:val="32"/>
          <w:highlight w:val="none"/>
        </w:rPr>
        <w:t>太谷</w:t>
      </w:r>
      <w:r>
        <w:rPr>
          <w:rFonts w:hint="eastAsia" w:ascii="仿宋_GB2312" w:hAnsi="仿宋_GB2312" w:eastAsia="仿宋_GB2312" w:cs="仿宋_GB2312"/>
          <w:color w:val="auto"/>
          <w:sz w:val="32"/>
          <w:szCs w:val="32"/>
          <w:highlight w:val="none"/>
          <w:lang w:val="zh-CN"/>
        </w:rPr>
        <w:t>传统医药国家级非物质文化遗产代表性项目</w:t>
      </w:r>
      <w:r>
        <w:rPr>
          <w:rFonts w:hint="eastAsia" w:ascii="仿宋_GB2312" w:hAnsi="仿宋_GB2312" w:eastAsia="仿宋_GB2312" w:cs="仿宋_GB2312"/>
          <w:color w:val="auto"/>
          <w:sz w:val="32"/>
          <w:szCs w:val="32"/>
          <w:highlight w:val="none"/>
        </w:rPr>
        <w:t>相关</w:t>
      </w:r>
      <w:r>
        <w:rPr>
          <w:rFonts w:hint="eastAsia" w:ascii="仿宋_GB2312" w:hAnsi="仿宋_GB2312" w:eastAsia="仿宋_GB2312" w:cs="仿宋_GB2312"/>
          <w:color w:val="auto"/>
          <w:sz w:val="32"/>
          <w:szCs w:val="32"/>
          <w:highlight w:val="none"/>
          <w:lang w:val="zh-CN"/>
        </w:rPr>
        <w:t>的</w:t>
      </w:r>
      <w:r>
        <w:rPr>
          <w:rFonts w:hint="eastAsia" w:ascii="仿宋_GB2312" w:hAnsi="仿宋_GB2312" w:eastAsia="仿宋_GB2312" w:cs="仿宋_GB2312"/>
          <w:color w:val="auto"/>
          <w:sz w:val="32"/>
          <w:szCs w:val="32"/>
          <w:highlight w:val="none"/>
        </w:rPr>
        <w:t>场所、</w:t>
      </w:r>
      <w:r>
        <w:rPr>
          <w:rFonts w:hint="eastAsia" w:ascii="仿宋_GB2312" w:hAnsi="仿宋_GB2312" w:eastAsia="仿宋_GB2312" w:cs="仿宋_GB2312"/>
          <w:color w:val="auto"/>
          <w:sz w:val="32"/>
          <w:szCs w:val="32"/>
          <w:highlight w:val="none"/>
          <w:lang w:val="zh-CN"/>
        </w:rPr>
        <w:t>建筑物、构筑物及其附属物的保护，设立保护标志，建立档案；属于文物和历史建筑的，依照相关法律法规</w:t>
      </w:r>
      <w:r>
        <w:rPr>
          <w:rFonts w:hint="eastAsia" w:ascii="仿宋_GB2312" w:hAnsi="仿宋_GB2312" w:eastAsia="仿宋_GB2312" w:cs="仿宋_GB2312"/>
          <w:color w:val="auto"/>
          <w:sz w:val="32"/>
          <w:szCs w:val="32"/>
          <w:highlight w:val="none"/>
        </w:rPr>
        <w:t>的规定</w:t>
      </w:r>
      <w:r>
        <w:rPr>
          <w:rFonts w:hint="eastAsia" w:ascii="仿宋_GB2312" w:hAnsi="仿宋_GB2312" w:eastAsia="仿宋_GB2312" w:cs="仿宋_GB2312"/>
          <w:color w:val="auto"/>
          <w:sz w:val="32"/>
          <w:szCs w:val="32"/>
          <w:highlight w:val="none"/>
          <w:lang w:val="zh-CN"/>
        </w:rPr>
        <w:t>予以修缮、保护和利用。</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color w:val="auto"/>
          <w:sz w:val="32"/>
          <w:szCs w:val="32"/>
          <w:highlight w:val="none"/>
          <w:lang w:val="zh-CN"/>
        </w:rPr>
      </w:pPr>
      <w:r>
        <w:rPr>
          <w:rFonts w:hint="eastAsia" w:ascii="黑体" w:hAnsi="黑体" w:eastAsia="黑体" w:cs="黑体"/>
          <w:color w:val="auto"/>
          <w:sz w:val="32"/>
          <w:szCs w:val="32"/>
          <w:highlight w:val="none"/>
          <w:lang w:val="zh-CN"/>
        </w:rPr>
        <w:t>第二十一条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市、区人民政府文化主管部门应当对涉及太谷传统医药国家级非物质文化遗产的传统技艺、饮食文化、民风民俗、故事传说等</w:t>
      </w:r>
      <w:r>
        <w:rPr>
          <w:rFonts w:hint="eastAsia" w:ascii="仿宋_GB2312" w:hAnsi="仿宋_GB2312" w:eastAsia="仿宋_GB2312" w:cs="仿宋_GB2312"/>
          <w:sz w:val="32"/>
          <w:szCs w:val="32"/>
          <w:lang w:val="en-US" w:eastAsia="zh-CN"/>
        </w:rPr>
        <w:t>关联文化资源</w:t>
      </w:r>
      <w:r>
        <w:rPr>
          <w:rFonts w:hint="eastAsia" w:ascii="仿宋_GB2312" w:hAnsi="仿宋_GB2312" w:eastAsia="仿宋_GB2312" w:cs="仿宋_GB2312"/>
          <w:color w:val="auto"/>
          <w:sz w:val="32"/>
          <w:szCs w:val="32"/>
          <w:highlight w:val="none"/>
          <w:lang w:val="zh-CN"/>
        </w:rPr>
        <w:t>进行搜集、整理和研究。</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color w:val="auto"/>
          <w:sz w:val="32"/>
          <w:szCs w:val="32"/>
          <w:highlight w:val="none"/>
          <w:lang w:val="zh-CN"/>
        </w:rPr>
      </w:pPr>
      <w:r>
        <w:rPr>
          <w:rFonts w:hint="eastAsia" w:ascii="黑体" w:hAnsi="黑体" w:eastAsia="黑体" w:cs="仿宋_GB2312"/>
          <w:color w:val="auto"/>
          <w:sz w:val="32"/>
          <w:szCs w:val="32"/>
          <w:highlight w:val="none"/>
          <w:lang w:val="zh-CN"/>
        </w:rPr>
        <w:t>第</w:t>
      </w:r>
      <w:r>
        <w:rPr>
          <w:rFonts w:hint="eastAsia" w:ascii="黑体" w:hAnsi="黑体" w:eastAsia="黑体" w:cs="仿宋_GB2312"/>
          <w:color w:val="auto"/>
          <w:sz w:val="32"/>
          <w:szCs w:val="32"/>
          <w:highlight w:val="none"/>
        </w:rPr>
        <w:t>二</w:t>
      </w:r>
      <w:r>
        <w:rPr>
          <w:rFonts w:hint="eastAsia" w:ascii="黑体" w:hAnsi="黑体" w:eastAsia="黑体" w:cs="仿宋_GB2312"/>
          <w:color w:val="auto"/>
          <w:sz w:val="32"/>
          <w:szCs w:val="32"/>
          <w:highlight w:val="none"/>
          <w:lang w:val="zh-CN"/>
        </w:rPr>
        <w:t>十</w:t>
      </w:r>
      <w:r>
        <w:rPr>
          <w:rFonts w:hint="eastAsia" w:ascii="黑体" w:hAnsi="黑体" w:eastAsia="黑体" w:cs="仿宋_GB2312"/>
          <w:color w:val="auto"/>
          <w:sz w:val="32"/>
          <w:szCs w:val="32"/>
          <w:highlight w:val="none"/>
          <w:lang w:eastAsia="zh-CN"/>
        </w:rPr>
        <w:t>二</w:t>
      </w:r>
      <w:r>
        <w:rPr>
          <w:rFonts w:hint="eastAsia" w:ascii="黑体" w:hAnsi="黑体" w:eastAsia="黑体" w:cs="仿宋_GB2312"/>
          <w:color w:val="auto"/>
          <w:sz w:val="32"/>
          <w:szCs w:val="32"/>
          <w:highlight w:val="none"/>
          <w:lang w:val="zh-CN"/>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w:t>
      </w:r>
      <w:r>
        <w:rPr>
          <w:rFonts w:hint="eastAsia" w:ascii="仿宋_GB2312" w:hAnsi="仿宋_GB2312" w:eastAsia="仿宋_GB2312" w:cs="仿宋_GB2312"/>
          <w:color w:val="auto"/>
          <w:sz w:val="32"/>
          <w:szCs w:val="32"/>
          <w:highlight w:val="none"/>
          <w:lang w:val="zh-CN"/>
        </w:rPr>
        <w:t>人民政府</w:t>
      </w:r>
      <w:r>
        <w:rPr>
          <w:rFonts w:hint="eastAsia" w:ascii="仿宋_GB2312" w:hAnsi="仿宋_GB2312" w:eastAsia="仿宋_GB2312" w:cs="仿宋_GB2312"/>
          <w:color w:val="auto"/>
          <w:sz w:val="32"/>
          <w:szCs w:val="32"/>
          <w:highlight w:val="none"/>
        </w:rPr>
        <w:t>应当对具</w:t>
      </w:r>
      <w:r>
        <w:rPr>
          <w:rFonts w:hint="eastAsia" w:ascii="仿宋_GB2312" w:hAnsi="仿宋_GB2312" w:eastAsia="仿宋_GB2312" w:cs="仿宋_GB2312"/>
          <w:color w:val="auto"/>
          <w:sz w:val="32"/>
          <w:szCs w:val="32"/>
          <w:highlight w:val="none"/>
          <w:lang w:val="zh-CN"/>
        </w:rPr>
        <w:t>有下列情形的</w:t>
      </w:r>
      <w:r>
        <w:rPr>
          <w:rFonts w:hint="eastAsia" w:ascii="仿宋_GB2312" w:hAnsi="仿宋_GB2312" w:eastAsia="仿宋_GB2312" w:cs="仿宋_GB2312"/>
          <w:color w:val="auto"/>
          <w:sz w:val="32"/>
          <w:szCs w:val="32"/>
          <w:highlight w:val="none"/>
        </w:rPr>
        <w:t>单位或者个人</w:t>
      </w:r>
      <w:r>
        <w:rPr>
          <w:rFonts w:hint="eastAsia" w:ascii="仿宋_GB2312" w:hAnsi="仿宋_GB2312" w:eastAsia="仿宋_GB2312" w:cs="仿宋_GB2312"/>
          <w:color w:val="auto"/>
          <w:sz w:val="32"/>
          <w:szCs w:val="32"/>
          <w:highlight w:val="none"/>
          <w:lang w:val="zh-CN"/>
        </w:rPr>
        <w:t>给予表彰、奖励：</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（一）在太谷传统医药保护</w:t>
      </w:r>
      <w:r>
        <w:rPr>
          <w:rFonts w:ascii="仿宋_GB2312" w:hAnsi="仿宋_GB2312" w:eastAsia="仿宋_GB2312" w:cs="仿宋_GB2312"/>
          <w:color w:val="auto"/>
          <w:sz w:val="32"/>
          <w:szCs w:val="32"/>
          <w:highlight w:val="none"/>
          <w:lang w:val="zh-CN"/>
        </w:rPr>
        <w:t>、传承、交流等</w:t>
      </w:r>
      <w:r>
        <w:rPr>
          <w:rFonts w:hint="eastAsia" w:ascii="仿宋_GB2312" w:hAnsi="仿宋_GB2312" w:eastAsia="仿宋_GB2312" w:cs="仿宋_GB2312"/>
          <w:color w:val="auto"/>
          <w:sz w:val="32"/>
          <w:szCs w:val="32"/>
          <w:highlight w:val="none"/>
          <w:lang w:val="zh-CN"/>
        </w:rPr>
        <w:t>方面成绩显著的；</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（二）带徒授业成绩显著的；</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（三）资助、捐助太谷</w:t>
      </w:r>
      <w:r>
        <w:rPr>
          <w:rFonts w:ascii="仿宋_GB2312" w:hAnsi="仿宋_GB2312" w:eastAsia="仿宋_GB2312" w:cs="仿宋_GB2312"/>
          <w:color w:val="auto"/>
          <w:sz w:val="32"/>
          <w:szCs w:val="32"/>
          <w:highlight w:val="none"/>
          <w:lang w:val="zh-CN"/>
        </w:rPr>
        <w:t>传统</w:t>
      </w:r>
      <w:r>
        <w:rPr>
          <w:rFonts w:hint="eastAsia" w:ascii="仿宋_GB2312" w:hAnsi="仿宋_GB2312" w:eastAsia="仿宋_GB2312" w:cs="仿宋_GB2312"/>
          <w:color w:val="auto"/>
          <w:sz w:val="32"/>
          <w:szCs w:val="32"/>
          <w:highlight w:val="none"/>
          <w:lang w:val="zh-CN"/>
        </w:rPr>
        <w:t>医药事业贡献突出的；</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color w:val="auto"/>
          <w:sz w:val="32"/>
          <w:szCs w:val="32"/>
          <w:highlight w:val="none"/>
          <w:lang w:val="zh-CN"/>
        </w:rPr>
      </w:pPr>
      <w:r>
        <w:rPr>
          <w:rFonts w:hint="eastAsia" w:ascii="仿宋_GB2312" w:hAnsi="仿宋_GB2312" w:eastAsia="仿宋_GB2312" w:cs="仿宋_GB2312"/>
          <w:color w:val="auto"/>
          <w:sz w:val="32"/>
          <w:szCs w:val="32"/>
          <w:highlight w:val="none"/>
          <w:lang w:val="zh-CN"/>
        </w:rPr>
        <w:t>（四）有其他突出贡献的。</w:t>
      </w:r>
    </w:p>
    <w:p>
      <w:pPr>
        <w:keepNext w:val="0"/>
        <w:keepLines w:val="0"/>
        <w:pageBreakBefore w:val="0"/>
        <w:kinsoku/>
        <w:wordWrap/>
        <w:overflowPunct/>
        <w:topLinePunct w:val="0"/>
        <w:autoSpaceDE/>
        <w:autoSpaceDN/>
        <w:bidi w:val="0"/>
        <w:adjustRightInd/>
        <w:snapToGrid/>
        <w:spacing w:before="313" w:beforeLines="100" w:after="313" w:afterLines="100" w:line="600" w:lineRule="exact"/>
        <w:jc w:val="center"/>
        <w:textAlignment w:val="auto"/>
        <w:outlineLvl w:val="9"/>
        <w:rPr>
          <w:rFonts w:ascii="黑体" w:hAnsi="黑体" w:eastAsia="黑体" w:cs="黑体"/>
          <w:color w:val="auto"/>
          <w:sz w:val="32"/>
          <w:szCs w:val="32"/>
          <w:highlight w:val="none"/>
          <w:lang w:val="zh-CN"/>
        </w:rPr>
      </w:pPr>
      <w:r>
        <w:rPr>
          <w:rFonts w:hint="eastAsia" w:ascii="黑体" w:hAnsi="黑体" w:eastAsia="黑体" w:cs="黑体"/>
          <w:color w:val="auto"/>
          <w:sz w:val="32"/>
          <w:szCs w:val="32"/>
          <w:highlight w:val="none"/>
          <w:lang w:val="zh-CN"/>
        </w:rPr>
        <w:t>第四章</w:t>
      </w:r>
      <w:r>
        <w:rPr>
          <w:rFonts w:hint="eastAsia" w:ascii="黑体" w:hAnsi="黑体" w:eastAsia="黑体" w:cs="黑体"/>
          <w:color w:val="auto"/>
          <w:sz w:val="32"/>
          <w:szCs w:val="32"/>
          <w:highlight w:val="none"/>
        </w:rPr>
        <w:t xml:space="preserve">  </w:t>
      </w:r>
      <w:r>
        <w:rPr>
          <w:rFonts w:hint="eastAsia" w:ascii="黑体" w:hAnsi="黑体" w:eastAsia="黑体" w:cs="黑体"/>
          <w:color w:val="auto"/>
          <w:sz w:val="32"/>
          <w:szCs w:val="32"/>
          <w:highlight w:val="none"/>
          <w:lang w:val="zh-CN"/>
        </w:rPr>
        <w:t>法律责任</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highlight w:val="none"/>
          <w:lang w:val="zh-CN"/>
        </w:rPr>
      </w:pPr>
      <w:r>
        <w:rPr>
          <w:rFonts w:hint="eastAsia" w:ascii="黑体" w:hAnsi="黑体" w:eastAsia="黑体" w:cs="黑体"/>
          <w:bCs/>
          <w:color w:val="auto"/>
          <w:kern w:val="0"/>
          <w:sz w:val="32"/>
          <w:szCs w:val="32"/>
          <w:highlight w:val="none"/>
        </w:rPr>
        <w:t>第二十</w:t>
      </w:r>
      <w:r>
        <w:rPr>
          <w:rFonts w:hint="eastAsia" w:ascii="黑体" w:hAnsi="黑体" w:eastAsia="黑体" w:cs="黑体"/>
          <w:bCs/>
          <w:color w:val="auto"/>
          <w:kern w:val="0"/>
          <w:sz w:val="32"/>
          <w:szCs w:val="32"/>
          <w:highlight w:val="none"/>
          <w:lang w:eastAsia="zh-CN"/>
        </w:rPr>
        <w:t>三</w:t>
      </w:r>
      <w:r>
        <w:rPr>
          <w:rFonts w:hint="eastAsia" w:ascii="黑体" w:hAnsi="黑体" w:eastAsia="黑体" w:cs="黑体"/>
          <w:bCs/>
          <w:color w:val="auto"/>
          <w:kern w:val="0"/>
          <w:sz w:val="32"/>
          <w:szCs w:val="32"/>
          <w:highlight w:val="none"/>
        </w:rPr>
        <w:t>条</w:t>
      </w:r>
      <w:r>
        <w:rPr>
          <w:rFonts w:hint="eastAsia" w:ascii="黑体" w:hAnsi="黑体" w:eastAsia="黑体" w:cs="黑体"/>
          <w:bCs/>
          <w:color w:val="auto"/>
          <w:kern w:val="0"/>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违反本条例规定，法律、行政法规以及山西省人民代表大会及其常务委员会通过的地方性法规已有法律责任规定的，从其规定。</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highlight w:val="none"/>
          <w:lang w:val="zh-CN"/>
        </w:rPr>
      </w:pPr>
      <w:r>
        <w:rPr>
          <w:rFonts w:hint="eastAsia" w:ascii="黑体" w:hAnsi="黑体" w:eastAsia="黑体" w:cs="黑体"/>
          <w:bCs/>
          <w:color w:val="auto"/>
          <w:kern w:val="0"/>
          <w:sz w:val="32"/>
          <w:szCs w:val="32"/>
          <w:highlight w:val="none"/>
        </w:rPr>
        <w:t>第二十</w:t>
      </w:r>
      <w:r>
        <w:rPr>
          <w:rFonts w:hint="eastAsia" w:ascii="黑体" w:hAnsi="黑体" w:eastAsia="黑体" w:cs="黑体"/>
          <w:bCs/>
          <w:color w:val="auto"/>
          <w:kern w:val="0"/>
          <w:sz w:val="32"/>
          <w:szCs w:val="32"/>
          <w:highlight w:val="none"/>
          <w:lang w:eastAsia="zh-CN"/>
        </w:rPr>
        <w:t>四</w:t>
      </w:r>
      <w:r>
        <w:rPr>
          <w:rFonts w:hint="eastAsia" w:ascii="黑体" w:hAnsi="黑体" w:eastAsia="黑体" w:cs="黑体"/>
          <w:bCs/>
          <w:color w:val="auto"/>
          <w:kern w:val="0"/>
          <w:sz w:val="32"/>
          <w:szCs w:val="32"/>
          <w:highlight w:val="none"/>
        </w:rPr>
        <w:t>条</w:t>
      </w:r>
      <w:r>
        <w:rPr>
          <w:rFonts w:hint="eastAsia" w:ascii="黑体" w:hAnsi="黑体" w:eastAsia="黑体" w:cs="黑体"/>
          <w:bCs/>
          <w:color w:val="auto"/>
          <w:kern w:val="0"/>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eastAsia="zh-CN"/>
        </w:rPr>
        <w:t>违反本条例第十二条规定情形之一，实施引人误认为是太谷传统医药国家级非物质文化遗产或者与其存在特定联系的混淆行为的，由县级以上人民政府市场监督管理部门责令停止</w:t>
      </w:r>
      <w:r>
        <w:rPr>
          <w:rFonts w:hint="eastAsia" w:ascii="仿宋_GB2312" w:hAnsi="仿宋_GB2312" w:eastAsia="仿宋_GB2312" w:cs="仿宋_GB2312"/>
          <w:color w:val="auto"/>
          <w:sz w:val="32"/>
          <w:szCs w:val="32"/>
          <w:highlight w:val="none"/>
          <w:lang w:val="zh-CN"/>
        </w:rPr>
        <w:t>违法行为，没收违法商品；违法经营额五万元以上的，可以并处违法经营额五倍以下的罚款；没有违法经营额或者违法经营额不足五万元的，可以并处二十五万元以下的罚款。</w:t>
      </w:r>
    </w:p>
    <w:p>
      <w:pPr>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highlight w:val="none"/>
          <w:lang w:val="zh-CN"/>
        </w:rPr>
      </w:pPr>
      <w:r>
        <w:rPr>
          <w:rFonts w:hint="eastAsia" w:ascii="黑体" w:hAnsi="黑体" w:eastAsia="黑体" w:cs="黑体"/>
          <w:bCs/>
          <w:color w:val="auto"/>
          <w:kern w:val="0"/>
          <w:sz w:val="32"/>
          <w:szCs w:val="32"/>
          <w:highlight w:val="none"/>
        </w:rPr>
        <w:t>第二十</w:t>
      </w:r>
      <w:r>
        <w:rPr>
          <w:rFonts w:hint="eastAsia" w:ascii="黑体" w:hAnsi="黑体" w:eastAsia="黑体" w:cs="黑体"/>
          <w:color w:val="auto"/>
          <w:sz w:val="32"/>
          <w:szCs w:val="32"/>
          <w:highlight w:val="none"/>
          <w:lang w:eastAsia="zh-CN"/>
        </w:rPr>
        <w:t>五</w:t>
      </w:r>
      <w:r>
        <w:rPr>
          <w:rFonts w:hint="eastAsia" w:ascii="黑体" w:hAnsi="黑体" w:eastAsia="黑体" w:cs="黑体"/>
          <w:bCs/>
          <w:color w:val="auto"/>
          <w:kern w:val="0"/>
          <w:sz w:val="32"/>
          <w:szCs w:val="32"/>
          <w:highlight w:val="none"/>
        </w:rPr>
        <w:t>条</w:t>
      </w:r>
      <w:r>
        <w:rPr>
          <w:rFonts w:hint="eastAsia" w:ascii="黑体" w:hAnsi="黑体" w:eastAsia="黑体" w:cs="黑体"/>
          <w:bCs/>
          <w:color w:val="auto"/>
          <w:kern w:val="0"/>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文化主管部门和其他有关部门的工作人员，在太谷传统医药国家级非物质文化遗产保护工作中徇私舞弊、滥用职权、玩忽职守的，依法给予处分；构成犯罪的，依法追究刑事责任。</w:t>
      </w:r>
    </w:p>
    <w:p>
      <w:pPr>
        <w:keepNext w:val="0"/>
        <w:keepLines w:val="0"/>
        <w:pageBreakBefore w:val="0"/>
        <w:kinsoku/>
        <w:wordWrap/>
        <w:overflowPunct/>
        <w:topLinePunct w:val="0"/>
        <w:autoSpaceDE/>
        <w:autoSpaceDN/>
        <w:bidi w:val="0"/>
        <w:adjustRightInd/>
        <w:snapToGrid/>
        <w:spacing w:before="313" w:beforeLines="100" w:after="313" w:afterLines="100" w:line="600" w:lineRule="exact"/>
        <w:jc w:val="center"/>
        <w:textAlignment w:val="auto"/>
        <w:outlineLvl w:val="9"/>
        <w:rPr>
          <w:rFonts w:ascii="黑体" w:hAnsi="黑体" w:eastAsia="黑体" w:cs="黑体"/>
          <w:color w:val="auto"/>
          <w:sz w:val="32"/>
          <w:szCs w:val="32"/>
          <w:highlight w:val="none"/>
          <w:lang w:val="zh-CN"/>
        </w:rPr>
      </w:pPr>
      <w:r>
        <w:rPr>
          <w:rFonts w:hint="eastAsia" w:ascii="黑体" w:hAnsi="黑体" w:eastAsia="黑体" w:cs="黑体"/>
          <w:color w:val="auto"/>
          <w:sz w:val="32"/>
          <w:szCs w:val="32"/>
          <w:highlight w:val="none"/>
          <w:lang w:val="zh-CN"/>
        </w:rPr>
        <w:t>第五章</w:t>
      </w:r>
      <w:r>
        <w:rPr>
          <w:rFonts w:hint="eastAsia" w:ascii="黑体" w:hAnsi="黑体" w:eastAsia="黑体" w:cs="黑体"/>
          <w:color w:val="auto"/>
          <w:sz w:val="32"/>
          <w:szCs w:val="32"/>
          <w:highlight w:val="none"/>
          <w:lang w:val="en-US" w:eastAsia="zh-CN"/>
        </w:rPr>
        <w:t xml:space="preserve">  </w:t>
      </w:r>
      <w:r>
        <w:rPr>
          <w:rFonts w:hint="eastAsia" w:ascii="黑体" w:hAnsi="黑体" w:eastAsia="黑体" w:cs="黑体"/>
          <w:color w:val="auto"/>
          <w:sz w:val="32"/>
          <w:szCs w:val="32"/>
          <w:highlight w:val="none"/>
          <w:lang w:val="zh-CN"/>
        </w:rPr>
        <w:t>附</w:t>
      </w:r>
      <w:r>
        <w:rPr>
          <w:rFonts w:hint="eastAsia" w:ascii="黑体" w:hAnsi="黑体" w:eastAsia="黑体" w:cs="黑体"/>
          <w:color w:val="auto"/>
          <w:sz w:val="32"/>
          <w:szCs w:val="32"/>
          <w:highlight w:val="none"/>
        </w:rPr>
        <w:t xml:space="preserve">  </w:t>
      </w:r>
      <w:r>
        <w:rPr>
          <w:rFonts w:hint="eastAsia" w:ascii="黑体" w:hAnsi="黑体" w:eastAsia="黑体" w:cs="黑体"/>
          <w:color w:val="auto"/>
          <w:sz w:val="32"/>
          <w:szCs w:val="32"/>
          <w:highlight w:val="none"/>
          <w:lang w:val="zh-CN"/>
        </w:rPr>
        <w:t>则</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color w:val="auto"/>
          <w:highlight w:val="none"/>
        </w:rPr>
      </w:pPr>
      <w:r>
        <w:rPr>
          <w:rFonts w:hint="eastAsia" w:ascii="黑体" w:hAnsi="黑体" w:eastAsia="黑体" w:cs="黑体"/>
          <w:color w:val="auto"/>
          <w:sz w:val="32"/>
          <w:szCs w:val="32"/>
          <w:highlight w:val="none"/>
          <w:lang w:val="zh-CN"/>
        </w:rPr>
        <w:t>第</w:t>
      </w:r>
      <w:r>
        <w:rPr>
          <w:rFonts w:hint="eastAsia" w:ascii="黑体" w:hAnsi="黑体" w:eastAsia="黑体" w:cs="黑体"/>
          <w:color w:val="auto"/>
          <w:sz w:val="32"/>
          <w:szCs w:val="32"/>
          <w:highlight w:val="none"/>
        </w:rPr>
        <w:t>二</w:t>
      </w:r>
      <w:bookmarkStart w:id="0" w:name="_GoBack"/>
      <w:bookmarkEnd w:id="0"/>
      <w:r>
        <w:rPr>
          <w:rFonts w:hint="eastAsia" w:ascii="黑体" w:hAnsi="黑体" w:eastAsia="黑体" w:cs="黑体"/>
          <w:color w:val="auto"/>
          <w:sz w:val="32"/>
          <w:szCs w:val="32"/>
          <w:highlight w:val="none"/>
        </w:rPr>
        <w:t>十</w:t>
      </w:r>
      <w:r>
        <w:rPr>
          <w:rFonts w:hint="eastAsia" w:ascii="黑体" w:hAnsi="黑体" w:eastAsia="黑体" w:cs="黑体"/>
          <w:color w:val="auto"/>
          <w:sz w:val="32"/>
          <w:szCs w:val="32"/>
          <w:highlight w:val="none"/>
          <w:lang w:eastAsia="zh-CN"/>
        </w:rPr>
        <w:t>六</w:t>
      </w:r>
      <w:r>
        <w:rPr>
          <w:rFonts w:hint="eastAsia" w:ascii="黑体" w:hAnsi="黑体" w:eastAsia="黑体" w:cs="黑体"/>
          <w:color w:val="auto"/>
          <w:sz w:val="32"/>
          <w:szCs w:val="32"/>
          <w:highlight w:val="none"/>
          <w:lang w:val="zh-CN"/>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zh-CN"/>
        </w:rPr>
        <w:t>本条例自202</w:t>
      </w:r>
      <w:r>
        <w:rPr>
          <w:rFonts w:hint="eastAsia" w:ascii="仿宋_GB2312" w:hAnsi="仿宋_GB2312" w:eastAsia="仿宋_GB2312" w:cs="仿宋_GB2312"/>
          <w:color w:val="auto"/>
          <w:sz w:val="32"/>
          <w:szCs w:val="32"/>
          <w:highlight w:val="none"/>
          <w:lang w:val="en-US" w:eastAsia="zh-CN"/>
        </w:rPr>
        <w:t>1</w:t>
      </w:r>
      <w:r>
        <w:rPr>
          <w:rFonts w:hint="eastAsia" w:ascii="仿宋_GB2312" w:hAnsi="仿宋_GB2312" w:eastAsia="仿宋_GB2312" w:cs="仿宋_GB2312"/>
          <w:color w:val="auto"/>
          <w:sz w:val="32"/>
          <w:szCs w:val="32"/>
          <w:highlight w:val="none"/>
          <w:lang w:val="zh-CN"/>
        </w:rPr>
        <w:t>年</w:t>
      </w:r>
      <w:r>
        <w:rPr>
          <w:rFonts w:hint="eastAsia" w:ascii="仿宋_GB2312" w:hAnsi="仿宋_GB2312" w:eastAsia="仿宋_GB2312" w:cs="仿宋_GB2312"/>
          <w:color w:val="auto"/>
          <w:sz w:val="32"/>
          <w:szCs w:val="32"/>
          <w:highlight w:val="none"/>
          <w:lang w:val="en-US" w:eastAsia="zh-CN"/>
        </w:rPr>
        <w:t>1</w:t>
      </w:r>
      <w:r>
        <w:rPr>
          <w:rFonts w:hint="eastAsia" w:ascii="仿宋_GB2312" w:hAnsi="仿宋_GB2312" w:eastAsia="仿宋_GB2312" w:cs="仿宋_GB2312"/>
          <w:color w:val="auto"/>
          <w:sz w:val="32"/>
          <w:szCs w:val="32"/>
          <w:highlight w:val="none"/>
          <w:lang w:val="zh-CN"/>
        </w:rPr>
        <w:t>月</w:t>
      </w:r>
      <w:r>
        <w:rPr>
          <w:rFonts w:hint="eastAsia" w:ascii="仿宋_GB2312" w:hAnsi="仿宋_GB2312" w:eastAsia="仿宋_GB2312" w:cs="仿宋_GB2312"/>
          <w:color w:val="auto"/>
          <w:sz w:val="32"/>
          <w:szCs w:val="32"/>
          <w:highlight w:val="none"/>
          <w:lang w:val="en-US" w:eastAsia="zh-CN"/>
        </w:rPr>
        <w:t>1</w:t>
      </w:r>
      <w:r>
        <w:rPr>
          <w:rFonts w:hint="eastAsia" w:ascii="仿宋_GB2312" w:hAnsi="仿宋_GB2312" w:eastAsia="仿宋_GB2312" w:cs="仿宋_GB2312"/>
          <w:color w:val="auto"/>
          <w:sz w:val="32"/>
          <w:szCs w:val="32"/>
          <w:highlight w:val="none"/>
          <w:lang w:val="zh-CN"/>
        </w:rPr>
        <w:t>日起施行。</w:t>
      </w:r>
    </w:p>
    <w:sectPr>
      <w:headerReference r:id="rId3" w:type="default"/>
      <w:footerReference r:id="rId4" w:type="default"/>
      <w:pgSz w:w="11906" w:h="16838"/>
      <w:pgMar w:top="2098" w:right="1474" w:bottom="1984"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pict>
        <v:shape id="文本框 2"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v:path/>
          <v:fill on="f" focussize="0,0"/>
          <v:stroke on="f" weight="0.5pt" joinstyle="miter"/>
          <v:imagedata o:title=""/>
          <o:lock v:ext="edit"/>
          <v:textbox inset="0mm,0mm,0mm,0mm" style="mso-fit-shape-to-text:t;">
            <w:txbxContent>
              <w:p>
                <w:pPr>
                  <w:pStyle w:val="8"/>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p>
            </w:txbxContent>
          </v:textbox>
        </v:shape>
      </w:pic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54D96"/>
    <w:multiLevelType w:val="singleLevel"/>
    <w:tmpl w:val="15B54D96"/>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3E277F8A"/>
    <w:rsid w:val="00063F65"/>
    <w:rsid w:val="0006559C"/>
    <w:rsid w:val="000712B8"/>
    <w:rsid w:val="00096F68"/>
    <w:rsid w:val="000B2664"/>
    <w:rsid w:val="000E5430"/>
    <w:rsid w:val="0014412D"/>
    <w:rsid w:val="001A3981"/>
    <w:rsid w:val="001D5ECE"/>
    <w:rsid w:val="00380E51"/>
    <w:rsid w:val="003B3DAF"/>
    <w:rsid w:val="0043325C"/>
    <w:rsid w:val="00433D2E"/>
    <w:rsid w:val="004734C7"/>
    <w:rsid w:val="0051671C"/>
    <w:rsid w:val="005A79FE"/>
    <w:rsid w:val="005D6FAA"/>
    <w:rsid w:val="005E090F"/>
    <w:rsid w:val="00622AB5"/>
    <w:rsid w:val="006233FA"/>
    <w:rsid w:val="006502D9"/>
    <w:rsid w:val="00697FED"/>
    <w:rsid w:val="006C2170"/>
    <w:rsid w:val="007160E6"/>
    <w:rsid w:val="00745443"/>
    <w:rsid w:val="0074549C"/>
    <w:rsid w:val="00764451"/>
    <w:rsid w:val="007E2B6F"/>
    <w:rsid w:val="008068FA"/>
    <w:rsid w:val="008B07E5"/>
    <w:rsid w:val="008D7D47"/>
    <w:rsid w:val="008E6D40"/>
    <w:rsid w:val="008F51F6"/>
    <w:rsid w:val="00906CBC"/>
    <w:rsid w:val="009246F8"/>
    <w:rsid w:val="00930C64"/>
    <w:rsid w:val="00973872"/>
    <w:rsid w:val="00992E62"/>
    <w:rsid w:val="009A056F"/>
    <w:rsid w:val="009B71BC"/>
    <w:rsid w:val="00A22366"/>
    <w:rsid w:val="00A53306"/>
    <w:rsid w:val="00A533DF"/>
    <w:rsid w:val="00A76790"/>
    <w:rsid w:val="00A821D4"/>
    <w:rsid w:val="00AA7FE3"/>
    <w:rsid w:val="00AC4249"/>
    <w:rsid w:val="00AE075E"/>
    <w:rsid w:val="00B07694"/>
    <w:rsid w:val="00B16A61"/>
    <w:rsid w:val="00B2265B"/>
    <w:rsid w:val="00B75C47"/>
    <w:rsid w:val="00BA4E34"/>
    <w:rsid w:val="00BB6C05"/>
    <w:rsid w:val="00C5570C"/>
    <w:rsid w:val="00C61ED5"/>
    <w:rsid w:val="00CC6EDC"/>
    <w:rsid w:val="00CE1BDB"/>
    <w:rsid w:val="00D1399A"/>
    <w:rsid w:val="00D2745C"/>
    <w:rsid w:val="00DA7AD5"/>
    <w:rsid w:val="00E774A0"/>
    <w:rsid w:val="00E8752C"/>
    <w:rsid w:val="00F17EDA"/>
    <w:rsid w:val="00FA3818"/>
    <w:rsid w:val="00FA7FC6"/>
    <w:rsid w:val="02F6795E"/>
    <w:rsid w:val="03913298"/>
    <w:rsid w:val="03C177B4"/>
    <w:rsid w:val="0881095B"/>
    <w:rsid w:val="08EB6FBF"/>
    <w:rsid w:val="08ED1CF5"/>
    <w:rsid w:val="09545F69"/>
    <w:rsid w:val="0971489C"/>
    <w:rsid w:val="0A0018CE"/>
    <w:rsid w:val="0C450AC8"/>
    <w:rsid w:val="0E0F4F19"/>
    <w:rsid w:val="0E871886"/>
    <w:rsid w:val="0E950ED0"/>
    <w:rsid w:val="0F723F18"/>
    <w:rsid w:val="0F7656ED"/>
    <w:rsid w:val="10825495"/>
    <w:rsid w:val="10BB63B4"/>
    <w:rsid w:val="11AF304A"/>
    <w:rsid w:val="141C787C"/>
    <w:rsid w:val="16ED7A3A"/>
    <w:rsid w:val="198C4115"/>
    <w:rsid w:val="1C7333A1"/>
    <w:rsid w:val="1CED591C"/>
    <w:rsid w:val="1EC47ECA"/>
    <w:rsid w:val="20A57A62"/>
    <w:rsid w:val="20D414A6"/>
    <w:rsid w:val="21C351E4"/>
    <w:rsid w:val="22934B56"/>
    <w:rsid w:val="239C0EC9"/>
    <w:rsid w:val="25D228F4"/>
    <w:rsid w:val="28415EA3"/>
    <w:rsid w:val="2A8744ED"/>
    <w:rsid w:val="2AC33BF4"/>
    <w:rsid w:val="2B0E05D5"/>
    <w:rsid w:val="2B2D7F51"/>
    <w:rsid w:val="2BE963D7"/>
    <w:rsid w:val="2E1D7A67"/>
    <w:rsid w:val="2EE60893"/>
    <w:rsid w:val="31CF10A9"/>
    <w:rsid w:val="33496BF3"/>
    <w:rsid w:val="3359377E"/>
    <w:rsid w:val="34336E9C"/>
    <w:rsid w:val="35392C52"/>
    <w:rsid w:val="3639420D"/>
    <w:rsid w:val="39B73CC9"/>
    <w:rsid w:val="3BB46DA5"/>
    <w:rsid w:val="3D440F48"/>
    <w:rsid w:val="3E277F8A"/>
    <w:rsid w:val="3E2F67C1"/>
    <w:rsid w:val="3E7953F3"/>
    <w:rsid w:val="3EBB763A"/>
    <w:rsid w:val="406D7293"/>
    <w:rsid w:val="40A27BD9"/>
    <w:rsid w:val="4268730B"/>
    <w:rsid w:val="42D177C6"/>
    <w:rsid w:val="4338403F"/>
    <w:rsid w:val="436B466F"/>
    <w:rsid w:val="43EA61CA"/>
    <w:rsid w:val="43EF1750"/>
    <w:rsid w:val="43FB5B86"/>
    <w:rsid w:val="46B73C29"/>
    <w:rsid w:val="47AD770D"/>
    <w:rsid w:val="48831B04"/>
    <w:rsid w:val="4B417FB7"/>
    <w:rsid w:val="4D324ACD"/>
    <w:rsid w:val="4F327BF9"/>
    <w:rsid w:val="4F387315"/>
    <w:rsid w:val="51B55BA7"/>
    <w:rsid w:val="546C3479"/>
    <w:rsid w:val="56737EA3"/>
    <w:rsid w:val="58FB182B"/>
    <w:rsid w:val="59B764C6"/>
    <w:rsid w:val="5CB43213"/>
    <w:rsid w:val="5CCE0FFA"/>
    <w:rsid w:val="5D9D3CBB"/>
    <w:rsid w:val="5DD04B27"/>
    <w:rsid w:val="5E74042E"/>
    <w:rsid w:val="5EF539A6"/>
    <w:rsid w:val="623D44DB"/>
    <w:rsid w:val="633A24E2"/>
    <w:rsid w:val="634179A8"/>
    <w:rsid w:val="63DF0AEF"/>
    <w:rsid w:val="649F3C85"/>
    <w:rsid w:val="671B78D1"/>
    <w:rsid w:val="69E72FBE"/>
    <w:rsid w:val="6C1C54AE"/>
    <w:rsid w:val="6C5E3FA5"/>
    <w:rsid w:val="6CD71D6F"/>
    <w:rsid w:val="6D8A1FA0"/>
    <w:rsid w:val="708D1D15"/>
    <w:rsid w:val="71A132B9"/>
    <w:rsid w:val="73246AEA"/>
    <w:rsid w:val="75340E0F"/>
    <w:rsid w:val="757A69D2"/>
    <w:rsid w:val="75BB7BBA"/>
    <w:rsid w:val="764272C3"/>
    <w:rsid w:val="786B32BC"/>
    <w:rsid w:val="7CCF2E2F"/>
    <w:rsid w:val="7CFF6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pPr>
    <w:rPr>
      <w:rFonts w:ascii="Calibri" w:hAnsi="Calibri" w:eastAsia="宋体" w:cs="Times New Roman"/>
      <w:kern w:val="2"/>
      <w:sz w:val="24"/>
      <w:szCs w:val="22"/>
      <w:lang w:val="en-US" w:eastAsia="zh-CN" w:bidi="ar-SA"/>
    </w:rPr>
  </w:style>
  <w:style w:type="paragraph" w:styleId="5">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正文首行缩进 21"/>
    <w:basedOn w:val="3"/>
    <w:next w:val="4"/>
    <w:qFormat/>
    <w:uiPriority w:val="0"/>
    <w:pPr>
      <w:spacing w:before="100" w:beforeAutospacing="1"/>
      <w:ind w:firstLine="200" w:firstLineChars="200"/>
    </w:pPr>
  </w:style>
  <w:style w:type="paragraph" w:customStyle="1" w:styleId="3">
    <w:name w:val="正文文本缩进1"/>
    <w:basedOn w:val="1"/>
    <w:qFormat/>
    <w:uiPriority w:val="0"/>
    <w:pPr>
      <w:spacing w:after="120"/>
      <w:ind w:left="200" w:leftChars="200"/>
    </w:pPr>
  </w:style>
  <w:style w:type="paragraph" w:styleId="4">
    <w:name w:val="Normal (Web)"/>
    <w:basedOn w:val="1"/>
    <w:next w:val="1"/>
    <w:unhideWhenUsed/>
    <w:qFormat/>
    <w:uiPriority w:val="99"/>
    <w:pPr>
      <w:widowControl/>
      <w:spacing w:beforeAutospacing="1" w:afterAutospacing="1"/>
    </w:pPr>
    <w:rPr>
      <w:rFonts w:hint="eastAsia" w:ascii="宋体" w:hAnsi="Times New Roman"/>
      <w:kern w:val="0"/>
    </w:rPr>
  </w:style>
  <w:style w:type="paragraph" w:styleId="6">
    <w:name w:val="Normal Indent"/>
    <w:basedOn w:val="1"/>
    <w:qFormat/>
    <w:uiPriority w:val="0"/>
    <w:pPr>
      <w:ind w:firstLine="420" w:firstLineChars="200"/>
    </w:pPr>
  </w:style>
  <w:style w:type="paragraph" w:styleId="7">
    <w:name w:val="annotation text"/>
    <w:basedOn w:val="1"/>
    <w:qFormat/>
    <w:uiPriority w:val="0"/>
    <w:rPr>
      <w:kern w:val="0"/>
      <w:szCs w:val="20"/>
    </w:rPr>
  </w:style>
  <w:style w:type="paragraph" w:styleId="8">
    <w:name w:val="footer"/>
    <w:basedOn w:val="1"/>
    <w:unhideWhenUsed/>
    <w:qFormat/>
    <w:uiPriority w:val="99"/>
    <w:pPr>
      <w:tabs>
        <w:tab w:val="center" w:pos="4153"/>
        <w:tab w:val="right" w:pos="8306"/>
      </w:tabs>
      <w:snapToGrid w:val="0"/>
    </w:pPr>
    <w:rPr>
      <w:kern w:val="0"/>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10">
    <w:name w:val="toc 2"/>
    <w:basedOn w:val="1"/>
    <w:next w:val="1"/>
    <w:qFormat/>
    <w:uiPriority w:val="0"/>
    <w:pPr>
      <w:ind w:left="420" w:leftChars="200"/>
    </w:pPr>
    <w:rPr>
      <w:rFonts w:ascii="宋体" w:hAnsi="宋体" w:cs="楷体"/>
      <w:b/>
      <w:sz w:val="28"/>
      <w:szCs w:val="28"/>
      <w:shd w:val="clear" w:color="auto" w:fill="FFFFFF"/>
    </w:rPr>
  </w:style>
  <w:style w:type="character" w:styleId="12">
    <w:name w:val="Strong"/>
    <w:basedOn w:val="11"/>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AAF0B-1AF2-4A6B-A748-1A74087B49D1}">
  <ds:schemaRefs/>
</ds:datastoreItem>
</file>

<file path=docProps/app.xml><?xml version="1.0" encoding="utf-8"?>
<Properties xmlns="http://schemas.openxmlformats.org/officeDocument/2006/extended-properties" xmlns:vt="http://schemas.openxmlformats.org/officeDocument/2006/docPropsVTypes">
  <Template>Normal</Template>
  <Pages>7</Pages>
  <Words>2655</Words>
  <Characters>2658</Characters>
  <Lines>22</Lines>
  <Paragraphs>6</Paragraphs>
  <TotalTime>1</TotalTime>
  <ScaleCrop>false</ScaleCrop>
  <LinksUpToDate>false</LinksUpToDate>
  <CharactersWithSpaces>2727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2020-07-12T04:35:00Z</dcterms:created>
  <dc:creator>Fu</dc:creator>
  <cp:lastModifiedBy>平安的瓶</cp:lastModifiedBy>
  <cp:lastPrinted>2020-10-23T08:09:00Z</cp:lastPrinted>
  <dcterms:modified xsi:type="dcterms:W3CDTF">2020-12-02T08:04:49Z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