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spacing w:before="0" w:beforeAutospacing="0" w:after="0" w:afterAutospacing="0" w:line="586" w:lineRule="exact"/>
        <w:jc w:val="both"/>
        <w:rPr>
          <w:rFonts w:hint="eastAsia"/>
          <w:bCs/>
          <w:sz w:val="32"/>
          <w:szCs w:val="32"/>
        </w:rPr>
      </w:pPr>
    </w:p>
    <w:p>
      <w:pPr>
        <w:pStyle w:val="7"/>
        <w:widowControl w:val="0"/>
        <w:spacing w:before="0" w:beforeAutospacing="0" w:after="0" w:afterAutospacing="0" w:line="586" w:lineRule="exact"/>
        <w:jc w:val="both"/>
        <w:rPr>
          <w:rFonts w:hint="eastAsia"/>
          <w:bCs/>
          <w:sz w:val="32"/>
          <w:szCs w:val="32"/>
        </w:rPr>
      </w:pPr>
    </w:p>
    <w:p>
      <w:pPr>
        <w:tabs>
          <w:tab w:val="left" w:pos="2703"/>
        </w:tabs>
        <w:spacing w:line="586" w:lineRule="exact"/>
        <w:jc w:val="center"/>
        <w:rPr>
          <w:rFonts w:hint="eastAsia" w:ascii="宋体" w:hAnsi="宋体" w:cs="黑体"/>
          <w:sz w:val="44"/>
          <w:szCs w:val="44"/>
        </w:rPr>
      </w:pPr>
      <w:r>
        <w:rPr>
          <w:rFonts w:hint="eastAsia" w:ascii="宋体" w:hAnsi="宋体" w:cs="黑体"/>
          <w:sz w:val="44"/>
          <w:szCs w:val="44"/>
        </w:rPr>
        <w:t>晋城市太行古堡群保护条例</w:t>
      </w:r>
    </w:p>
    <w:p>
      <w:pPr>
        <w:tabs>
          <w:tab w:val="left" w:pos="2703"/>
        </w:tabs>
        <w:spacing w:line="586" w:lineRule="exact"/>
        <w:jc w:val="center"/>
        <w:rPr>
          <w:rFonts w:hint="eastAsia" w:ascii="方正小标宋简体" w:hAnsi="宋体" w:eastAsia="方正小标宋简体" w:cs="黑体"/>
          <w:sz w:val="44"/>
          <w:szCs w:val="44"/>
        </w:rPr>
      </w:pPr>
    </w:p>
    <w:p>
      <w:pPr>
        <w:spacing w:line="586" w:lineRule="exact"/>
        <w:ind w:firstLine="640" w:firstLineChars="200"/>
        <w:jc w:val="left"/>
        <w:rPr>
          <w:rFonts w:hint="eastAsia" w:ascii="楷体_GB2312" w:hAnsi="楷体" w:eastAsia="楷体_GB2312"/>
          <w:sz w:val="32"/>
          <w:szCs w:val="32"/>
        </w:rPr>
      </w:pPr>
      <w:r>
        <w:rPr>
          <w:rFonts w:hint="eastAsia" w:ascii="楷体_GB2312" w:hAnsi="楷体" w:eastAsia="楷体_GB2312"/>
          <w:sz w:val="32"/>
          <w:szCs w:val="32"/>
        </w:rPr>
        <w:t>（2018年8月31日晋城市第七届人民代表大会常务委</w:t>
      </w:r>
    </w:p>
    <w:p>
      <w:pPr>
        <w:spacing w:line="586" w:lineRule="exact"/>
        <w:ind w:firstLine="640" w:firstLineChars="200"/>
        <w:jc w:val="left"/>
        <w:rPr>
          <w:rFonts w:hint="eastAsia" w:ascii="楷体_GB2312" w:hAnsi="楷体" w:eastAsia="楷体_GB2312"/>
          <w:sz w:val="32"/>
          <w:szCs w:val="32"/>
        </w:rPr>
      </w:pPr>
      <w:r>
        <w:rPr>
          <w:rFonts w:hint="eastAsia" w:ascii="楷体_GB2312" w:hAnsi="楷体" w:eastAsia="楷体_GB2312"/>
          <w:sz w:val="32"/>
          <w:szCs w:val="32"/>
        </w:rPr>
        <w:t xml:space="preserve">员会第十七次会议通过 </w:t>
      </w:r>
      <w:r>
        <w:rPr>
          <w:rFonts w:hint="eastAsia" w:ascii="楷体_GB2312" w:hAnsi="楷体" w:eastAsia="楷体_GB2312"/>
          <w:sz w:val="32"/>
          <w:szCs w:val="32"/>
          <w:lang w:val="en-US" w:eastAsia="zh-CN"/>
        </w:rPr>
        <w:t xml:space="preserve"> </w:t>
      </w:r>
      <w:r>
        <w:rPr>
          <w:rFonts w:hint="eastAsia" w:ascii="楷体_GB2312" w:hAnsi="楷体" w:eastAsia="楷体_GB2312"/>
          <w:sz w:val="32"/>
          <w:szCs w:val="32"/>
        </w:rPr>
        <w:t>2018年11月30日山西省第十</w:t>
      </w:r>
    </w:p>
    <w:p>
      <w:pPr>
        <w:spacing w:line="586" w:lineRule="exact"/>
        <w:ind w:firstLine="640" w:firstLineChars="200"/>
        <w:jc w:val="left"/>
        <w:rPr>
          <w:rFonts w:hint="eastAsia" w:ascii="楷体_GB2312" w:hAnsi="楷体" w:eastAsia="楷体_GB2312"/>
          <w:sz w:val="32"/>
          <w:szCs w:val="32"/>
        </w:rPr>
      </w:pPr>
      <w:r>
        <w:rPr>
          <w:rFonts w:hint="eastAsia" w:ascii="楷体_GB2312" w:hAnsi="楷体" w:eastAsia="楷体_GB2312"/>
          <w:sz w:val="32"/>
          <w:szCs w:val="32"/>
        </w:rPr>
        <w:t>三届</w:t>
      </w:r>
      <w:bookmarkStart w:id="0" w:name="_GoBack"/>
      <w:bookmarkEnd w:id="0"/>
      <w:r>
        <w:rPr>
          <w:rFonts w:hint="eastAsia" w:ascii="楷体_GB2312" w:hAnsi="楷体" w:eastAsia="楷体_GB2312"/>
          <w:sz w:val="32"/>
          <w:szCs w:val="32"/>
        </w:rPr>
        <w:t>人民代表大会常务委员会第七次会议批准）</w:t>
      </w:r>
    </w:p>
    <w:p>
      <w:pPr>
        <w:pStyle w:val="17"/>
        <w:spacing w:before="0" w:beforeAutospacing="0" w:after="0" w:afterAutospacing="0" w:line="586" w:lineRule="exact"/>
        <w:ind w:firstLine="640" w:firstLineChars="200"/>
        <w:jc w:val="center"/>
        <w:rPr>
          <w:rFonts w:ascii="仿宋_GB2312" w:hAnsi="楷体" w:eastAsia="仿宋_GB2312" w:cs="黑体"/>
          <w:sz w:val="32"/>
          <w:szCs w:val="32"/>
        </w:rPr>
      </w:pPr>
    </w:p>
    <w:p>
      <w:pPr>
        <w:pStyle w:val="17"/>
        <w:spacing w:before="0" w:beforeAutospacing="0" w:after="0" w:afterAutospacing="0" w:line="586" w:lineRule="exact"/>
        <w:jc w:val="center"/>
        <w:rPr>
          <w:rFonts w:ascii="黑体" w:hAnsi="黑体" w:eastAsia="黑体" w:cs="黑体"/>
          <w:sz w:val="32"/>
          <w:szCs w:val="32"/>
        </w:rPr>
      </w:pPr>
      <w:r>
        <w:rPr>
          <w:rFonts w:hint="eastAsia" w:ascii="黑体" w:hAnsi="黑体" w:eastAsia="黑体" w:cs="黑体"/>
          <w:sz w:val="32"/>
          <w:szCs w:val="32"/>
        </w:rPr>
        <w:t>目    录</w:t>
      </w:r>
    </w:p>
    <w:p>
      <w:pPr>
        <w:pStyle w:val="17"/>
        <w:spacing w:before="0" w:beforeAutospacing="0" w:after="0" w:afterAutospacing="0" w:line="586" w:lineRule="exact"/>
        <w:ind w:firstLine="640" w:firstLineChars="200"/>
        <w:jc w:val="both"/>
        <w:rPr>
          <w:rFonts w:ascii="仿宋_GB2312" w:hAnsi="黑体" w:eastAsia="仿宋_GB2312" w:cs="黑体"/>
          <w:sz w:val="32"/>
          <w:szCs w:val="32"/>
        </w:rPr>
      </w:pP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第一章  总  则</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第二章  规划与管理</w:t>
      </w:r>
    </w:p>
    <w:p>
      <w:pPr>
        <w:pStyle w:val="17"/>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第三章  保护措施</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第四章  法律责任</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第五章  附  则</w:t>
      </w:r>
    </w:p>
    <w:p>
      <w:pPr>
        <w:tabs>
          <w:tab w:val="left" w:pos="879"/>
        </w:tabs>
        <w:spacing w:line="586" w:lineRule="exact"/>
        <w:ind w:firstLine="643" w:firstLineChars="200"/>
        <w:rPr>
          <w:rFonts w:ascii="仿宋_GB2312" w:hAnsi="宋体" w:eastAsia="仿宋_GB2312" w:cs="仿宋"/>
          <w:b/>
          <w:bCs/>
          <w:sz w:val="32"/>
          <w:szCs w:val="32"/>
        </w:rPr>
      </w:pPr>
    </w:p>
    <w:p>
      <w:pPr>
        <w:pStyle w:val="17"/>
        <w:spacing w:before="0" w:beforeAutospacing="0" w:after="0" w:afterAutospacing="0" w:line="586" w:lineRule="exact"/>
        <w:jc w:val="center"/>
        <w:rPr>
          <w:rFonts w:ascii="黑体" w:hAnsi="黑体" w:eastAsia="黑体" w:cs="黑体"/>
          <w:sz w:val="32"/>
          <w:szCs w:val="32"/>
        </w:rPr>
      </w:pPr>
      <w:r>
        <w:rPr>
          <w:rFonts w:hint="eastAsia" w:ascii="黑体" w:hAnsi="黑体" w:eastAsia="黑体" w:cs="黑体"/>
          <w:sz w:val="32"/>
          <w:szCs w:val="32"/>
        </w:rPr>
        <w:t>第一章  总  则</w:t>
      </w:r>
    </w:p>
    <w:p>
      <w:pPr>
        <w:tabs>
          <w:tab w:val="left" w:pos="879"/>
        </w:tabs>
        <w:spacing w:line="586" w:lineRule="exact"/>
        <w:ind w:firstLine="643" w:firstLineChars="200"/>
        <w:rPr>
          <w:rFonts w:ascii="仿宋_GB2312" w:hAnsi="楷体" w:eastAsia="仿宋_GB2312" w:cs="仿宋"/>
          <w:b/>
          <w:sz w:val="32"/>
          <w:szCs w:val="32"/>
        </w:rPr>
      </w:pPr>
    </w:p>
    <w:p>
      <w:pPr>
        <w:tabs>
          <w:tab w:val="left" w:pos="879"/>
        </w:tabs>
        <w:spacing w:line="586" w:lineRule="exact"/>
        <w:ind w:firstLine="640" w:firstLineChars="200"/>
        <w:rPr>
          <w:rFonts w:ascii="仿宋_GB2312" w:hAnsi="仿宋" w:eastAsia="仿宋_GB2312" w:cs="仿宋"/>
          <w:sz w:val="32"/>
          <w:szCs w:val="32"/>
        </w:rPr>
      </w:pPr>
      <w:r>
        <w:rPr>
          <w:rFonts w:hint="eastAsia" w:ascii="黑体" w:hAnsi="黑体" w:eastAsia="黑体" w:cs="仿宋"/>
          <w:sz w:val="32"/>
          <w:szCs w:val="32"/>
        </w:rPr>
        <w:t xml:space="preserve">第一条 </w:t>
      </w:r>
      <w:r>
        <w:rPr>
          <w:rFonts w:hint="eastAsia" w:ascii="仿宋_GB2312" w:hAnsi="仿宋" w:eastAsia="仿宋_GB2312" w:cs="仿宋"/>
          <w:b/>
          <w:sz w:val="32"/>
          <w:szCs w:val="32"/>
        </w:rPr>
        <w:t xml:space="preserve"> </w:t>
      </w:r>
      <w:r>
        <w:rPr>
          <w:rFonts w:hint="eastAsia" w:ascii="仿宋_GB2312" w:hAnsi="仿宋" w:eastAsia="仿宋_GB2312" w:cs="仿宋"/>
          <w:sz w:val="32"/>
          <w:szCs w:val="32"/>
          <w:shd w:val="clear" w:color="auto" w:fill="FFFFFF"/>
        </w:rPr>
        <w:t>为了加强对太行古堡群的保护和管理，传承优秀历史文化遗产，根据《</w:t>
      </w:r>
      <w:r>
        <w:fldChar w:fldCharType="begin"/>
      </w:r>
      <w:r>
        <w:instrText xml:space="preserve"> HYPERLINK "https://baike.baidu.com/item/%E4%B8%AD%E5%8D%8E%E4%BA%BA%E6%B0%91%E5%85%B1%E5%92%8C%E5%9B%BD%E6%96%87%E7%89%A9%E4%BF%9D%E6%8A%A4%E6%B3%95" \t "https://baike.baidu.com/item/%E9%83%91%E5%B7%9E%E5%B8%82%E5%B5%A9%E5%B1%B1%E5%8E%86%E5%8F%B2%E5%BB%BA%E7%AD%91%E7%BE%A4%E4%BF%9D%E6%8A%A4%E7%AE%A1%E7%90%86%E6%9D%A1%E4%BE%8B/_blank" </w:instrText>
      </w:r>
      <w:r>
        <w:fldChar w:fldCharType="separate"/>
      </w:r>
      <w:r>
        <w:rPr>
          <w:rStyle w:val="13"/>
          <w:rFonts w:hint="eastAsia" w:ascii="仿宋_GB2312" w:hAnsi="仿宋" w:eastAsia="仿宋_GB2312" w:cs="仿宋"/>
          <w:color w:val="auto"/>
          <w:sz w:val="32"/>
          <w:szCs w:val="32"/>
          <w:u w:val="none"/>
          <w:shd w:val="clear" w:color="auto" w:fill="FFFFFF"/>
        </w:rPr>
        <w:t>中华人民共和国文物保护法</w:t>
      </w:r>
      <w:r>
        <w:rPr>
          <w:rFonts w:hint="eastAsia" w:ascii="仿宋_GB2312" w:hAnsi="仿宋" w:eastAsia="仿宋_GB2312" w:cs="仿宋"/>
          <w:sz w:val="32"/>
          <w:szCs w:val="32"/>
          <w:shd w:val="clear" w:color="auto" w:fill="FFFFFF"/>
        </w:rPr>
        <w:fldChar w:fldCharType="end"/>
      </w:r>
      <w:r>
        <w:rPr>
          <w:rFonts w:hint="eastAsia" w:ascii="仿宋_GB2312" w:hAnsi="仿宋" w:eastAsia="仿宋_GB2312" w:cs="仿宋"/>
          <w:sz w:val="32"/>
          <w:szCs w:val="32"/>
          <w:shd w:val="clear" w:color="auto" w:fill="FFFFFF"/>
        </w:rPr>
        <w:t>》《中华人民共和国文物保护法实施条例》《历史文化名城名镇名村保护条例》等有关法律、法规，结合本市实际，制定本条例。</w:t>
      </w:r>
    </w:p>
    <w:p>
      <w:pPr>
        <w:tabs>
          <w:tab w:val="left" w:pos="2703"/>
        </w:tabs>
        <w:spacing w:line="586" w:lineRule="exact"/>
        <w:ind w:firstLine="640" w:firstLineChars="200"/>
        <w:rPr>
          <w:rFonts w:ascii="楷体_GB2312" w:hAnsi="楷体" w:eastAsia="楷体_GB2312" w:cs="仿宋"/>
          <w:b/>
          <w:sz w:val="32"/>
          <w:szCs w:val="32"/>
        </w:rPr>
      </w:pPr>
      <w:r>
        <w:rPr>
          <w:rFonts w:hint="eastAsia" w:ascii="黑体" w:hAnsi="黑体" w:eastAsia="黑体" w:cs="仿宋"/>
          <w:sz w:val="32"/>
          <w:szCs w:val="32"/>
        </w:rPr>
        <w:t xml:space="preserve">第二条 </w:t>
      </w:r>
      <w:r>
        <w:rPr>
          <w:rFonts w:hint="eastAsia" w:ascii="仿宋_GB2312" w:hAnsi="仿宋" w:eastAsia="仿宋_GB2312" w:cs="仿宋"/>
          <w:b/>
          <w:sz w:val="32"/>
          <w:szCs w:val="32"/>
        </w:rPr>
        <w:t xml:space="preserve"> </w:t>
      </w:r>
      <w:r>
        <w:rPr>
          <w:rFonts w:hint="eastAsia" w:ascii="仿宋_GB2312" w:hAnsi="仿宋" w:eastAsia="仿宋_GB2312" w:cs="仿宋"/>
          <w:sz w:val="32"/>
          <w:szCs w:val="32"/>
          <w:shd w:val="clear" w:color="auto" w:fill="FFFFFF"/>
        </w:rPr>
        <w:t>凡在太行古堡群</w:t>
      </w:r>
      <w:r>
        <w:fldChar w:fldCharType="begin"/>
      </w:r>
      <w:r>
        <w:instrText xml:space="preserve"> HYPERLINK "https://baike.baidu.com/item/%E4%BF%9D%E6%8A%A4%E5%8C%BA" \t "https://baike.baidu.com/item/%E9%83%91%E5%B7%9E%E5%B8%82%E5%B5%A9%E5%B1%B1%E5%8E%86%E5%8F%B2%E5%BB%BA%E7%AD%91%E7%BE%A4%E4%BF%9D%E6%8A%A4%E7%AE%A1%E7%90%86%E6%9D%A1%E4%BE%8B/_blank" </w:instrText>
      </w:r>
      <w:r>
        <w:fldChar w:fldCharType="separate"/>
      </w:r>
      <w:r>
        <w:rPr>
          <w:rStyle w:val="13"/>
          <w:rFonts w:hint="eastAsia" w:ascii="仿宋_GB2312" w:hAnsi="仿宋" w:eastAsia="仿宋_GB2312" w:cs="仿宋"/>
          <w:color w:val="auto"/>
          <w:sz w:val="32"/>
          <w:szCs w:val="32"/>
          <w:u w:val="none"/>
          <w:shd w:val="clear" w:color="auto" w:fill="FFFFFF"/>
        </w:rPr>
        <w:t>保护区</w:t>
      </w:r>
      <w:r>
        <w:rPr>
          <w:rFonts w:hint="eastAsia" w:ascii="仿宋_GB2312" w:hAnsi="仿宋" w:eastAsia="仿宋_GB2312" w:cs="仿宋"/>
          <w:sz w:val="32"/>
          <w:szCs w:val="32"/>
          <w:shd w:val="clear" w:color="auto" w:fill="FFFFFF"/>
        </w:rPr>
        <w:fldChar w:fldCharType="end"/>
      </w:r>
      <w:r>
        <w:rPr>
          <w:rFonts w:hint="eastAsia" w:ascii="仿宋_GB2312" w:hAnsi="仿宋" w:eastAsia="仿宋_GB2312" w:cs="仿宋"/>
          <w:sz w:val="32"/>
          <w:szCs w:val="32"/>
          <w:shd w:val="clear" w:color="auto" w:fill="FFFFFF"/>
        </w:rPr>
        <w:t xml:space="preserve">域内从事生产生活、保护管理、开发建设、展示利用等活动，应当遵守本条例。 </w:t>
      </w:r>
    </w:p>
    <w:p>
      <w:pPr>
        <w:tabs>
          <w:tab w:val="left" w:pos="2703"/>
        </w:tabs>
        <w:spacing w:line="586" w:lineRule="exact"/>
        <w:ind w:firstLine="640" w:firstLineChars="200"/>
        <w:rPr>
          <w:rFonts w:ascii="仿宋_GB2312" w:hAnsi="仿宋" w:eastAsia="仿宋_GB2312" w:cs="仿宋"/>
          <w:sz w:val="32"/>
          <w:szCs w:val="32"/>
        </w:rPr>
      </w:pPr>
      <w:r>
        <w:rPr>
          <w:rFonts w:hint="eastAsia" w:ascii="黑体" w:hAnsi="黑体" w:eastAsia="黑体" w:cs="仿宋"/>
          <w:sz w:val="32"/>
          <w:szCs w:val="32"/>
        </w:rPr>
        <w:t>第三条</w:t>
      </w:r>
      <w:r>
        <w:rPr>
          <w:rFonts w:hint="eastAsia" w:ascii="楷体_GB2312" w:hAnsi="楷体" w:eastAsia="楷体_GB2312" w:cs="仿宋"/>
          <w:b/>
          <w:sz w:val="32"/>
          <w:szCs w:val="32"/>
        </w:rPr>
        <w:t xml:space="preserve"> </w:t>
      </w:r>
      <w:r>
        <w:rPr>
          <w:rFonts w:hint="eastAsia" w:ascii="仿宋_GB2312" w:hAnsi="仿宋" w:eastAsia="仿宋_GB2312" w:cs="仿宋"/>
          <w:b/>
          <w:sz w:val="32"/>
          <w:szCs w:val="32"/>
        </w:rPr>
        <w:t xml:space="preserve"> </w:t>
      </w:r>
      <w:r>
        <w:rPr>
          <w:rFonts w:hint="eastAsia" w:ascii="仿宋_GB2312" w:hAnsi="仿宋" w:eastAsia="仿宋_GB2312" w:cs="仿宋"/>
          <w:sz w:val="32"/>
          <w:szCs w:val="32"/>
        </w:rPr>
        <w:t>本</w:t>
      </w:r>
      <w:r>
        <w:rPr>
          <w:rFonts w:hint="eastAsia" w:ascii="仿宋_GB2312" w:hAnsi="仿宋" w:eastAsia="仿宋_GB2312" w:cs="仿宋"/>
          <w:spacing w:val="2"/>
          <w:sz w:val="32"/>
          <w:szCs w:val="32"/>
        </w:rPr>
        <w:t>条例所称太行古堡群，是指本市行政区域内历史上形成的独具特色的具有防御和生产生活等功能的古堡建筑的总称，包括古寨、城门、城墙、堡内民居、街巷、祠堂、庙宇、古地道、古藏兵洞、古井、古磨、匾额、碑刻等建筑物与构筑物。</w:t>
      </w:r>
      <w:r>
        <w:rPr>
          <w:rFonts w:hint="eastAsia" w:ascii="仿宋_GB2312" w:hAnsi="仿宋" w:eastAsia="仿宋_GB2312" w:cs="仿宋"/>
          <w:sz w:val="32"/>
          <w:szCs w:val="32"/>
        </w:rPr>
        <w:t xml:space="preserve"> </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黑体" w:hAnsi="黑体" w:eastAsia="黑体" w:cs="仿宋"/>
          <w:kern w:val="2"/>
          <w:sz w:val="32"/>
          <w:szCs w:val="32"/>
        </w:rPr>
        <w:t>第四条</w:t>
      </w:r>
      <w:r>
        <w:rPr>
          <w:rFonts w:hint="eastAsia" w:ascii="楷体_GB2312" w:hAnsi="楷体" w:eastAsia="楷体_GB2312" w:cs="仿宋"/>
          <w:b/>
          <w:kern w:val="2"/>
          <w:sz w:val="32"/>
          <w:szCs w:val="32"/>
        </w:rPr>
        <w:t xml:space="preserve"> </w:t>
      </w:r>
      <w:r>
        <w:rPr>
          <w:rFonts w:hint="eastAsia" w:ascii="仿宋_GB2312" w:hAnsi="楷体" w:eastAsia="仿宋_GB2312" w:cs="仿宋"/>
          <w:b/>
          <w:kern w:val="2"/>
          <w:sz w:val="32"/>
          <w:szCs w:val="32"/>
        </w:rPr>
        <w:t xml:space="preserve"> </w:t>
      </w:r>
      <w:r>
        <w:rPr>
          <w:rFonts w:hint="eastAsia" w:ascii="仿宋_GB2312" w:hAnsi="仿宋" w:eastAsia="仿宋_GB2312" w:cs="仿宋"/>
          <w:sz w:val="32"/>
          <w:szCs w:val="32"/>
          <w:shd w:val="clear" w:color="auto" w:fill="FFFFFF"/>
        </w:rPr>
        <w:t>古堡群保护应当遵循整体保护、抢救第一、活态传承、合理利用、政府主导、社会参与的原则</w:t>
      </w:r>
      <w:r>
        <w:rPr>
          <w:rFonts w:hint="eastAsia" w:ascii="仿宋_GB2312" w:hAnsi="仿宋" w:eastAsia="仿宋_GB2312" w:cs="仿宋"/>
          <w:sz w:val="32"/>
          <w:szCs w:val="32"/>
        </w:rPr>
        <w:t xml:space="preserve">。 </w:t>
      </w:r>
    </w:p>
    <w:p>
      <w:pPr>
        <w:shd w:val="clear" w:color="auto" w:fill="FFFFFF"/>
        <w:spacing w:line="586"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仿宋"/>
          <w:sz w:val="32"/>
          <w:szCs w:val="32"/>
        </w:rPr>
        <w:t xml:space="preserve">第五条  </w:t>
      </w:r>
      <w:r>
        <w:rPr>
          <w:rFonts w:hint="eastAsia" w:ascii="仿宋_GB2312" w:hAnsi="仿宋" w:eastAsia="仿宋_GB2312" w:cs="仿宋"/>
          <w:kern w:val="0"/>
          <w:sz w:val="32"/>
          <w:szCs w:val="32"/>
          <w:shd w:val="clear" w:color="auto" w:fill="FFFFFF"/>
        </w:rPr>
        <w:t>市人民政府统筹指导太行古堡群的保护管理工作。</w:t>
      </w:r>
    </w:p>
    <w:p>
      <w:pPr>
        <w:shd w:val="clear" w:color="auto" w:fill="FFFFFF"/>
        <w:spacing w:line="586" w:lineRule="exact"/>
        <w:ind w:firstLine="640" w:firstLineChars="200"/>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县（市、区）人民政府负责本行政区域内古堡的保护和监督管理工作。</w:t>
      </w:r>
    </w:p>
    <w:p>
      <w:pPr>
        <w:shd w:val="clear" w:color="auto" w:fill="FFFFFF"/>
        <w:spacing w:line="586" w:lineRule="exact"/>
        <w:ind w:firstLine="640" w:firstLineChars="200"/>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市、县（市、区）人民政府相关部门和乡（镇）人民政府应当按照各自职责做好本地古堡的保护管理工作。</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黑体" w:hAnsi="黑体" w:eastAsia="黑体" w:cs="仿宋"/>
          <w:sz w:val="32"/>
          <w:szCs w:val="32"/>
          <w:shd w:val="clear" w:color="080000" w:fill="FFFFFF"/>
        </w:rPr>
        <w:t xml:space="preserve">第六条 </w:t>
      </w:r>
      <w:r>
        <w:rPr>
          <w:rFonts w:hint="eastAsia" w:ascii="仿宋_GB2312" w:hAnsi="楷体" w:eastAsia="仿宋_GB2312" w:cs="仿宋"/>
          <w:b/>
          <w:sz w:val="32"/>
          <w:szCs w:val="32"/>
          <w:shd w:val="clear" w:color="080000" w:fill="FFFFFF"/>
        </w:rPr>
        <w:t xml:space="preserve"> </w:t>
      </w:r>
      <w:r>
        <w:rPr>
          <w:rFonts w:hint="eastAsia" w:ascii="仿宋_GB2312" w:hAnsi="仿宋" w:eastAsia="仿宋_GB2312" w:cs="仿宋"/>
          <w:sz w:val="32"/>
          <w:szCs w:val="32"/>
        </w:rPr>
        <w:t>市、县（市、区）</w:t>
      </w:r>
      <w:r>
        <w:rPr>
          <w:rFonts w:hint="eastAsia" w:ascii="仿宋_GB2312" w:hAnsi="仿宋" w:eastAsia="仿宋_GB2312" w:cs="仿宋"/>
          <w:sz w:val="32"/>
          <w:szCs w:val="32"/>
          <w:shd w:val="clear" w:color="auto" w:fill="FFFFFF"/>
        </w:rPr>
        <w:t>人民政府应当把太行古堡群保护管理经费列入本级财政预算，用于古堡的修缮、周边环境整治等保护工作。</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黑体" w:hAnsi="黑体" w:eastAsia="黑体" w:cs="仿宋"/>
          <w:kern w:val="2"/>
          <w:sz w:val="32"/>
          <w:szCs w:val="32"/>
        </w:rPr>
        <w:t xml:space="preserve">第七条 </w:t>
      </w:r>
      <w:r>
        <w:rPr>
          <w:rFonts w:hint="eastAsia" w:ascii="仿宋_GB2312" w:hAnsi="仿宋" w:eastAsia="仿宋_GB2312" w:cs="仿宋"/>
          <w:b/>
          <w:kern w:val="2"/>
          <w:sz w:val="32"/>
          <w:szCs w:val="32"/>
        </w:rPr>
        <w:t xml:space="preserve"> </w:t>
      </w:r>
      <w:r>
        <w:rPr>
          <w:rFonts w:hint="eastAsia" w:ascii="仿宋_GB2312" w:hAnsi="仿宋" w:eastAsia="仿宋_GB2312" w:cs="仿宋"/>
          <w:sz w:val="32"/>
          <w:szCs w:val="32"/>
        </w:rPr>
        <w:t>市、县（市、区）人民政府及其相关部门应当加强古堡保护的宣传教育工作，普及古堡保护知识，增强群众的古堡保护意识。</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黑体" w:hAnsi="黑体" w:eastAsia="黑体" w:cs="仿宋"/>
          <w:kern w:val="2"/>
          <w:sz w:val="32"/>
          <w:szCs w:val="32"/>
        </w:rPr>
        <w:t xml:space="preserve">第八条 </w:t>
      </w:r>
      <w:r>
        <w:rPr>
          <w:rFonts w:hint="eastAsia" w:ascii="仿宋_GB2312" w:hAnsi="仿宋" w:eastAsia="仿宋_GB2312" w:cs="仿宋"/>
          <w:b/>
          <w:kern w:val="2"/>
          <w:sz w:val="32"/>
          <w:szCs w:val="32"/>
        </w:rPr>
        <w:t xml:space="preserve"> </w:t>
      </w:r>
      <w:r>
        <w:rPr>
          <w:rFonts w:hint="eastAsia" w:ascii="仿宋_GB2312" w:hAnsi="仿宋" w:eastAsia="仿宋_GB2312" w:cs="仿宋"/>
          <w:kern w:val="2"/>
          <w:sz w:val="32"/>
          <w:szCs w:val="32"/>
        </w:rPr>
        <w:t>市、</w:t>
      </w:r>
      <w:r>
        <w:rPr>
          <w:rFonts w:hint="eastAsia" w:ascii="仿宋_GB2312" w:hAnsi="仿宋" w:eastAsia="仿宋_GB2312" w:cs="仿宋"/>
          <w:sz w:val="32"/>
          <w:szCs w:val="32"/>
        </w:rPr>
        <w:t>县（市、区）人民政府应当对保护太行古堡群作出突出贡献的组织和个人给予表彰奖励。</w:t>
      </w:r>
    </w:p>
    <w:p>
      <w:pPr>
        <w:pStyle w:val="17"/>
        <w:shd w:val="clear" w:color="auto" w:fill="FFFFFF"/>
        <w:spacing w:before="0" w:beforeAutospacing="0" w:after="0" w:afterAutospacing="0" w:line="586" w:lineRule="exact"/>
        <w:jc w:val="center"/>
        <w:rPr>
          <w:rFonts w:hint="eastAsia" w:ascii="黑体" w:hAnsi="黑体" w:eastAsia="黑体" w:cs="仿宋"/>
          <w:sz w:val="32"/>
          <w:szCs w:val="32"/>
          <w:shd w:val="clear" w:color="auto" w:fill="FFFFFF"/>
        </w:rPr>
      </w:pPr>
      <w:r>
        <w:rPr>
          <w:rFonts w:hint="eastAsia" w:ascii="黑体" w:hAnsi="黑体" w:eastAsia="黑体" w:cs="黑体"/>
          <w:sz w:val="32"/>
          <w:szCs w:val="32"/>
        </w:rPr>
        <w:t>第二章  规划与管理</w:t>
      </w:r>
    </w:p>
    <w:p>
      <w:pPr>
        <w:pStyle w:val="17"/>
        <w:spacing w:before="0" w:beforeAutospacing="0" w:after="0" w:afterAutospacing="0" w:line="586" w:lineRule="exact"/>
        <w:jc w:val="both"/>
        <w:rPr>
          <w:rFonts w:ascii="仿宋_GB2312" w:hAnsi="楷体" w:eastAsia="仿宋_GB2312" w:cs="仿宋"/>
          <w:b/>
          <w:sz w:val="32"/>
          <w:szCs w:val="32"/>
          <w:shd w:val="clear" w:color="080000" w:fill="FFFFFF"/>
        </w:rPr>
      </w:pPr>
    </w:p>
    <w:p>
      <w:pPr>
        <w:pStyle w:val="17"/>
        <w:spacing w:before="0" w:beforeAutospacing="0" w:after="0" w:afterAutospacing="0" w:line="586" w:lineRule="exact"/>
        <w:ind w:firstLine="640" w:firstLineChars="200"/>
        <w:jc w:val="both"/>
        <w:rPr>
          <w:rFonts w:hint="eastAsia" w:ascii="仿宋_GB2312" w:hAnsi="仿宋" w:eastAsia="仿宋_GB2312" w:cs="仿宋"/>
          <w:sz w:val="32"/>
          <w:szCs w:val="32"/>
          <w:shd w:val="clear" w:color="auto" w:fill="FFFFFF"/>
        </w:rPr>
      </w:pPr>
      <w:r>
        <w:rPr>
          <w:rFonts w:hint="eastAsia" w:ascii="黑体" w:hAnsi="黑体" w:eastAsia="黑体" w:cs="仿宋"/>
          <w:sz w:val="32"/>
          <w:szCs w:val="32"/>
          <w:shd w:val="clear" w:color="080000" w:fill="FFFFFF"/>
        </w:rPr>
        <w:t xml:space="preserve">第九条 </w:t>
      </w:r>
      <w:r>
        <w:rPr>
          <w:rFonts w:hint="eastAsia" w:ascii="楷体_GB2312" w:hAnsi="楷体" w:eastAsia="楷体_GB2312" w:cs="仿宋"/>
          <w:b/>
          <w:sz w:val="32"/>
          <w:szCs w:val="32"/>
          <w:shd w:val="clear" w:color="080000" w:fill="FFFFFF"/>
        </w:rPr>
        <w:t xml:space="preserve"> </w:t>
      </w:r>
      <w:r>
        <w:rPr>
          <w:rFonts w:hint="eastAsia" w:ascii="仿宋_GB2312" w:hAnsi="仿宋" w:eastAsia="仿宋_GB2312" w:cs="仿宋"/>
          <w:sz w:val="32"/>
          <w:szCs w:val="32"/>
          <w:shd w:val="clear" w:color="auto" w:fill="FFFFFF"/>
        </w:rPr>
        <w:t xml:space="preserve">市人民政府应当组织编制太行古堡群保护总体规划。县（市、区）人民政府组织相关职能部门制定古堡群保护专项规划，并报市人民政府批准后实施。  </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专项规划应当严格划定古堡群</w:t>
      </w:r>
      <w:r>
        <w:rPr>
          <w:rFonts w:hint="eastAsia" w:ascii="仿宋_GB2312" w:hAnsi="仿宋" w:eastAsia="仿宋_GB2312" w:cs="仿宋"/>
          <w:bCs/>
          <w:sz w:val="32"/>
          <w:szCs w:val="32"/>
        </w:rPr>
        <w:t>核心保护区、</w:t>
      </w:r>
      <w:r>
        <w:rPr>
          <w:rFonts w:hint="eastAsia" w:ascii="仿宋_GB2312" w:hAnsi="仿宋" w:eastAsia="仿宋_GB2312" w:cs="仿宋"/>
          <w:sz w:val="32"/>
          <w:szCs w:val="32"/>
          <w:shd w:val="clear" w:color="auto" w:fill="FFFFFF"/>
        </w:rPr>
        <w:t>建设控制地带与环境协调区，作为太行古堡群保护管理和开发利用的依据。</w:t>
      </w:r>
    </w:p>
    <w:p>
      <w:pPr>
        <w:pStyle w:val="17"/>
        <w:spacing w:before="0" w:beforeAutospacing="0" w:after="0" w:afterAutospacing="0" w:line="586" w:lineRule="exact"/>
        <w:ind w:firstLine="640" w:firstLineChars="200"/>
        <w:jc w:val="both"/>
        <w:rPr>
          <w:rFonts w:ascii="仿宋_GB2312" w:hAnsi="仿宋" w:eastAsia="仿宋_GB2312" w:cs="仿宋"/>
          <w:kern w:val="2"/>
          <w:sz w:val="32"/>
          <w:szCs w:val="32"/>
        </w:rPr>
      </w:pPr>
      <w:r>
        <w:rPr>
          <w:rFonts w:hint="eastAsia" w:ascii="黑体" w:hAnsi="黑体" w:eastAsia="黑体" w:cs="仿宋"/>
          <w:sz w:val="32"/>
          <w:szCs w:val="32"/>
          <w:shd w:val="clear" w:color="080000" w:fill="FFFFFF"/>
        </w:rPr>
        <w:t xml:space="preserve">第十条 </w:t>
      </w:r>
      <w:r>
        <w:rPr>
          <w:rFonts w:hint="eastAsia" w:ascii="仿宋_GB2312" w:hAnsi="楷体" w:eastAsia="仿宋_GB2312" w:cs="仿宋"/>
          <w:b/>
          <w:sz w:val="32"/>
          <w:szCs w:val="32"/>
          <w:shd w:val="clear" w:color="080000" w:fill="FFFFFF"/>
        </w:rPr>
        <w:t xml:space="preserve"> </w:t>
      </w:r>
      <w:r>
        <w:rPr>
          <w:rFonts w:hint="eastAsia" w:ascii="仿宋_GB2312" w:hAnsi="仿宋" w:eastAsia="仿宋_GB2312" w:cs="仿宋"/>
          <w:sz w:val="32"/>
          <w:szCs w:val="32"/>
          <w:shd w:val="clear" w:color="auto" w:fill="FFFFFF"/>
        </w:rPr>
        <w:t>开发利用古堡，应当符合太行古堡群保护规划，并与太行古堡群的历史和文化属性相协调。</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古堡开发利用相关建设工程应当按照太行古堡群专项规划进行。属于文物保护单位的古堡，确因需要建设的项目，工程设计方案及文物保护建设方案须报相关部门批准。</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县（市、区）人民政府应当对不符合太行古堡群保护规划的建筑物、构筑物责令限期清理、整改；对周边已遭到破坏的景观、植被等责令相关责任人及时修复。</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pacing w:val="4"/>
          <w:sz w:val="32"/>
          <w:szCs w:val="32"/>
        </w:rPr>
      </w:pPr>
      <w:r>
        <w:rPr>
          <w:rFonts w:hint="eastAsia" w:ascii="黑体" w:hAnsi="黑体" w:eastAsia="黑体" w:cs="仿宋"/>
          <w:sz w:val="32"/>
          <w:szCs w:val="32"/>
          <w:shd w:val="clear" w:color="080000" w:fill="FFFFFF"/>
        </w:rPr>
        <w:t xml:space="preserve">第十一条 </w:t>
      </w:r>
      <w:r>
        <w:rPr>
          <w:rFonts w:hint="eastAsia" w:ascii="仿宋_GB2312" w:hAnsi="楷体" w:eastAsia="仿宋_GB2312" w:cs="仿宋"/>
          <w:b/>
          <w:sz w:val="32"/>
          <w:szCs w:val="32"/>
          <w:shd w:val="clear" w:color="080000" w:fill="FFFFFF"/>
        </w:rPr>
        <w:t xml:space="preserve"> </w:t>
      </w:r>
      <w:r>
        <w:rPr>
          <w:rFonts w:hint="eastAsia" w:ascii="仿宋_GB2312" w:hAnsi="仿宋" w:eastAsia="仿宋_GB2312" w:cs="仿宋"/>
          <w:sz w:val="32"/>
          <w:szCs w:val="32"/>
        </w:rPr>
        <w:t>市</w:t>
      </w:r>
      <w:r>
        <w:rPr>
          <w:rFonts w:hint="eastAsia" w:ascii="仿宋_GB2312" w:hAnsi="仿宋" w:eastAsia="仿宋_GB2312" w:cs="仿宋"/>
          <w:spacing w:val="4"/>
          <w:sz w:val="32"/>
          <w:szCs w:val="32"/>
        </w:rPr>
        <w:t>、县（市、区）人民政府应当完善古堡的公共基础设施和公共服务体系，鼓励具有开放条件的古堡依法对外开放。</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黑体" w:hAnsi="黑体" w:eastAsia="黑体" w:cs="仿宋"/>
          <w:sz w:val="32"/>
          <w:szCs w:val="32"/>
          <w:shd w:val="clear" w:color="080000" w:fill="FFFFFF"/>
        </w:rPr>
        <w:t xml:space="preserve">第十二条 </w:t>
      </w:r>
      <w:r>
        <w:rPr>
          <w:rFonts w:hint="eastAsia" w:ascii="仿宋_GB2312" w:hAnsi="楷体" w:eastAsia="仿宋_GB2312" w:cs="仿宋"/>
          <w:b/>
          <w:sz w:val="32"/>
          <w:szCs w:val="32"/>
          <w:shd w:val="clear" w:color="080000" w:fill="FFFFFF"/>
        </w:rPr>
        <w:t xml:space="preserve"> </w:t>
      </w:r>
      <w:r>
        <w:rPr>
          <w:rFonts w:hint="eastAsia" w:ascii="仿宋_GB2312" w:hAnsi="仿宋" w:eastAsia="仿宋_GB2312" w:cs="仿宋"/>
          <w:sz w:val="32"/>
          <w:szCs w:val="32"/>
          <w:shd w:val="clear" w:color="080000" w:fill="FFFFFF"/>
        </w:rPr>
        <w:t>鼓励古堡所有权人以古堡入股，企业或者个人采用出资、租用等方式，参与古堡的开发利用，并依法享有收益权</w:t>
      </w:r>
      <w:r>
        <w:rPr>
          <w:rFonts w:hint="eastAsia" w:ascii="仿宋_GB2312" w:hAnsi="仿宋" w:eastAsia="仿宋_GB2312" w:cs="仿宋"/>
          <w:sz w:val="32"/>
          <w:szCs w:val="32"/>
        </w:rPr>
        <w:t>。</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黑体" w:hAnsi="黑体" w:eastAsia="黑体" w:cs="仿宋"/>
          <w:sz w:val="32"/>
          <w:szCs w:val="32"/>
          <w:shd w:val="clear" w:color="080000" w:fill="FFFFFF"/>
        </w:rPr>
        <w:t>第十三条</w:t>
      </w:r>
      <w:r>
        <w:rPr>
          <w:rFonts w:hint="eastAsia" w:ascii="楷体_GB2312" w:hAnsi="楷体" w:eastAsia="楷体_GB2312" w:cs="仿宋"/>
          <w:b/>
          <w:sz w:val="32"/>
          <w:szCs w:val="32"/>
          <w:shd w:val="clear" w:color="080000" w:fill="FFFFFF"/>
        </w:rPr>
        <w:t xml:space="preserve"> </w:t>
      </w:r>
      <w:r>
        <w:rPr>
          <w:rFonts w:hint="eastAsia" w:ascii="仿宋_GB2312" w:hAnsi="楷体" w:eastAsia="仿宋_GB2312" w:cs="仿宋"/>
          <w:b/>
          <w:sz w:val="32"/>
          <w:szCs w:val="32"/>
          <w:shd w:val="clear" w:color="080000" w:fill="FFFFFF"/>
        </w:rPr>
        <w:t xml:space="preserve"> </w:t>
      </w:r>
      <w:r>
        <w:rPr>
          <w:rFonts w:hint="eastAsia" w:ascii="仿宋_GB2312" w:hAnsi="仿宋" w:eastAsia="仿宋_GB2312" w:cs="仿宋"/>
          <w:sz w:val="32"/>
          <w:szCs w:val="32"/>
        </w:rPr>
        <w:t>鼓励在</w:t>
      </w:r>
      <w:r>
        <w:rPr>
          <w:rFonts w:hint="eastAsia" w:ascii="仿宋_GB2312" w:hAnsi="仿宋" w:eastAsia="仿宋_GB2312" w:cs="仿宋"/>
          <w:sz w:val="32"/>
          <w:szCs w:val="32"/>
          <w:shd w:val="clear" w:color="080000" w:fill="FFFFFF"/>
        </w:rPr>
        <w:t>古堡开展</w:t>
      </w:r>
      <w:r>
        <w:rPr>
          <w:rFonts w:hint="eastAsia" w:ascii="仿宋_GB2312" w:hAnsi="仿宋" w:eastAsia="仿宋_GB2312" w:cs="仿宋"/>
          <w:sz w:val="32"/>
          <w:szCs w:val="32"/>
        </w:rPr>
        <w:t>下列经营项目和活动：</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 xml:space="preserve">（一）文化宣传展览； </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（二）传统手工作坊、民间工艺及旅游产品制作；</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（三）民俗客栈、饭店；</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（四）传统娱乐业及民间艺术表演活动；</w:t>
      </w:r>
    </w:p>
    <w:p>
      <w:pPr>
        <w:pStyle w:val="17"/>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（五）民间工艺品依法收藏、交易、展示活动；</w:t>
      </w:r>
    </w:p>
    <w:p>
      <w:pPr>
        <w:pStyle w:val="17"/>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（六）其他符合法律法规的活动。</w:t>
      </w:r>
    </w:p>
    <w:p>
      <w:pPr>
        <w:pStyle w:val="17"/>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黑体" w:hAnsi="黑体" w:eastAsia="黑体" w:cs="仿宋"/>
          <w:kern w:val="2"/>
          <w:sz w:val="32"/>
          <w:szCs w:val="32"/>
        </w:rPr>
        <w:t xml:space="preserve">第十四条 </w:t>
      </w:r>
      <w:r>
        <w:rPr>
          <w:rFonts w:hint="eastAsia" w:ascii="楷体_GB2312" w:hAnsi="仿宋" w:eastAsia="楷体_GB2312" w:cs="仿宋"/>
          <w:b/>
          <w:sz w:val="32"/>
          <w:szCs w:val="32"/>
          <w:shd w:val="clear" w:color="080000" w:fill="FFFFFF"/>
        </w:rPr>
        <w:t xml:space="preserve"> </w:t>
      </w:r>
      <w:r>
        <w:rPr>
          <w:rFonts w:hint="eastAsia" w:ascii="仿宋_GB2312" w:hAnsi="仿宋" w:eastAsia="仿宋_GB2312" w:cs="仿宋"/>
          <w:sz w:val="32"/>
          <w:szCs w:val="32"/>
        </w:rPr>
        <w:t>在古堡内拍摄电影、电视剧（片）、录像的剧组，应当依法办理相关手续。各项拍摄活动应当注重保护文物古迹，并在古堡文物保护管理工作人员的监督下进行。</w:t>
      </w:r>
    </w:p>
    <w:p>
      <w:pPr>
        <w:pStyle w:val="17"/>
        <w:spacing w:before="0" w:beforeAutospacing="0" w:after="0" w:afterAutospacing="0" w:line="586" w:lineRule="exact"/>
        <w:jc w:val="both"/>
        <w:rPr>
          <w:rFonts w:ascii="黑体" w:hAnsi="黑体" w:eastAsia="黑体" w:cs="黑体"/>
          <w:sz w:val="32"/>
          <w:szCs w:val="32"/>
        </w:rPr>
      </w:pPr>
    </w:p>
    <w:p>
      <w:pPr>
        <w:pStyle w:val="17"/>
        <w:spacing w:before="0" w:beforeAutospacing="0" w:after="0" w:afterAutospacing="0" w:line="586" w:lineRule="exact"/>
        <w:jc w:val="center"/>
        <w:rPr>
          <w:rFonts w:hint="eastAsia" w:ascii="黑体" w:hAnsi="黑体" w:eastAsia="黑体" w:cs="黑体"/>
          <w:sz w:val="32"/>
          <w:szCs w:val="32"/>
        </w:rPr>
      </w:pPr>
      <w:r>
        <w:rPr>
          <w:rFonts w:hint="eastAsia" w:ascii="黑体" w:hAnsi="黑体" w:eastAsia="黑体" w:cs="黑体"/>
          <w:sz w:val="32"/>
          <w:szCs w:val="32"/>
        </w:rPr>
        <w:t>第三章  保护措施</w:t>
      </w:r>
    </w:p>
    <w:p>
      <w:pPr>
        <w:pStyle w:val="17"/>
        <w:spacing w:before="0" w:beforeAutospacing="0" w:after="0" w:afterAutospacing="0" w:line="586" w:lineRule="exact"/>
        <w:jc w:val="both"/>
        <w:rPr>
          <w:rFonts w:ascii="黑体" w:hAnsi="黑体" w:eastAsia="黑体" w:cs="黑体"/>
          <w:sz w:val="32"/>
          <w:szCs w:val="32"/>
        </w:rPr>
      </w:pPr>
    </w:p>
    <w:p>
      <w:pPr>
        <w:shd w:val="clear" w:color="auto" w:fill="FFFFFF"/>
        <w:spacing w:line="586" w:lineRule="exact"/>
        <w:ind w:firstLine="640" w:firstLineChars="200"/>
        <w:rPr>
          <w:rFonts w:ascii="仿宋_GB2312" w:hAnsi="仿宋" w:eastAsia="仿宋_GB2312" w:cs="仿宋"/>
          <w:sz w:val="32"/>
          <w:szCs w:val="32"/>
        </w:rPr>
      </w:pPr>
      <w:r>
        <w:rPr>
          <w:rFonts w:hint="eastAsia" w:ascii="黑体" w:hAnsi="黑体" w:eastAsia="黑体" w:cs="仿宋"/>
          <w:sz w:val="32"/>
          <w:szCs w:val="32"/>
        </w:rPr>
        <w:t>第十五条</w:t>
      </w:r>
      <w:r>
        <w:rPr>
          <w:rFonts w:hint="eastAsia" w:ascii="楷体_GB2312" w:hAnsi="楷体" w:eastAsia="楷体_GB2312" w:cs="仿宋"/>
          <w:b/>
          <w:sz w:val="32"/>
          <w:szCs w:val="32"/>
        </w:rPr>
        <w:t xml:space="preserve"> </w:t>
      </w:r>
      <w:r>
        <w:rPr>
          <w:rFonts w:hint="eastAsia" w:ascii="仿宋_GB2312" w:hAnsi="楷体" w:eastAsia="仿宋_GB2312" w:cs="仿宋"/>
          <w:b/>
          <w:sz w:val="32"/>
          <w:szCs w:val="32"/>
        </w:rPr>
        <w:t xml:space="preserve"> </w:t>
      </w:r>
      <w:r>
        <w:rPr>
          <w:rFonts w:hint="eastAsia" w:ascii="仿宋_GB2312" w:hAnsi="仿宋" w:eastAsia="仿宋_GB2312" w:cs="仿宋"/>
          <w:sz w:val="32"/>
          <w:szCs w:val="32"/>
        </w:rPr>
        <w:t>太行古堡</w:t>
      </w:r>
      <w:r>
        <w:rPr>
          <w:rFonts w:hint="eastAsia" w:ascii="仿宋_GB2312" w:hAnsi="仿宋" w:eastAsia="仿宋_GB2312" w:cs="仿宋"/>
          <w:kern w:val="0"/>
          <w:sz w:val="32"/>
          <w:szCs w:val="32"/>
          <w:shd w:val="clear" w:color="auto" w:fill="FFFFFF"/>
        </w:rPr>
        <w:t>群的保护对象包括：</w:t>
      </w:r>
    </w:p>
    <w:p>
      <w:pPr>
        <w:shd w:val="clear" w:color="auto" w:fill="FFFFFF"/>
        <w:spacing w:line="586" w:lineRule="exact"/>
        <w:ind w:firstLine="640" w:firstLineChars="200"/>
        <w:rPr>
          <w:rFonts w:ascii="仿宋_GB2312" w:hAnsi="仿宋" w:eastAsia="仿宋_GB2312" w:cs="仿宋"/>
          <w:spacing w:val="-14"/>
          <w:sz w:val="32"/>
          <w:szCs w:val="32"/>
        </w:rPr>
      </w:pPr>
      <w:r>
        <w:rPr>
          <w:rFonts w:hint="eastAsia" w:ascii="仿宋_GB2312" w:hAnsi="仿宋" w:eastAsia="仿宋_GB2312" w:cs="仿宋"/>
          <w:kern w:val="0"/>
          <w:sz w:val="32"/>
          <w:szCs w:val="32"/>
          <w:shd w:val="clear" w:color="auto" w:fill="FFFFFF"/>
        </w:rPr>
        <w:t>（一）保</w:t>
      </w:r>
      <w:r>
        <w:rPr>
          <w:rFonts w:hint="eastAsia" w:ascii="仿宋_GB2312" w:hAnsi="仿宋" w:eastAsia="仿宋_GB2312" w:cs="仿宋"/>
          <w:spacing w:val="-14"/>
          <w:kern w:val="0"/>
          <w:sz w:val="32"/>
          <w:szCs w:val="32"/>
          <w:shd w:val="clear" w:color="auto" w:fill="FFFFFF"/>
        </w:rPr>
        <w:t>护范围内的古堡建筑物、构筑物、附属建筑物及遗址；</w:t>
      </w:r>
    </w:p>
    <w:p>
      <w:pPr>
        <w:shd w:val="clear" w:color="auto" w:fill="FFFFFF"/>
        <w:spacing w:line="586" w:lineRule="exact"/>
        <w:ind w:firstLine="640" w:firstLineChars="200"/>
        <w:rPr>
          <w:rFonts w:ascii="仿宋_GB2312" w:hAnsi="仿宋" w:eastAsia="仿宋_GB2312" w:cs="仿宋"/>
          <w:sz w:val="32"/>
          <w:szCs w:val="32"/>
        </w:rPr>
      </w:pPr>
      <w:r>
        <w:rPr>
          <w:rFonts w:hint="eastAsia" w:ascii="仿宋_GB2312" w:hAnsi="仿宋" w:eastAsia="仿宋_GB2312" w:cs="仿宋"/>
          <w:kern w:val="0"/>
          <w:sz w:val="32"/>
          <w:szCs w:val="32"/>
          <w:shd w:val="clear" w:color="auto" w:fill="FFFFFF"/>
        </w:rPr>
        <w:t>（二）古堡建筑的附属文物；</w:t>
      </w:r>
    </w:p>
    <w:p>
      <w:pPr>
        <w:shd w:val="clear" w:color="auto" w:fill="FFFFFF"/>
        <w:spacing w:line="586" w:lineRule="exact"/>
        <w:ind w:firstLine="640" w:firstLineChars="200"/>
        <w:rPr>
          <w:rFonts w:ascii="仿宋_GB2312" w:hAnsi="仿宋" w:eastAsia="仿宋_GB2312" w:cs="仿宋"/>
          <w:spacing w:val="-10"/>
          <w:sz w:val="32"/>
          <w:szCs w:val="32"/>
        </w:rPr>
      </w:pPr>
      <w:r>
        <w:rPr>
          <w:rFonts w:hint="eastAsia" w:ascii="仿宋_GB2312" w:hAnsi="仿宋" w:eastAsia="仿宋_GB2312" w:cs="仿宋"/>
          <w:kern w:val="0"/>
          <w:sz w:val="32"/>
          <w:szCs w:val="32"/>
          <w:shd w:val="clear" w:color="auto" w:fill="FFFFFF"/>
        </w:rPr>
        <w:t>（三）古</w:t>
      </w:r>
      <w:r>
        <w:rPr>
          <w:rFonts w:hint="eastAsia" w:ascii="仿宋_GB2312" w:hAnsi="仿宋" w:eastAsia="仿宋_GB2312" w:cs="仿宋"/>
          <w:spacing w:val="-10"/>
          <w:kern w:val="0"/>
          <w:sz w:val="32"/>
          <w:szCs w:val="32"/>
          <w:shd w:val="clear" w:color="auto" w:fill="FFFFFF"/>
        </w:rPr>
        <w:t>堡建筑保护管理机构保存、陈列的文物和重要资料；</w:t>
      </w:r>
    </w:p>
    <w:p>
      <w:pPr>
        <w:shd w:val="clear" w:color="auto" w:fill="FFFFFF"/>
        <w:spacing w:line="586" w:lineRule="exact"/>
        <w:ind w:firstLine="640" w:firstLineChars="200"/>
        <w:rPr>
          <w:rFonts w:ascii="仿宋_GB2312" w:hAnsi="仿宋" w:eastAsia="仿宋_GB2312" w:cs="仿宋"/>
          <w:sz w:val="32"/>
          <w:szCs w:val="32"/>
        </w:rPr>
      </w:pPr>
      <w:r>
        <w:rPr>
          <w:rFonts w:hint="eastAsia" w:ascii="仿宋_GB2312" w:hAnsi="仿宋" w:eastAsia="仿宋_GB2312" w:cs="仿宋"/>
          <w:kern w:val="0"/>
          <w:sz w:val="32"/>
          <w:szCs w:val="32"/>
          <w:shd w:val="clear" w:color="auto" w:fill="FFFFFF"/>
        </w:rPr>
        <w:t>（四）保护范围内的地下文物；</w:t>
      </w:r>
    </w:p>
    <w:p>
      <w:pPr>
        <w:shd w:val="clear" w:color="auto" w:fill="FFFFFF"/>
        <w:spacing w:line="586" w:lineRule="exact"/>
        <w:ind w:firstLine="640" w:firstLineChars="200"/>
        <w:rPr>
          <w:rFonts w:ascii="仿宋_GB2312" w:hAnsi="仿宋" w:eastAsia="仿宋_GB2312" w:cs="仿宋"/>
          <w:sz w:val="32"/>
          <w:szCs w:val="32"/>
        </w:rPr>
      </w:pPr>
      <w:r>
        <w:rPr>
          <w:rFonts w:hint="eastAsia" w:ascii="仿宋_GB2312" w:hAnsi="仿宋" w:eastAsia="仿宋_GB2312" w:cs="仿宋"/>
          <w:kern w:val="0"/>
          <w:sz w:val="32"/>
          <w:szCs w:val="32"/>
          <w:shd w:val="clear" w:color="auto" w:fill="FFFFFF"/>
        </w:rPr>
        <w:t>（五）构成古堡建筑整体的历史风貌和自然环境；</w:t>
      </w:r>
    </w:p>
    <w:p>
      <w:pPr>
        <w:shd w:val="clear" w:color="auto" w:fill="FFFFFF"/>
        <w:spacing w:line="586" w:lineRule="exact"/>
        <w:ind w:firstLine="640" w:firstLineChars="200"/>
        <w:rPr>
          <w:rFonts w:ascii="楷体_GB2312" w:hAnsi="楷体" w:eastAsia="楷体_GB2312" w:cs="仿宋"/>
          <w:b/>
          <w:sz w:val="32"/>
          <w:szCs w:val="32"/>
        </w:rPr>
      </w:pPr>
      <w:r>
        <w:rPr>
          <w:rFonts w:hint="eastAsia" w:ascii="仿宋_GB2312" w:hAnsi="仿宋" w:eastAsia="仿宋_GB2312" w:cs="仿宋"/>
          <w:kern w:val="0"/>
          <w:sz w:val="32"/>
          <w:szCs w:val="32"/>
          <w:shd w:val="clear" w:color="auto" w:fill="FFFFFF"/>
        </w:rPr>
        <w:t>（六）其他依法应当保护的古堡人文遗迹。</w:t>
      </w:r>
    </w:p>
    <w:p>
      <w:pPr>
        <w:pStyle w:val="17"/>
        <w:spacing w:before="0" w:beforeAutospacing="0" w:after="0" w:afterAutospacing="0" w:line="586" w:lineRule="exact"/>
        <w:ind w:firstLine="640" w:firstLineChars="200"/>
        <w:jc w:val="both"/>
        <w:rPr>
          <w:rFonts w:hint="eastAsia" w:ascii="仿宋_GB2312" w:hAnsi="仿宋" w:eastAsia="仿宋_GB2312" w:cs="仿宋"/>
          <w:sz w:val="32"/>
          <w:szCs w:val="32"/>
          <w:shd w:val="clear" w:color="080000" w:fill="FFFFFF"/>
        </w:rPr>
      </w:pPr>
      <w:r>
        <w:rPr>
          <w:rFonts w:hint="eastAsia" w:ascii="黑体" w:hAnsi="黑体" w:eastAsia="黑体" w:cs="仿宋"/>
          <w:kern w:val="2"/>
          <w:sz w:val="32"/>
          <w:szCs w:val="32"/>
        </w:rPr>
        <w:t xml:space="preserve">第十六条 </w:t>
      </w:r>
      <w:r>
        <w:rPr>
          <w:rFonts w:hint="eastAsia" w:ascii="仿宋_GB2312" w:hAnsi="楷体" w:eastAsia="仿宋_GB2312" w:cs="仿宋"/>
          <w:b/>
          <w:kern w:val="2"/>
          <w:sz w:val="32"/>
          <w:szCs w:val="32"/>
        </w:rPr>
        <w:t xml:space="preserve"> </w:t>
      </w:r>
      <w:r>
        <w:rPr>
          <w:rFonts w:hint="eastAsia" w:ascii="仿宋_GB2312" w:hAnsi="仿宋" w:eastAsia="仿宋_GB2312" w:cs="仿宋"/>
          <w:sz w:val="32"/>
          <w:szCs w:val="32"/>
          <w:shd w:val="clear" w:color="080000" w:fill="FFFFFF"/>
        </w:rPr>
        <w:t>县（市、区）人民政府应当开展古堡的调查初审工作，并将审核通过名单向市文物行政主管部门进行申请认定。</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080000" w:fill="FFFFFF"/>
        </w:rPr>
      </w:pPr>
      <w:r>
        <w:rPr>
          <w:rFonts w:hint="eastAsia" w:ascii="仿宋_GB2312" w:hAnsi="仿宋" w:eastAsia="仿宋_GB2312" w:cs="仿宋"/>
          <w:sz w:val="32"/>
          <w:szCs w:val="32"/>
          <w:shd w:val="clear" w:color="080000" w:fill="FFFFFF"/>
        </w:rPr>
        <w:t>市文物行政主管部门收到认定申请后，应当组织相关部门、专业人员进行评审，并提出审查意见报市人民政府批准后向社会公布。</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080000" w:fill="FFFFFF"/>
        </w:rPr>
      </w:pPr>
      <w:r>
        <w:rPr>
          <w:rFonts w:hint="eastAsia" w:ascii="黑体" w:hAnsi="黑体" w:eastAsia="黑体" w:cs="仿宋"/>
          <w:kern w:val="2"/>
          <w:sz w:val="32"/>
          <w:szCs w:val="32"/>
        </w:rPr>
        <w:t xml:space="preserve">第十七条 </w:t>
      </w:r>
      <w:r>
        <w:rPr>
          <w:rFonts w:hint="eastAsia" w:ascii="仿宋_GB2312" w:hAnsi="仿宋" w:eastAsia="仿宋_GB2312" w:cs="仿宋"/>
          <w:b/>
          <w:kern w:val="2"/>
          <w:sz w:val="32"/>
          <w:szCs w:val="32"/>
        </w:rPr>
        <w:t xml:space="preserve"> </w:t>
      </w:r>
      <w:r>
        <w:rPr>
          <w:rFonts w:hint="eastAsia" w:ascii="仿宋_GB2312" w:hAnsi="仿宋" w:eastAsia="仿宋_GB2312" w:cs="仿宋"/>
          <w:sz w:val="32"/>
          <w:szCs w:val="32"/>
          <w:shd w:val="clear" w:color="080000" w:fill="FFFFFF"/>
        </w:rPr>
        <w:t>市人民政府应当建立太行古堡群保护名录，制发统一的保护标志。列入保护名录的古堡，不得擅自改变名称。确需变更的，应当报市人民政府批准并重新公布。</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kern w:val="2"/>
          <w:sz w:val="32"/>
          <w:szCs w:val="32"/>
        </w:rPr>
        <w:t>市、</w:t>
      </w:r>
      <w:r>
        <w:rPr>
          <w:rFonts w:hint="eastAsia" w:ascii="仿宋_GB2312" w:hAnsi="仿宋" w:eastAsia="仿宋_GB2312" w:cs="仿宋"/>
          <w:sz w:val="32"/>
          <w:szCs w:val="32"/>
          <w:shd w:val="clear" w:color="auto" w:fill="FFFFFF"/>
        </w:rPr>
        <w:t>县（市、区）文物行政主管部门负责建立古堡档案，及时收集整理古堡保护开发的相关资料。</w:t>
      </w:r>
    </w:p>
    <w:p>
      <w:pPr>
        <w:shd w:val="clear" w:color="auto" w:fill="FFFFFF"/>
        <w:spacing w:line="586" w:lineRule="exact"/>
        <w:ind w:firstLine="640" w:firstLineChars="200"/>
        <w:rPr>
          <w:rFonts w:ascii="仿宋_GB2312" w:hAnsi="仿宋" w:eastAsia="仿宋_GB2312" w:cs="仿宋"/>
          <w:sz w:val="32"/>
          <w:szCs w:val="32"/>
          <w:shd w:val="clear" w:color="auto" w:fill="FFFFFF"/>
        </w:rPr>
      </w:pPr>
      <w:r>
        <w:rPr>
          <w:rFonts w:hint="eastAsia" w:ascii="黑体" w:hAnsi="黑体" w:eastAsia="黑体" w:cs="仿宋"/>
          <w:sz w:val="32"/>
          <w:szCs w:val="32"/>
        </w:rPr>
        <w:t xml:space="preserve">第十八条  </w:t>
      </w:r>
      <w:r>
        <w:rPr>
          <w:rFonts w:hint="eastAsia" w:ascii="仿宋_GB2312" w:hAnsi="仿宋" w:eastAsia="仿宋_GB2312" w:cs="仿宋"/>
          <w:sz w:val="32"/>
          <w:szCs w:val="32"/>
          <w:shd w:val="clear" w:color="auto" w:fill="FFFFFF"/>
        </w:rPr>
        <w:t>古堡所在县（市、区）人民政府组织相关部门定期开展安全检查工作。</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古堡所有人、管理使用人应当根据国家有关法律法规，健全安全防范管理制度，配备安全防范相关设施，并在相关部门的指导下，制定完善安全防范应急预案。</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黑体" w:hAnsi="黑体" w:eastAsia="黑体" w:cs="仿宋"/>
          <w:kern w:val="2"/>
          <w:sz w:val="32"/>
          <w:szCs w:val="32"/>
        </w:rPr>
        <w:t>第十九条</w:t>
      </w:r>
      <w:r>
        <w:rPr>
          <w:rFonts w:hint="eastAsia" w:ascii="黑体" w:hAnsi="黑体" w:eastAsia="黑体" w:cs="仿宋"/>
          <w:sz w:val="32"/>
          <w:szCs w:val="32"/>
        </w:rPr>
        <w:t xml:space="preserve">  </w:t>
      </w:r>
      <w:r>
        <w:rPr>
          <w:rFonts w:hint="eastAsia" w:ascii="仿宋_GB2312" w:hAnsi="仿宋" w:eastAsia="仿宋_GB2312" w:cs="仿宋"/>
          <w:sz w:val="32"/>
          <w:szCs w:val="32"/>
          <w:shd w:val="clear" w:color="auto" w:fill="FFFFFF"/>
        </w:rPr>
        <w:t>列为全国重点文物保护单位的古堡所有人、管理使用人应当依法建立专职消防队，非全国重点文物保护单位的古堡应当建立志愿消防队，具体承担古堡的火灾扑救工作，提高自防自救能力。</w:t>
      </w:r>
    </w:p>
    <w:p>
      <w:pPr>
        <w:shd w:val="clear" w:color="auto" w:fill="FFFFFF"/>
        <w:spacing w:line="586" w:lineRule="exact"/>
        <w:ind w:firstLine="640" w:firstLineChars="200"/>
        <w:rPr>
          <w:rFonts w:ascii="仿宋_GB2312" w:hAnsi="仿宋" w:eastAsia="仿宋_GB2312" w:cs="仿宋"/>
          <w:sz w:val="32"/>
          <w:szCs w:val="32"/>
        </w:rPr>
      </w:pPr>
      <w:r>
        <w:rPr>
          <w:rFonts w:hint="eastAsia" w:ascii="黑体" w:hAnsi="黑体" w:eastAsia="黑体" w:cs="仿宋"/>
          <w:sz w:val="32"/>
          <w:szCs w:val="32"/>
        </w:rPr>
        <w:t xml:space="preserve">第二十条 </w:t>
      </w:r>
      <w:r>
        <w:rPr>
          <w:rFonts w:hint="eastAsia" w:ascii="仿宋_GB2312" w:hAnsi="仿宋" w:eastAsia="仿宋_GB2312" w:cs="仿宋"/>
          <w:sz w:val="32"/>
          <w:szCs w:val="32"/>
          <w:shd w:val="clear" w:color="auto" w:fill="FFFFFF"/>
        </w:rPr>
        <w:t xml:space="preserve"> 在古堡群核心保护区和建设控制地带内，禁止下列行为：</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shd w:val="clear" w:color="auto" w:fill="FFFFFF"/>
        </w:rPr>
        <w:t>（一）在设有禁止烟火标志区域内吸烟、焚香化纸；</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shd w:val="clear" w:color="auto" w:fill="FFFFFF"/>
        </w:rPr>
        <w:t>（二）违反规定倾倒垃圾、排放污水；</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shd w:val="clear" w:color="auto" w:fill="FFFFFF"/>
        </w:rPr>
        <w:t>（三）野炊、燃放孔明灯；</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（四）涂污、损毁古堡内建筑物、构筑物；</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（五）破坏防火、防盗等保护设施；</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（六）擅自存储易燃易爆、腐蚀性物品；</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（七）擅自进行开山、采矿、采石、采砂、钻探，修建坟墓、垃圾处理场；</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（八）</w:t>
      </w:r>
      <w:r>
        <w:rPr>
          <w:rFonts w:hint="eastAsia" w:ascii="仿宋_GB2312" w:hAnsi="仿宋" w:eastAsia="仿宋_GB2312" w:cs="仿宋"/>
          <w:sz w:val="32"/>
          <w:szCs w:val="32"/>
          <w:shd w:val="clear" w:color="080000" w:fill="FFFFFF"/>
        </w:rPr>
        <w:t>擅自迁移、拆除、修缮古堡建筑物及其构筑物；</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（九）擅自设置广告牌；</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（十）擅自复制、拓印古堡内文物；</w:t>
      </w: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（十一）其他有损古堡安全的行为。</w:t>
      </w:r>
    </w:p>
    <w:p>
      <w:pPr>
        <w:pStyle w:val="17"/>
        <w:spacing w:before="0" w:beforeAutospacing="0" w:after="0" w:afterAutospacing="0" w:line="586" w:lineRule="exact"/>
        <w:ind w:firstLine="640" w:firstLineChars="200"/>
        <w:jc w:val="both"/>
        <w:rPr>
          <w:rFonts w:ascii="仿宋_GB2312" w:hAnsi="仿宋" w:eastAsia="仿宋_GB2312" w:cs="仿宋"/>
          <w:spacing w:val="-6"/>
          <w:sz w:val="32"/>
          <w:szCs w:val="32"/>
          <w:shd w:val="clear" w:color="auto" w:fill="FFFFFF"/>
        </w:rPr>
      </w:pPr>
      <w:r>
        <w:rPr>
          <w:rFonts w:hint="eastAsia" w:ascii="黑体" w:hAnsi="黑体" w:eastAsia="黑体" w:cs="仿宋"/>
          <w:kern w:val="2"/>
          <w:sz w:val="32"/>
          <w:szCs w:val="32"/>
        </w:rPr>
        <w:t>第二十一条</w:t>
      </w:r>
      <w:r>
        <w:rPr>
          <w:rFonts w:hint="eastAsia" w:ascii="楷体_GB2312" w:hAnsi="仿宋" w:eastAsia="楷体_GB2312" w:cs="仿宋"/>
          <w:b/>
          <w:sz w:val="32"/>
          <w:szCs w:val="32"/>
          <w:shd w:val="clear" w:color="080000" w:fill="FFFFFF"/>
        </w:rPr>
        <w:t xml:space="preserve"> </w:t>
      </w:r>
      <w:r>
        <w:rPr>
          <w:rFonts w:hint="eastAsia" w:ascii="仿宋_GB2312" w:hAnsi="仿宋" w:eastAsia="仿宋_GB2312" w:cs="仿宋"/>
          <w:b/>
          <w:sz w:val="32"/>
          <w:szCs w:val="32"/>
          <w:shd w:val="clear" w:color="080000" w:fill="FFFFFF"/>
        </w:rPr>
        <w:t xml:space="preserve"> </w:t>
      </w:r>
      <w:r>
        <w:rPr>
          <w:rFonts w:hint="eastAsia" w:ascii="仿宋_GB2312" w:hAnsi="仿宋" w:eastAsia="仿宋_GB2312" w:cs="仿宋"/>
          <w:sz w:val="32"/>
          <w:szCs w:val="32"/>
          <w:shd w:val="clear" w:color="080000" w:fill="FFFFFF"/>
        </w:rPr>
        <w:t>古</w:t>
      </w:r>
      <w:r>
        <w:rPr>
          <w:rFonts w:hint="eastAsia" w:ascii="仿宋_GB2312" w:hAnsi="仿宋" w:eastAsia="仿宋_GB2312" w:cs="仿宋"/>
          <w:spacing w:val="-6"/>
          <w:sz w:val="32"/>
          <w:szCs w:val="32"/>
          <w:shd w:val="clear" w:color="080000" w:fill="FFFFFF"/>
        </w:rPr>
        <w:t>堡的</w:t>
      </w:r>
      <w:r>
        <w:rPr>
          <w:rFonts w:hint="eastAsia" w:ascii="仿宋_GB2312" w:hAnsi="仿宋" w:eastAsia="仿宋_GB2312" w:cs="仿宋"/>
          <w:spacing w:val="-6"/>
          <w:sz w:val="32"/>
          <w:szCs w:val="32"/>
          <w:shd w:val="clear" w:color="auto" w:fill="FFFFFF"/>
        </w:rPr>
        <w:t>日常保养和维护由所有人、使用人负责。</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古堡的修缮，应当由取得文物保护工程资质证书的设计、施工、监理单位承担。修缮方案应当严格按照保护规划编制，保持古堡原有形制、结构、材料、工艺及整体建筑色调，并依法报相关部门批准。</w:t>
      </w:r>
    </w:p>
    <w:p>
      <w:pPr>
        <w:pStyle w:val="17"/>
        <w:spacing w:before="0" w:beforeAutospacing="0" w:after="0" w:afterAutospacing="0" w:line="586" w:lineRule="exact"/>
        <w:jc w:val="center"/>
        <w:rPr>
          <w:rFonts w:hint="eastAsia" w:ascii="黑体" w:hAnsi="黑体" w:eastAsia="黑体" w:cs="黑体"/>
          <w:sz w:val="32"/>
          <w:szCs w:val="32"/>
        </w:rPr>
      </w:pPr>
    </w:p>
    <w:p>
      <w:pPr>
        <w:pStyle w:val="17"/>
        <w:spacing w:before="0" w:beforeAutospacing="0" w:after="0" w:afterAutospacing="0" w:line="586" w:lineRule="exact"/>
        <w:jc w:val="center"/>
        <w:rPr>
          <w:rFonts w:ascii="黑体" w:hAnsi="黑体" w:eastAsia="黑体" w:cs="仿宋"/>
          <w:sz w:val="32"/>
          <w:szCs w:val="32"/>
          <w:shd w:val="clear" w:color="auto" w:fill="FFFFFF"/>
        </w:rPr>
      </w:pPr>
      <w:r>
        <w:rPr>
          <w:rFonts w:hint="eastAsia" w:ascii="黑体" w:hAnsi="黑体" w:eastAsia="黑体" w:cs="黑体"/>
          <w:sz w:val="32"/>
          <w:szCs w:val="32"/>
        </w:rPr>
        <w:t>第四章  法律责任</w:t>
      </w:r>
    </w:p>
    <w:p>
      <w:pPr>
        <w:pStyle w:val="17"/>
        <w:spacing w:before="0" w:beforeAutospacing="0" w:after="0" w:afterAutospacing="0" w:line="586" w:lineRule="exact"/>
        <w:ind w:firstLine="643" w:firstLineChars="200"/>
        <w:jc w:val="both"/>
        <w:rPr>
          <w:rFonts w:ascii="楷体_GB2312" w:hAnsi="楷体" w:eastAsia="楷体_GB2312" w:cs="仿宋"/>
          <w:b/>
          <w:sz w:val="32"/>
          <w:szCs w:val="32"/>
          <w:shd w:val="clear" w:color="auto" w:fill="FFFFFF"/>
        </w:rPr>
      </w:pP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黑体" w:hAnsi="黑体" w:eastAsia="黑体" w:cs="仿宋"/>
          <w:sz w:val="32"/>
          <w:szCs w:val="32"/>
          <w:shd w:val="clear" w:color="auto" w:fill="FFFFFF"/>
        </w:rPr>
        <w:t>第二十二条</w:t>
      </w:r>
      <w:r>
        <w:rPr>
          <w:rFonts w:hint="eastAsia" w:ascii="楷体_GB2312" w:hAnsi="楷体" w:eastAsia="楷体_GB2312" w:cs="仿宋"/>
          <w:b/>
          <w:sz w:val="32"/>
          <w:szCs w:val="32"/>
          <w:shd w:val="clear" w:color="auto" w:fill="FFFFFF"/>
        </w:rPr>
        <w:t xml:space="preserve"> </w:t>
      </w:r>
      <w:r>
        <w:rPr>
          <w:rFonts w:hint="eastAsia" w:ascii="仿宋_GB2312" w:hAnsi="仿宋" w:eastAsia="仿宋_GB2312" w:cs="仿宋"/>
          <w:b/>
          <w:sz w:val="32"/>
          <w:szCs w:val="32"/>
        </w:rPr>
        <w:t xml:space="preserve"> </w:t>
      </w:r>
      <w:r>
        <w:rPr>
          <w:rFonts w:hint="eastAsia" w:ascii="仿宋_GB2312" w:eastAsia="仿宋_GB2312"/>
          <w:sz w:val="32"/>
          <w:szCs w:val="32"/>
        </w:rPr>
        <w:t>违反本条例规定，法律、法规已有法律责任规定的，从其规定</w:t>
      </w:r>
      <w:r>
        <w:rPr>
          <w:rFonts w:hint="eastAsia" w:ascii="仿宋_GB2312" w:hAnsi="仿宋" w:eastAsia="仿宋_GB2312" w:cs="仿宋"/>
          <w:sz w:val="32"/>
          <w:szCs w:val="32"/>
          <w:shd w:val="clear" w:color="auto" w:fill="FFFFFF"/>
        </w:rPr>
        <w:t>。</w:t>
      </w:r>
    </w:p>
    <w:p>
      <w:pPr>
        <w:pStyle w:val="17"/>
        <w:spacing w:before="0" w:beforeAutospacing="0" w:after="0" w:afterAutospacing="0" w:line="586" w:lineRule="exact"/>
        <w:ind w:firstLine="640" w:firstLineChars="200"/>
        <w:jc w:val="both"/>
        <w:rPr>
          <w:rFonts w:ascii="仿宋_GB2312" w:hAnsi="仿宋" w:eastAsia="仿宋_GB2312" w:cs="仿宋"/>
          <w:sz w:val="32"/>
          <w:szCs w:val="32"/>
          <w:shd w:val="clear" w:color="auto" w:fill="FFFFFF"/>
        </w:rPr>
      </w:pPr>
      <w:r>
        <w:rPr>
          <w:rFonts w:hint="eastAsia" w:ascii="黑体" w:hAnsi="黑体" w:eastAsia="黑体" w:cs="仿宋"/>
          <w:sz w:val="32"/>
          <w:szCs w:val="32"/>
        </w:rPr>
        <w:t xml:space="preserve">第二十三条 </w:t>
      </w:r>
      <w:r>
        <w:rPr>
          <w:rFonts w:hint="eastAsia" w:ascii="楷体_GB2312" w:hAnsi="仿宋" w:eastAsia="楷体_GB2312" w:cs="仿宋"/>
          <w:b/>
          <w:sz w:val="32"/>
          <w:szCs w:val="32"/>
        </w:rPr>
        <w:t xml:space="preserve"> </w:t>
      </w:r>
      <w:r>
        <w:rPr>
          <w:rFonts w:hint="eastAsia" w:ascii="仿宋_GB2312" w:hAnsi="仿宋" w:eastAsia="仿宋_GB2312" w:cs="仿宋"/>
          <w:bCs/>
          <w:spacing w:val="4"/>
          <w:sz w:val="32"/>
          <w:szCs w:val="32"/>
        </w:rPr>
        <w:t>违反本条例规定，</w:t>
      </w:r>
      <w:r>
        <w:rPr>
          <w:rFonts w:hint="eastAsia" w:ascii="仿宋_GB2312" w:hAnsi="仿宋" w:eastAsia="仿宋_GB2312" w:cs="仿宋"/>
          <w:spacing w:val="4"/>
          <w:sz w:val="32"/>
          <w:szCs w:val="32"/>
          <w:shd w:val="clear" w:color="auto" w:fill="FFFFFF"/>
        </w:rPr>
        <w:t>在设有禁止烟火标志区域内吸烟、焚香化纸，倾倒垃圾、排放污水，野炊、燃放孔明灯的，</w:t>
      </w:r>
      <w:r>
        <w:rPr>
          <w:rFonts w:hint="eastAsia" w:ascii="仿宋_GB2312" w:hAnsi="仿宋" w:eastAsia="仿宋_GB2312" w:cs="仿宋"/>
          <w:bCs/>
          <w:spacing w:val="4"/>
          <w:sz w:val="32"/>
          <w:szCs w:val="32"/>
        </w:rPr>
        <w:t>由古堡管理人员予以劝阻；不听劝阻的，由县（市、区）文物行政主管部门予以警告，可以并处五十元以下的罚款。</w:t>
      </w:r>
    </w:p>
    <w:p>
      <w:pPr>
        <w:pStyle w:val="17"/>
        <w:spacing w:before="0" w:beforeAutospacing="0" w:after="0" w:afterAutospacing="0" w:line="586" w:lineRule="exact"/>
        <w:ind w:firstLine="656" w:firstLineChars="200"/>
        <w:jc w:val="both"/>
        <w:rPr>
          <w:rFonts w:hint="eastAsia" w:ascii="仿宋_GB2312" w:hAnsi="仿宋" w:eastAsia="仿宋_GB2312" w:cs="仿宋"/>
          <w:bCs/>
          <w:sz w:val="32"/>
          <w:szCs w:val="32"/>
        </w:rPr>
      </w:pPr>
      <w:r>
        <w:rPr>
          <w:rFonts w:hint="eastAsia" w:ascii="黑体" w:hAnsi="黑体" w:eastAsia="黑体" w:cs="仿宋"/>
          <w:spacing w:val="4"/>
          <w:sz w:val="32"/>
          <w:szCs w:val="32"/>
          <w:shd w:val="clear" w:color="auto" w:fill="FFFFFF"/>
        </w:rPr>
        <w:t>第二十四条</w:t>
      </w:r>
      <w:r>
        <w:rPr>
          <w:rFonts w:hint="eastAsia" w:ascii="楷体_GB2312" w:hAnsi="仿宋" w:eastAsia="楷体_GB2312" w:cs="仿宋"/>
          <w:spacing w:val="4"/>
          <w:sz w:val="32"/>
          <w:szCs w:val="32"/>
          <w:shd w:val="clear" w:color="auto" w:fill="FFFFFF"/>
        </w:rPr>
        <w:t xml:space="preserve"> </w:t>
      </w:r>
      <w:r>
        <w:rPr>
          <w:rFonts w:hint="eastAsia" w:ascii="仿宋_GB2312" w:hAnsi="仿宋" w:eastAsia="仿宋_GB2312" w:cs="仿宋"/>
          <w:spacing w:val="4"/>
          <w:sz w:val="32"/>
          <w:szCs w:val="32"/>
          <w:shd w:val="clear" w:color="auto" w:fill="FFFFFF"/>
        </w:rPr>
        <w:t xml:space="preserve"> </w:t>
      </w:r>
      <w:r>
        <w:rPr>
          <w:rFonts w:hint="eastAsia" w:ascii="仿宋_GB2312" w:hAnsi="仿宋" w:eastAsia="仿宋_GB2312" w:cs="仿宋"/>
          <w:bCs/>
          <w:sz w:val="32"/>
          <w:szCs w:val="32"/>
        </w:rPr>
        <w:t>违反本条例规定，</w:t>
      </w:r>
      <w:r>
        <w:rPr>
          <w:rFonts w:hint="eastAsia" w:ascii="仿宋_GB2312" w:hAnsi="仿宋" w:eastAsia="仿宋_GB2312" w:cs="仿宋"/>
          <w:sz w:val="32"/>
          <w:szCs w:val="32"/>
          <w:shd w:val="clear" w:color="auto" w:fill="FFFFFF"/>
        </w:rPr>
        <w:t>涂污、损毁古堡内建筑物、构筑物尚不严重的，</w:t>
      </w:r>
      <w:r>
        <w:rPr>
          <w:rFonts w:hint="eastAsia" w:ascii="仿宋_GB2312" w:hAnsi="仿宋" w:eastAsia="仿宋_GB2312" w:cs="仿宋"/>
          <w:bCs/>
          <w:sz w:val="32"/>
          <w:szCs w:val="32"/>
        </w:rPr>
        <w:t>由县（市、区）公安机关或者文物行政主管部门给予警告，可以并处二百元以下的罚款。</w:t>
      </w:r>
    </w:p>
    <w:p>
      <w:pPr>
        <w:pStyle w:val="17"/>
        <w:spacing w:before="0" w:beforeAutospacing="0" w:after="0" w:afterAutospacing="0" w:line="586" w:lineRule="exact"/>
        <w:ind w:firstLine="656" w:firstLineChars="200"/>
        <w:jc w:val="both"/>
        <w:rPr>
          <w:rFonts w:ascii="仿宋_GB2312" w:hAnsi="仿宋" w:eastAsia="仿宋_GB2312" w:cs="仿宋"/>
          <w:spacing w:val="4"/>
          <w:sz w:val="32"/>
          <w:szCs w:val="32"/>
          <w:shd w:val="clear" w:color="auto" w:fill="FFFFFF"/>
        </w:rPr>
      </w:pPr>
      <w:r>
        <w:rPr>
          <w:rFonts w:hint="eastAsia" w:ascii="黑体" w:hAnsi="黑体" w:eastAsia="黑体" w:cs="仿宋"/>
          <w:spacing w:val="4"/>
          <w:sz w:val="32"/>
          <w:szCs w:val="32"/>
        </w:rPr>
        <w:t xml:space="preserve">第二十五条 </w:t>
      </w:r>
      <w:r>
        <w:rPr>
          <w:rFonts w:hint="eastAsia" w:ascii="仿宋_GB2312" w:hAnsi="仿宋" w:eastAsia="仿宋_GB2312" w:cs="仿宋"/>
          <w:b/>
          <w:spacing w:val="4"/>
          <w:sz w:val="32"/>
          <w:szCs w:val="32"/>
        </w:rPr>
        <w:t xml:space="preserve"> </w:t>
      </w:r>
      <w:r>
        <w:rPr>
          <w:rFonts w:hint="eastAsia" w:ascii="仿宋_GB2312" w:hAnsi="仿宋" w:eastAsia="仿宋_GB2312" w:cs="仿宋"/>
          <w:spacing w:val="4"/>
          <w:sz w:val="32"/>
          <w:szCs w:val="32"/>
          <w:shd w:val="clear" w:color="auto" w:fill="FFFFFF"/>
        </w:rPr>
        <w:t>违反本条例规定，擅自进行开山、采矿、采石、采砂、钻探的，由县（市、区）国土资源行政主管部门责令停止违法行为、限期恢复原状或者采取其他补救措施；逾期不恢复原状或者不采取其他补救措施的，国土资源行政主管部门可以指定有能力的单位代为恢复原状或者采取其他补救措施，所需费用由违法者承担；造成严重后果的，对单位并处五十万元以上一百万元以下的罚款，对个人并处五万元以上十万元以下的罚款。</w:t>
      </w:r>
    </w:p>
    <w:p>
      <w:pPr>
        <w:shd w:val="clear" w:color="auto" w:fill="FFFFFF"/>
        <w:spacing w:line="586" w:lineRule="exact"/>
        <w:ind w:firstLine="640" w:firstLineChars="200"/>
        <w:rPr>
          <w:rFonts w:hint="eastAsia" w:ascii="仿宋_GB2312" w:hAnsi="仿宋" w:eastAsia="仿宋_GB2312" w:cs="仿宋"/>
          <w:sz w:val="32"/>
          <w:szCs w:val="32"/>
        </w:rPr>
      </w:pPr>
      <w:r>
        <w:rPr>
          <w:rFonts w:hint="eastAsia" w:ascii="黑体" w:hAnsi="黑体" w:eastAsia="黑体" w:cs="仿宋"/>
          <w:sz w:val="32"/>
          <w:szCs w:val="32"/>
        </w:rPr>
        <w:t>第二十六条</w:t>
      </w:r>
      <w:r>
        <w:rPr>
          <w:rFonts w:hint="eastAsia" w:ascii="黑体" w:hAnsi="黑体" w:eastAsia="黑体" w:cs="仿宋"/>
          <w:sz w:val="32"/>
          <w:szCs w:val="32"/>
          <w:shd w:val="clear" w:color="auto" w:fill="FFFFFF"/>
        </w:rPr>
        <w:t xml:space="preserve"> </w:t>
      </w:r>
      <w:r>
        <w:rPr>
          <w:rFonts w:hint="eastAsia" w:ascii="仿宋_GB2312" w:hAnsi="仿宋" w:eastAsia="仿宋_GB2312" w:cs="仿宋"/>
          <w:sz w:val="32"/>
          <w:szCs w:val="32"/>
        </w:rPr>
        <w:t xml:space="preserve"> </w:t>
      </w:r>
      <w:r>
        <w:rPr>
          <w:rFonts w:hint="eastAsia" w:ascii="仿宋_GB2312" w:hAnsi="仿宋" w:eastAsia="仿宋_GB2312" w:cs="仿宋"/>
          <w:kern w:val="0"/>
          <w:sz w:val="32"/>
          <w:szCs w:val="32"/>
          <w:shd w:val="clear" w:color="auto" w:fill="FFFFFF"/>
        </w:rPr>
        <w:t>从事太行古堡群保护管理的相关部门及其工作人员，滥用职权、玩忽职守、徇私舞弊的，依法给予处分；构成犯罪的，依法追究刑事责任。</w:t>
      </w:r>
    </w:p>
    <w:p>
      <w:pPr>
        <w:shd w:val="clear" w:color="auto" w:fill="FFFFFF"/>
        <w:tabs>
          <w:tab w:val="left" w:pos="409"/>
        </w:tabs>
        <w:spacing w:line="586" w:lineRule="exact"/>
        <w:jc w:val="center"/>
        <w:rPr>
          <w:rFonts w:hint="eastAsia" w:ascii="黑体" w:hAnsi="黑体" w:eastAsia="黑体" w:cs="黑体"/>
          <w:kern w:val="0"/>
          <w:sz w:val="32"/>
          <w:szCs w:val="32"/>
        </w:rPr>
      </w:pPr>
    </w:p>
    <w:p>
      <w:pPr>
        <w:shd w:val="clear" w:color="auto" w:fill="FFFFFF"/>
        <w:tabs>
          <w:tab w:val="left" w:pos="409"/>
        </w:tabs>
        <w:spacing w:line="586" w:lineRule="exact"/>
        <w:jc w:val="center"/>
        <w:rPr>
          <w:rFonts w:ascii="黑体" w:hAnsi="黑体" w:eastAsia="黑体" w:cs="仿宋"/>
          <w:kern w:val="0"/>
          <w:sz w:val="32"/>
          <w:szCs w:val="32"/>
          <w:shd w:val="clear" w:color="auto" w:fill="FFFFFF"/>
        </w:rPr>
      </w:pPr>
      <w:r>
        <w:rPr>
          <w:rFonts w:hint="eastAsia" w:ascii="黑体" w:hAnsi="黑体" w:eastAsia="黑体" w:cs="黑体"/>
          <w:kern w:val="0"/>
          <w:sz w:val="32"/>
          <w:szCs w:val="32"/>
        </w:rPr>
        <w:t>第五章  附  则</w:t>
      </w:r>
    </w:p>
    <w:p>
      <w:pPr>
        <w:pStyle w:val="17"/>
        <w:shd w:val="clear" w:color="auto" w:fill="FFFFFF"/>
        <w:spacing w:before="0" w:beforeAutospacing="0" w:after="0" w:afterAutospacing="0" w:line="586" w:lineRule="exact"/>
        <w:ind w:firstLine="643" w:firstLineChars="200"/>
        <w:jc w:val="both"/>
        <w:rPr>
          <w:rFonts w:ascii="仿宋_GB2312" w:hAnsi="楷体" w:eastAsia="仿宋_GB2312" w:cs="仿宋"/>
          <w:b/>
          <w:sz w:val="32"/>
          <w:szCs w:val="32"/>
        </w:rPr>
      </w:pPr>
    </w:p>
    <w:p>
      <w:pPr>
        <w:pStyle w:val="17"/>
        <w:shd w:val="clear" w:color="auto" w:fill="FFFFFF"/>
        <w:spacing w:before="0" w:beforeAutospacing="0" w:after="0" w:afterAutospacing="0" w:line="586" w:lineRule="exact"/>
        <w:ind w:firstLine="640" w:firstLineChars="200"/>
        <w:jc w:val="both"/>
        <w:rPr>
          <w:rFonts w:ascii="仿宋_GB2312" w:hAnsi="仿宋" w:eastAsia="仿宋_GB2312" w:cs="仿宋"/>
          <w:sz w:val="32"/>
          <w:szCs w:val="32"/>
        </w:rPr>
      </w:pPr>
      <w:r>
        <w:rPr>
          <w:rFonts w:hint="eastAsia" w:ascii="黑体" w:hAnsi="黑体" w:eastAsia="黑体" w:cs="仿宋"/>
          <w:sz w:val="32"/>
          <w:szCs w:val="32"/>
        </w:rPr>
        <w:t xml:space="preserve">第二十七条 </w:t>
      </w:r>
      <w:r>
        <w:rPr>
          <w:rFonts w:hint="eastAsia" w:ascii="仿宋_GB2312" w:hAnsi="楷体" w:eastAsia="仿宋_GB2312" w:cs="仿宋"/>
          <w:b/>
          <w:sz w:val="32"/>
          <w:szCs w:val="32"/>
        </w:rPr>
        <w:t xml:space="preserve"> </w:t>
      </w:r>
      <w:r>
        <w:rPr>
          <w:rFonts w:hint="eastAsia" w:ascii="仿宋_GB2312" w:hAnsi="仿宋" w:eastAsia="仿宋_GB2312" w:cs="仿宋"/>
          <w:sz w:val="32"/>
          <w:szCs w:val="32"/>
        </w:rPr>
        <w:t>被认定为文物保护单位和历史文化名城名镇名村的古堡，依照相关法律法规执行</w:t>
      </w:r>
      <w:r>
        <w:rPr>
          <w:rFonts w:hint="eastAsia" w:ascii="仿宋_GB2312" w:hAnsi="仿宋" w:eastAsia="仿宋_GB2312" w:cs="仿宋"/>
          <w:sz w:val="32"/>
          <w:szCs w:val="32"/>
          <w:shd w:val="clear" w:color="auto" w:fill="FFFFFF"/>
        </w:rPr>
        <w:t xml:space="preserve">。 </w:t>
      </w:r>
    </w:p>
    <w:p>
      <w:pPr>
        <w:shd w:val="clear" w:color="auto" w:fill="FFFFFF"/>
        <w:tabs>
          <w:tab w:val="left" w:pos="409"/>
        </w:tabs>
        <w:spacing w:line="586" w:lineRule="exact"/>
        <w:ind w:firstLine="640" w:firstLineChars="200"/>
        <w:rPr>
          <w:rFonts w:ascii="仿宋_GB2312" w:eastAsia="仿宋_GB2312"/>
          <w:sz w:val="32"/>
          <w:szCs w:val="32"/>
        </w:rPr>
      </w:pPr>
      <w:r>
        <w:rPr>
          <w:rFonts w:hint="eastAsia" w:ascii="黑体" w:hAnsi="黑体" w:eastAsia="黑体" w:cs="仿宋"/>
          <w:kern w:val="0"/>
          <w:sz w:val="32"/>
          <w:szCs w:val="32"/>
        </w:rPr>
        <w:t>第二十八条</w:t>
      </w:r>
      <w:r>
        <w:rPr>
          <w:rFonts w:hint="eastAsia" w:ascii="楷体_GB2312" w:hAnsi="楷体" w:eastAsia="楷体_GB2312" w:cs="仿宋"/>
          <w:b/>
          <w:kern w:val="0"/>
          <w:sz w:val="32"/>
          <w:szCs w:val="32"/>
        </w:rPr>
        <w:t xml:space="preserve"> </w:t>
      </w:r>
      <w:r>
        <w:rPr>
          <w:rFonts w:hint="eastAsia" w:ascii="仿宋_GB2312" w:hAnsi="仿宋" w:eastAsia="仿宋_GB2312" w:cs="仿宋"/>
          <w:b/>
          <w:sz w:val="32"/>
          <w:szCs w:val="32"/>
          <w:shd w:val="clear" w:color="auto" w:fill="FFFFFF"/>
        </w:rPr>
        <w:t xml:space="preserve"> </w:t>
      </w:r>
      <w:r>
        <w:rPr>
          <w:rFonts w:hint="eastAsia" w:ascii="仿宋_GB2312" w:hAnsi="仿宋" w:eastAsia="仿宋_GB2312" w:cs="仿宋"/>
          <w:kern w:val="0"/>
          <w:sz w:val="32"/>
          <w:szCs w:val="32"/>
          <w:shd w:val="clear" w:color="auto" w:fill="FFFFFF"/>
        </w:rPr>
        <w:t>本条例自2019年1月1日起施行。</w:t>
      </w:r>
    </w:p>
    <w:p>
      <w:pPr>
        <w:spacing w:line="586" w:lineRule="exact"/>
        <w:rPr>
          <w:rFonts w:hint="eastAsia"/>
        </w:rPr>
      </w:pPr>
    </w:p>
    <w:sectPr>
      <w:headerReference r:id="rId3" w:type="default"/>
      <w:footerReference r:id="rId4" w:type="default"/>
      <w:footerReference r:id="rId5" w:type="even"/>
      <w:pgSz w:w="11906" w:h="16838"/>
      <w:pgMar w:top="2098" w:right="1474" w:bottom="1814" w:left="1588" w:header="851" w:footer="1418"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wordWrap w:val="0"/>
      <w:jc w:val="right"/>
      <w:rPr>
        <w:rStyle w:val="12"/>
        <w:rFonts w:hint="eastAsia"/>
        <w:sz w:val="28"/>
        <w:szCs w:val="28"/>
      </w:rPr>
    </w:pPr>
    <w:r>
      <w:rPr>
        <w:rStyle w:val="12"/>
        <w:rFonts w:hint="eastAsia"/>
        <w:sz w:val="28"/>
        <w:szCs w:val="28"/>
      </w:rPr>
      <w:t xml:space="preserve">— </w:t>
    </w:r>
    <w:r>
      <w:rPr>
        <w:rFonts w:ascii="Times New Roman" w:hAnsi="Times New Roman"/>
        <w:sz w:val="28"/>
        <w:szCs w:val="28"/>
      </w:rPr>
      <w:fldChar w:fldCharType="begin"/>
    </w:r>
    <w:r>
      <w:rPr>
        <w:rStyle w:val="12"/>
        <w:rFonts w:ascii="Times New Roman" w:hAnsi="Times New Roman"/>
        <w:sz w:val="28"/>
        <w:szCs w:val="28"/>
      </w:rPr>
      <w:instrText xml:space="preserve">PAGE  </w:instrText>
    </w:r>
    <w:r>
      <w:rPr>
        <w:rFonts w:ascii="Times New Roman" w:hAnsi="Times New Roman"/>
        <w:sz w:val="28"/>
        <w:szCs w:val="28"/>
      </w:rPr>
      <w:fldChar w:fldCharType="separate"/>
    </w:r>
    <w:r>
      <w:rPr>
        <w:rStyle w:val="12"/>
        <w:rFonts w:ascii="Times New Roman" w:hAnsi="Times New Roman"/>
        <w:sz w:val="28"/>
        <w:szCs w:val="28"/>
        <w:lang/>
      </w:rPr>
      <w:t>1</w:t>
    </w:r>
    <w:r>
      <w:rPr>
        <w:rFonts w:ascii="Times New Roman" w:hAnsi="Times New Roman"/>
        <w:sz w:val="28"/>
        <w:szCs w:val="28"/>
      </w:rPr>
      <w:fldChar w:fldCharType="end"/>
    </w:r>
    <w:r>
      <w:rPr>
        <w:rStyle w:val="12"/>
        <w:rFonts w:hint="eastAsia"/>
        <w:sz w:val="28"/>
        <w:szCs w:val="28"/>
      </w:rPr>
      <w:t xml:space="preserve"> —  </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ind w:firstLine="280" w:firstLineChars="100"/>
      <w:rPr>
        <w:rStyle w:val="12"/>
        <w:rFonts w:hint="eastAsia"/>
        <w:sz w:val="28"/>
        <w:szCs w:val="28"/>
      </w:rPr>
    </w:pPr>
    <w:r>
      <w:rPr>
        <w:rStyle w:val="12"/>
        <w:rFonts w:hint="eastAsia"/>
        <w:sz w:val="28"/>
        <w:szCs w:val="28"/>
      </w:rPr>
      <w:t xml:space="preserve">— </w:t>
    </w:r>
    <w:r>
      <w:rPr>
        <w:rFonts w:ascii="Times New Roman" w:hAnsi="Times New Roman"/>
        <w:sz w:val="28"/>
        <w:szCs w:val="28"/>
      </w:rPr>
      <w:fldChar w:fldCharType="begin"/>
    </w:r>
    <w:r>
      <w:rPr>
        <w:rStyle w:val="12"/>
        <w:rFonts w:ascii="Times New Roman" w:hAnsi="Times New Roman"/>
        <w:sz w:val="28"/>
        <w:szCs w:val="28"/>
      </w:rPr>
      <w:instrText xml:space="preserve">PAGE  </w:instrText>
    </w:r>
    <w:r>
      <w:rPr>
        <w:rFonts w:ascii="Times New Roman" w:hAnsi="Times New Roman"/>
        <w:sz w:val="28"/>
        <w:szCs w:val="28"/>
      </w:rPr>
      <w:fldChar w:fldCharType="separate"/>
    </w:r>
    <w:r>
      <w:rPr>
        <w:rStyle w:val="12"/>
        <w:rFonts w:ascii="Times New Roman" w:hAnsi="Times New Roman"/>
        <w:sz w:val="28"/>
        <w:szCs w:val="28"/>
        <w:lang/>
      </w:rPr>
      <w:t>14</w:t>
    </w:r>
    <w:r>
      <w:rPr>
        <w:rFonts w:ascii="Times New Roman" w:hAnsi="Times New Roman"/>
        <w:sz w:val="28"/>
        <w:szCs w:val="28"/>
      </w:rPr>
      <w:fldChar w:fldCharType="end"/>
    </w:r>
    <w:r>
      <w:rPr>
        <w:rStyle w:val="12"/>
        <w:rFonts w:hint="eastAsia"/>
        <w:sz w:val="28"/>
        <w:szCs w:val="28"/>
      </w:rPr>
      <w:t xml:space="preserve"> —</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348"/>
    <w:rsid w:val="000238E2"/>
    <w:rsid w:val="000E2BA3"/>
    <w:rsid w:val="001A6032"/>
    <w:rsid w:val="001B5EFB"/>
    <w:rsid w:val="001D33E7"/>
    <w:rsid w:val="001E00BB"/>
    <w:rsid w:val="002040FF"/>
    <w:rsid w:val="00232C28"/>
    <w:rsid w:val="00247B45"/>
    <w:rsid w:val="00261F0F"/>
    <w:rsid w:val="00274170"/>
    <w:rsid w:val="00285267"/>
    <w:rsid w:val="002F7A63"/>
    <w:rsid w:val="003207BB"/>
    <w:rsid w:val="0032503C"/>
    <w:rsid w:val="00361B51"/>
    <w:rsid w:val="0038443D"/>
    <w:rsid w:val="003A5D4D"/>
    <w:rsid w:val="003B5E18"/>
    <w:rsid w:val="003C39AB"/>
    <w:rsid w:val="003E09E3"/>
    <w:rsid w:val="003E4FFE"/>
    <w:rsid w:val="00423B01"/>
    <w:rsid w:val="004350BA"/>
    <w:rsid w:val="004369F2"/>
    <w:rsid w:val="0044218A"/>
    <w:rsid w:val="00445572"/>
    <w:rsid w:val="004508B7"/>
    <w:rsid w:val="004671E4"/>
    <w:rsid w:val="004B5613"/>
    <w:rsid w:val="004C6AC9"/>
    <w:rsid w:val="00533537"/>
    <w:rsid w:val="0056193B"/>
    <w:rsid w:val="00562865"/>
    <w:rsid w:val="005A379E"/>
    <w:rsid w:val="005B2ECB"/>
    <w:rsid w:val="005F15C8"/>
    <w:rsid w:val="00643DEA"/>
    <w:rsid w:val="00646D9A"/>
    <w:rsid w:val="00654B25"/>
    <w:rsid w:val="006A0845"/>
    <w:rsid w:val="006A6548"/>
    <w:rsid w:val="006C1827"/>
    <w:rsid w:val="006C4052"/>
    <w:rsid w:val="006D73D0"/>
    <w:rsid w:val="007353A8"/>
    <w:rsid w:val="0075754A"/>
    <w:rsid w:val="007B5934"/>
    <w:rsid w:val="007C7387"/>
    <w:rsid w:val="0080503F"/>
    <w:rsid w:val="008259D4"/>
    <w:rsid w:val="008544B0"/>
    <w:rsid w:val="00885D10"/>
    <w:rsid w:val="008A0303"/>
    <w:rsid w:val="008D576A"/>
    <w:rsid w:val="00941BFA"/>
    <w:rsid w:val="00995CF0"/>
    <w:rsid w:val="009B30D1"/>
    <w:rsid w:val="009D04A0"/>
    <w:rsid w:val="00A45EC5"/>
    <w:rsid w:val="00AA7028"/>
    <w:rsid w:val="00AB1AEE"/>
    <w:rsid w:val="00AE4FA5"/>
    <w:rsid w:val="00AE74C0"/>
    <w:rsid w:val="00BD6EEB"/>
    <w:rsid w:val="00BE3C53"/>
    <w:rsid w:val="00BE4B31"/>
    <w:rsid w:val="00C1082E"/>
    <w:rsid w:val="00C31711"/>
    <w:rsid w:val="00C34DDA"/>
    <w:rsid w:val="00C44787"/>
    <w:rsid w:val="00C6121B"/>
    <w:rsid w:val="00C86874"/>
    <w:rsid w:val="00CD45ED"/>
    <w:rsid w:val="00D542B1"/>
    <w:rsid w:val="00DF397A"/>
    <w:rsid w:val="00E50B42"/>
    <w:rsid w:val="00E97B1D"/>
    <w:rsid w:val="00ED6BDB"/>
    <w:rsid w:val="00EE3954"/>
    <w:rsid w:val="00F53778"/>
    <w:rsid w:val="00F9282D"/>
    <w:rsid w:val="00FA16B4"/>
    <w:rsid w:val="05416AE4"/>
    <w:rsid w:val="0D6355BF"/>
    <w:rsid w:val="10D47264"/>
    <w:rsid w:val="14133EBE"/>
    <w:rsid w:val="1B023C6C"/>
    <w:rsid w:val="220B0D85"/>
    <w:rsid w:val="227A67FE"/>
    <w:rsid w:val="2B4B3225"/>
    <w:rsid w:val="2DF741EC"/>
    <w:rsid w:val="323926BE"/>
    <w:rsid w:val="34646FC7"/>
    <w:rsid w:val="37F5115C"/>
    <w:rsid w:val="3864662B"/>
    <w:rsid w:val="3DB82209"/>
    <w:rsid w:val="3E3E4EE9"/>
    <w:rsid w:val="40423F54"/>
    <w:rsid w:val="43AD26E6"/>
    <w:rsid w:val="4630476F"/>
    <w:rsid w:val="4A424D93"/>
    <w:rsid w:val="4C1C6981"/>
    <w:rsid w:val="4CA12378"/>
    <w:rsid w:val="4D962EF5"/>
    <w:rsid w:val="51D7226E"/>
    <w:rsid w:val="5BE66CA8"/>
    <w:rsid w:val="68E71C14"/>
    <w:rsid w:val="6D3E0685"/>
    <w:rsid w:val="6F8558ED"/>
    <w:rsid w:val="750F51C2"/>
    <w:rsid w:val="764C61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10">
    <w:name w:val="Default Paragraph Font"/>
    <w:link w:val="11"/>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Plain Text"/>
    <w:basedOn w:val="1"/>
    <w:uiPriority w:val="0"/>
    <w:rPr>
      <w:rFonts w:ascii="宋体" w:hAnsi="Courier New" w:cs="Courier New"/>
      <w:szCs w:val="21"/>
    </w:r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Char Char1 Char Char Char Char Char Char Char Char Char Char Char Char Char Char"/>
    <w:basedOn w:val="1"/>
    <w:link w:val="10"/>
    <w:uiPriority w:val="0"/>
    <w:pPr>
      <w:widowControl/>
      <w:spacing w:after="160" w:afterLines="0" w:line="240" w:lineRule="exact"/>
      <w:jc w:val="left"/>
    </w:pPr>
  </w:style>
  <w:style w:type="character" w:styleId="12">
    <w:name w:val="page number"/>
    <w:basedOn w:val="10"/>
    <w:uiPriority w:val="0"/>
  </w:style>
  <w:style w:type="character" w:styleId="13">
    <w:name w:val="Hyperlink"/>
    <w:basedOn w:val="10"/>
    <w:uiPriority w:val="0"/>
    <w:rPr>
      <w:color w:val="0000FF"/>
      <w:u w:val="single"/>
    </w:rPr>
  </w:style>
  <w:style w:type="paragraph" w:customStyle="1" w:styleId="14">
    <w:name w:val="默认段落字体 Para Char"/>
    <w:basedOn w:val="1"/>
    <w:next w:val="1"/>
    <w:uiPriority w:val="0"/>
  </w:style>
  <w:style w:type="paragraph" w:customStyle="1" w:styleId="15">
    <w:name w:val="_Style 1"/>
    <w:basedOn w:val="1"/>
    <w:uiPriority w:val="0"/>
    <w:rPr>
      <w:rFonts w:hint="eastAsia" w:ascii="仿宋" w:hAnsi="仿宋" w:eastAsia="仿宋"/>
      <w:szCs w:val="22"/>
    </w:rPr>
  </w:style>
  <w:style w:type="paragraph" w:customStyle="1" w:styleId="16">
    <w:name w:val=" Char"/>
    <w:basedOn w:val="1"/>
    <w:uiPriority w:val="0"/>
    <w:pPr>
      <w:widowControl/>
      <w:spacing w:after="160" w:line="240" w:lineRule="exact"/>
      <w:jc w:val="left"/>
    </w:pPr>
  </w:style>
  <w:style w:type="paragraph" w:customStyle="1" w:styleId="17">
    <w:name w:val="Normal (Web)"/>
    <w:basedOn w:val="1"/>
    <w:uiPriority w:val="0"/>
    <w:pPr>
      <w:spacing w:before="100" w:beforeAutospacing="1" w:after="100" w:afterAutospacing="1"/>
      <w:jc w:val="left"/>
    </w:pPr>
    <w:rPr>
      <w:kern w:val="0"/>
      <w:sz w:val="24"/>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1193</Words>
  <Characters>6805</Characters>
  <Lines>56</Lines>
  <Paragraphs>15</Paragraphs>
  <TotalTime>0</TotalTime>
  <ScaleCrop>false</ScaleCrop>
  <LinksUpToDate>false</LinksUpToDate>
  <CharactersWithSpaces>7983</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2018-12-07T03:46:00Z</dcterms:created>
  <dc:creator>微软用户</dc:creator>
  <cp:lastModifiedBy>此生无悔</cp:lastModifiedBy>
  <cp:lastPrinted>2018-10-09T09:56:00Z</cp:lastPrinted>
  <dcterms:modified xsi:type="dcterms:W3CDTF">2019-03-05T02:23:44Z</dcterms:modified>
  <dc:title>团晋市发〔2010〕14号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