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50" w:lineRule="exact"/>
        <w:ind w:left="0"/>
        <w:jc w:val="both"/>
        <w:textAlignment w:val="auto"/>
        <w:rPr>
          <w:rFonts w:ascii="方正小标宋简体" w:hAnsi="方正小标宋简体" w:eastAsia="方正小标宋简体" w:cs="方正小标宋简体"/>
          <w:color w:val="000000"/>
          <w:sz w:val="44"/>
          <w:szCs w:val="44"/>
        </w:rPr>
      </w:pPr>
    </w:p>
    <w:p>
      <w:pPr>
        <w:pStyle w:val="6"/>
        <w:spacing w:before="0" w:beforeAutospacing="0" w:after="0" w:afterAutospacing="0" w:line="620" w:lineRule="exact"/>
        <w:jc w:val="center"/>
        <w:rPr>
          <w:rFonts w:eastAsia="方正小标宋简体" w:cs="方正小标宋简体"/>
          <w:color w:val="000000"/>
          <w:sz w:val="44"/>
          <w:szCs w:val="44"/>
        </w:rPr>
      </w:pPr>
      <w:r>
        <w:rPr>
          <w:rFonts w:hint="eastAsia" w:eastAsia="方正小标宋简体" w:cs="方正小标宋简体"/>
          <w:color w:val="000000"/>
          <w:sz w:val="44"/>
          <w:szCs w:val="44"/>
        </w:rPr>
        <w:t>运城市机动车停车场管理条例</w:t>
      </w:r>
    </w:p>
    <w:p>
      <w:pPr>
        <w:pStyle w:val="7"/>
        <w:spacing w:line="620" w:lineRule="exact"/>
        <w:ind w:firstLine="0" w:firstLineChars="0"/>
      </w:pPr>
    </w:p>
    <w:p>
      <w:pPr>
        <w:pStyle w:val="7"/>
        <w:spacing w:line="620" w:lineRule="exact"/>
        <w:ind w:firstLine="0" w:firstLineChars="0"/>
        <w:jc w:val="both"/>
        <w:rPr>
          <w:rFonts w:eastAsia="楷体_GB2312"/>
          <w:sz w:val="32"/>
          <w:szCs w:val="32"/>
        </w:rPr>
      </w:pPr>
      <w:r>
        <w:rPr>
          <w:rFonts w:eastAsia="楷体_GB2312"/>
          <w:sz w:val="32"/>
          <w:szCs w:val="32"/>
        </w:rPr>
        <w:t>（2021年10月</w:t>
      </w:r>
      <w:r>
        <w:rPr>
          <w:rFonts w:hint="eastAsia" w:eastAsia="楷体_GB2312"/>
          <w:sz w:val="32"/>
          <w:szCs w:val="32"/>
          <w:lang w:val="en-US" w:eastAsia="zh-CN"/>
        </w:rPr>
        <w:t>29</w:t>
      </w:r>
      <w:r>
        <w:rPr>
          <w:rFonts w:eastAsia="楷体_GB2312"/>
          <w:sz w:val="32"/>
          <w:szCs w:val="32"/>
        </w:rPr>
        <w:t>日运城市第四届人民代表大会常务委员会第五十四次会议通过</w:t>
      </w:r>
      <w:r>
        <w:rPr>
          <w:rFonts w:hint="eastAsia" w:eastAsia="楷体_GB2312"/>
          <w:sz w:val="32"/>
          <w:szCs w:val="32"/>
          <w:lang w:val="en-US" w:eastAsia="zh-CN"/>
        </w:rPr>
        <w:t xml:space="preserve">  </w:t>
      </w:r>
      <w:r>
        <w:rPr>
          <w:rFonts w:hint="default" w:ascii="Times New Roman" w:hAnsi="Times New Roman" w:eastAsia="仿宋_GB2312" w:cs="Times New Roman"/>
          <w:bCs/>
          <w:w w:val="100"/>
          <w:kern w:val="0"/>
          <w:sz w:val="32"/>
          <w:szCs w:val="32"/>
        </w:rPr>
        <w:t>2</w:t>
      </w:r>
      <w:r>
        <w:rPr>
          <w:rFonts w:hint="default" w:eastAsia="楷体_GB2312"/>
          <w:sz w:val="32"/>
          <w:szCs w:val="32"/>
        </w:rPr>
        <w:t>0</w:t>
      </w:r>
      <w:r>
        <w:rPr>
          <w:rFonts w:hint="eastAsia" w:eastAsia="楷体_GB2312"/>
          <w:sz w:val="32"/>
          <w:szCs w:val="32"/>
          <w:lang w:val="en-US" w:eastAsia="zh-CN"/>
        </w:rPr>
        <w:t>21</w:t>
      </w:r>
      <w:r>
        <w:rPr>
          <w:rFonts w:hint="default" w:eastAsia="楷体_GB2312"/>
          <w:sz w:val="32"/>
          <w:szCs w:val="32"/>
        </w:rPr>
        <w:t>年</w:t>
      </w:r>
      <w:r>
        <w:rPr>
          <w:rFonts w:hint="eastAsia" w:eastAsia="楷体_GB2312"/>
          <w:sz w:val="32"/>
          <w:szCs w:val="32"/>
          <w:lang w:val="en-US" w:eastAsia="zh-CN"/>
        </w:rPr>
        <w:t>11</w:t>
      </w:r>
      <w:r>
        <w:rPr>
          <w:rFonts w:hint="default" w:eastAsia="楷体_GB2312"/>
          <w:sz w:val="32"/>
          <w:szCs w:val="32"/>
        </w:rPr>
        <w:t>月</w:t>
      </w:r>
      <w:r>
        <w:rPr>
          <w:rFonts w:hint="eastAsia" w:eastAsia="楷体_GB2312"/>
          <w:sz w:val="32"/>
          <w:szCs w:val="32"/>
          <w:lang w:val="en-US" w:eastAsia="zh-CN"/>
        </w:rPr>
        <w:t>25</w:t>
      </w:r>
      <w:r>
        <w:rPr>
          <w:rFonts w:hint="default" w:eastAsia="楷体_GB2312"/>
          <w:sz w:val="32"/>
          <w:szCs w:val="32"/>
        </w:rPr>
        <w:t>日</w:t>
      </w:r>
      <w:r>
        <w:rPr>
          <w:rFonts w:hint="default" w:eastAsia="楷体_GB2312"/>
          <w:sz w:val="32"/>
          <w:szCs w:val="32"/>
          <w:lang w:val="en-US" w:eastAsia="zh-CN"/>
        </w:rPr>
        <w:t>山西省第十三届人民代表大会常务委员会第</w:t>
      </w:r>
      <w:r>
        <w:rPr>
          <w:rFonts w:hint="eastAsia" w:eastAsia="楷体_GB2312"/>
          <w:sz w:val="32"/>
          <w:szCs w:val="32"/>
          <w:lang w:val="en-US" w:eastAsia="zh-CN"/>
        </w:rPr>
        <w:t>三十二</w:t>
      </w:r>
      <w:r>
        <w:rPr>
          <w:rFonts w:hint="default" w:eastAsia="楷体_GB2312"/>
          <w:sz w:val="32"/>
          <w:szCs w:val="32"/>
          <w:lang w:val="en-US" w:eastAsia="zh-CN"/>
        </w:rPr>
        <w:t>次会议</w:t>
      </w:r>
      <w:r>
        <w:rPr>
          <w:rFonts w:hint="eastAsia" w:eastAsia="楷体_GB2312"/>
          <w:sz w:val="32"/>
          <w:szCs w:val="32"/>
          <w:lang w:val="en-US" w:eastAsia="zh-CN"/>
        </w:rPr>
        <w:t>批准</w:t>
      </w:r>
      <w:r>
        <w:rPr>
          <w:rFonts w:eastAsia="楷体_GB2312"/>
          <w:sz w:val="32"/>
          <w:szCs w:val="32"/>
        </w:rPr>
        <w:t>）</w:t>
      </w:r>
    </w:p>
    <w:p>
      <w:pPr>
        <w:pStyle w:val="7"/>
        <w:spacing w:line="620" w:lineRule="exact"/>
        <w:ind w:firstLine="0" w:firstLineChars="0"/>
        <w:rPr>
          <w:rFonts w:eastAsia="楷体_GB2312"/>
          <w:sz w:val="32"/>
          <w:szCs w:val="32"/>
        </w:rPr>
      </w:pPr>
    </w:p>
    <w:p>
      <w:pPr>
        <w:pStyle w:val="6"/>
        <w:spacing w:before="0" w:beforeAutospacing="0" w:after="0" w:afterAutospacing="0" w:line="620" w:lineRule="exact"/>
        <w:jc w:val="center"/>
        <w:rPr>
          <w:rFonts w:eastAsia="黑体" w:cs="黑体"/>
          <w:color w:val="000000"/>
          <w:sz w:val="32"/>
          <w:szCs w:val="32"/>
        </w:rPr>
      </w:pPr>
      <w:r>
        <w:rPr>
          <w:rFonts w:hint="eastAsia" w:eastAsia="黑体" w:cs="黑体"/>
          <w:color w:val="000000"/>
          <w:sz w:val="32"/>
          <w:szCs w:val="32"/>
        </w:rPr>
        <w:t>第一章　总　则</w:t>
      </w:r>
    </w:p>
    <w:p>
      <w:pPr>
        <w:spacing w:line="620" w:lineRule="exact"/>
        <w:ind w:firstLine="640" w:firstLineChars="200"/>
        <w:rPr>
          <w:rFonts w:eastAsia="仿宋_GB2312" w:cs="仿宋_GB2312"/>
          <w:color w:val="000000"/>
          <w:sz w:val="32"/>
          <w:szCs w:val="32"/>
        </w:rPr>
      </w:pPr>
    </w:p>
    <w:p>
      <w:pPr>
        <w:spacing w:line="620" w:lineRule="exact"/>
        <w:ind w:firstLine="640" w:firstLineChars="200"/>
        <w:rPr>
          <w:rFonts w:eastAsia="仿宋_GB2312" w:cs="仿宋_GB2312"/>
          <w:color w:val="000000"/>
          <w:sz w:val="32"/>
          <w:szCs w:val="32"/>
        </w:rPr>
      </w:pPr>
      <w:r>
        <w:rPr>
          <w:rFonts w:hint="eastAsia" w:eastAsia="黑体" w:cs="黑体"/>
          <w:color w:val="000000"/>
          <w:sz w:val="32"/>
          <w:szCs w:val="32"/>
        </w:rPr>
        <w:t xml:space="preserve">第一条  </w:t>
      </w:r>
      <w:r>
        <w:rPr>
          <w:rFonts w:hint="eastAsia" w:eastAsia="仿宋_GB2312" w:cs="仿宋_GB2312"/>
          <w:color w:val="000000"/>
          <w:sz w:val="32"/>
          <w:szCs w:val="32"/>
        </w:rPr>
        <w:t>为了加强机动车停车场的规划与建设，规范机动车停车场的使用与管理，改善城市交通环境，根据有关法律、法规，结合本市实际，制定本条例。</w:t>
      </w:r>
    </w:p>
    <w:p>
      <w:pPr>
        <w:pStyle w:val="2"/>
        <w:spacing w:line="620" w:lineRule="exact"/>
        <w:ind w:firstLine="640" w:firstLineChars="200"/>
        <w:rPr>
          <w:rFonts w:eastAsia="仿宋_GB2312" w:cs="仿宋_GB2312"/>
          <w:bCs w:val="0"/>
          <w:color w:val="000000"/>
          <w:sz w:val="32"/>
          <w:szCs w:val="32"/>
        </w:rPr>
      </w:pPr>
      <w:r>
        <w:rPr>
          <w:rFonts w:hint="eastAsia" w:eastAsia="黑体" w:cs="黑体"/>
          <w:bCs w:val="0"/>
          <w:color w:val="000000"/>
          <w:kern w:val="0"/>
          <w:sz w:val="32"/>
          <w:szCs w:val="32"/>
        </w:rPr>
        <w:t xml:space="preserve">第二条  </w:t>
      </w:r>
      <w:r>
        <w:rPr>
          <w:rFonts w:hint="eastAsia" w:eastAsia="仿宋_GB2312" w:cs="仿宋_GB2312"/>
          <w:bCs w:val="0"/>
          <w:color w:val="000000"/>
          <w:sz w:val="32"/>
          <w:szCs w:val="32"/>
        </w:rPr>
        <w:t>本市行政区域内城市</w:t>
      </w:r>
      <w:bookmarkStart w:id="0" w:name="_GoBack"/>
      <w:bookmarkEnd w:id="0"/>
      <w:r>
        <w:rPr>
          <w:rFonts w:hint="eastAsia" w:eastAsia="仿宋_GB2312" w:cs="仿宋_GB2312"/>
          <w:bCs w:val="0"/>
          <w:color w:val="000000"/>
          <w:sz w:val="32"/>
          <w:szCs w:val="32"/>
        </w:rPr>
        <w:t>建成区和县人民政府所在地镇建成区范围内机动车停车场的规划、建设、使用和管理活动，适用本条例。</w:t>
      </w:r>
    </w:p>
    <w:p>
      <w:pPr>
        <w:spacing w:line="620" w:lineRule="exact"/>
        <w:ind w:firstLine="640" w:firstLineChars="200"/>
        <w:rPr>
          <w:rFonts w:eastAsia="仿宋_GB2312" w:cs="仿宋_GB2312"/>
          <w:color w:val="000000"/>
          <w:sz w:val="32"/>
          <w:szCs w:val="32"/>
        </w:rPr>
      </w:pPr>
      <w:r>
        <w:rPr>
          <w:rFonts w:hint="eastAsia" w:eastAsia="黑体" w:cs="黑体"/>
          <w:color w:val="000000"/>
          <w:sz w:val="32"/>
          <w:szCs w:val="32"/>
        </w:rPr>
        <w:t xml:space="preserve">第三条  </w:t>
      </w:r>
      <w:r>
        <w:rPr>
          <w:rFonts w:hint="eastAsia" w:eastAsia="仿宋_GB2312" w:cs="仿宋_GB2312"/>
          <w:color w:val="000000"/>
          <w:sz w:val="32"/>
          <w:szCs w:val="32"/>
        </w:rPr>
        <w:t>本条例所称机动车停车场，是指供机动车停放的场所，包括公共停车场、专用停车场和</w:t>
      </w:r>
      <w:r>
        <w:rPr>
          <w:rFonts w:eastAsia="仿宋_GB2312" w:cs="仿宋_GB2312"/>
          <w:color w:val="000000"/>
          <w:sz w:val="32"/>
          <w:szCs w:val="32"/>
        </w:rPr>
        <w:t>临时停车泊位</w:t>
      </w:r>
      <w:r>
        <w:rPr>
          <w:rFonts w:hint="eastAsia" w:eastAsia="仿宋_GB2312" w:cs="仿宋_GB2312"/>
          <w:color w:val="000000"/>
          <w:sz w:val="32"/>
          <w:szCs w:val="32"/>
        </w:rPr>
        <w:t>。</w:t>
      </w:r>
    </w:p>
    <w:p>
      <w:pPr>
        <w:spacing w:line="620" w:lineRule="exact"/>
        <w:ind w:firstLine="640" w:firstLineChars="200"/>
        <w:rPr>
          <w:rFonts w:eastAsia="仿宋_GB2312" w:cs="仿宋_GB2312"/>
          <w:color w:val="000000"/>
          <w:sz w:val="32"/>
          <w:szCs w:val="32"/>
        </w:rPr>
      </w:pPr>
      <w:r>
        <w:rPr>
          <w:rFonts w:hint="eastAsia" w:eastAsia="仿宋_GB2312" w:cs="仿宋_GB2312"/>
          <w:color w:val="000000"/>
          <w:sz w:val="32"/>
          <w:szCs w:val="32"/>
        </w:rPr>
        <w:t>公共停车场，是指向社会开放、为公众提供停车服务的机动车停车场，包括独立建设的公共停车场、配套建设的公共停车场和临时停车场。</w:t>
      </w:r>
    </w:p>
    <w:p>
      <w:pPr>
        <w:spacing w:line="620" w:lineRule="exact"/>
        <w:ind w:firstLine="640" w:firstLineChars="200"/>
        <w:rPr>
          <w:rFonts w:eastAsia="仿宋_GB2312" w:cs="仿宋_GB2312"/>
          <w:color w:val="000000"/>
          <w:sz w:val="32"/>
          <w:szCs w:val="32"/>
        </w:rPr>
      </w:pPr>
      <w:r>
        <w:rPr>
          <w:rFonts w:hint="eastAsia" w:eastAsia="仿宋_GB2312" w:cs="仿宋_GB2312"/>
          <w:color w:val="000000"/>
          <w:sz w:val="32"/>
          <w:szCs w:val="32"/>
        </w:rPr>
        <w:t>专用停车场，是指供本单位、本住宅小区内部使用的机动车停车场。</w:t>
      </w:r>
    </w:p>
    <w:p>
      <w:pPr>
        <w:spacing w:line="620" w:lineRule="exact"/>
        <w:ind w:firstLine="640" w:firstLineChars="200"/>
        <w:rPr>
          <w:rFonts w:eastAsia="仿宋_GB2312" w:cs="仿宋_GB2312"/>
          <w:color w:val="000000"/>
          <w:sz w:val="32"/>
          <w:szCs w:val="32"/>
        </w:rPr>
      </w:pPr>
      <w:r>
        <w:rPr>
          <w:rFonts w:eastAsia="仿宋_GB2312" w:cs="仿宋_GB2312"/>
          <w:color w:val="000000"/>
          <w:sz w:val="32"/>
          <w:szCs w:val="32"/>
        </w:rPr>
        <w:t>临时停车泊位</w:t>
      </w:r>
      <w:r>
        <w:rPr>
          <w:rFonts w:hint="eastAsia" w:eastAsia="仿宋_GB2312" w:cs="仿宋_GB2312"/>
          <w:color w:val="000000"/>
          <w:sz w:val="32"/>
          <w:szCs w:val="32"/>
        </w:rPr>
        <w:t>，是指依法在城市道路范围内统一施划、为公众提供机动车临时停放服务的场所。</w:t>
      </w:r>
    </w:p>
    <w:p>
      <w:pPr>
        <w:spacing w:line="620" w:lineRule="exact"/>
        <w:ind w:firstLine="640" w:firstLineChars="200"/>
        <w:rPr>
          <w:rFonts w:eastAsia="仿宋_GB2312" w:cs="仿宋_GB2312"/>
          <w:color w:val="000000"/>
          <w:sz w:val="32"/>
          <w:szCs w:val="32"/>
        </w:rPr>
      </w:pPr>
      <w:r>
        <w:rPr>
          <w:rFonts w:hint="eastAsia" w:eastAsia="黑体" w:cs="黑体"/>
          <w:color w:val="000000"/>
          <w:sz w:val="32"/>
          <w:szCs w:val="32"/>
        </w:rPr>
        <w:t xml:space="preserve">第四条  </w:t>
      </w:r>
      <w:r>
        <w:rPr>
          <w:rFonts w:hint="eastAsia" w:eastAsia="仿宋_GB2312" w:cs="仿宋_GB2312"/>
          <w:color w:val="000000"/>
          <w:sz w:val="32"/>
          <w:szCs w:val="32"/>
        </w:rPr>
        <w:t>机动车停车场的规划与建设、使用与管理应当遵循政府引导、科学规划、建管并重、集约发展、方便群众的原则。</w:t>
      </w:r>
    </w:p>
    <w:p>
      <w:pPr>
        <w:spacing w:line="620" w:lineRule="exact"/>
        <w:ind w:firstLine="640" w:firstLineChars="200"/>
        <w:rPr>
          <w:rFonts w:eastAsia="仿宋_GB2312" w:cs="仿宋_GB2312"/>
          <w:color w:val="000000"/>
          <w:sz w:val="32"/>
          <w:szCs w:val="32"/>
        </w:rPr>
      </w:pPr>
      <w:r>
        <w:rPr>
          <w:rFonts w:hint="eastAsia" w:eastAsia="黑体" w:cs="黑体"/>
          <w:color w:val="000000"/>
          <w:sz w:val="32"/>
          <w:szCs w:val="32"/>
        </w:rPr>
        <w:t>第五条</w:t>
      </w:r>
      <w:r>
        <w:rPr>
          <w:rFonts w:hint="eastAsia" w:eastAsia="仿宋_GB2312" w:cs="仿宋_GB2312"/>
          <w:color w:val="000000"/>
          <w:sz w:val="32"/>
          <w:szCs w:val="32"/>
        </w:rPr>
        <w:t xml:space="preserve">  市、县（市、区）人民政府应当建立综合协调机制，加强对机动车停车场规划与建设、使用与管理的统一领导，研究解决机动车停车场规划、建设和管理等方面的重大问题。</w:t>
      </w:r>
    </w:p>
    <w:p>
      <w:pPr>
        <w:spacing w:line="620" w:lineRule="exact"/>
        <w:ind w:firstLine="640" w:firstLineChars="200"/>
        <w:rPr>
          <w:rFonts w:eastAsia="仿宋_GB2312" w:cs="仿宋_GB2312"/>
          <w:color w:val="000000"/>
          <w:sz w:val="32"/>
          <w:szCs w:val="32"/>
        </w:rPr>
      </w:pPr>
      <w:r>
        <w:rPr>
          <w:rFonts w:hint="eastAsia" w:eastAsia="仿宋_GB2312" w:cs="仿宋_GB2312"/>
          <w:color w:val="000000"/>
          <w:sz w:val="32"/>
          <w:szCs w:val="32"/>
        </w:rPr>
        <w:t>公安机关交通管理部门是机动车停车场管理的主管部门，负责机动车停车场的建设和管理等相关工作，推动机动车停车场智能化、信息化建设。</w:t>
      </w:r>
    </w:p>
    <w:p>
      <w:pPr>
        <w:spacing w:line="620" w:lineRule="exact"/>
        <w:ind w:firstLine="640" w:firstLineChars="200"/>
        <w:rPr>
          <w:rFonts w:eastAsia="仿宋_GB2312" w:cs="仿宋_GB2312"/>
          <w:color w:val="000000"/>
          <w:sz w:val="32"/>
          <w:szCs w:val="32"/>
        </w:rPr>
      </w:pPr>
      <w:r>
        <w:rPr>
          <w:rFonts w:hint="eastAsia" w:eastAsia="仿宋_GB2312" w:cs="仿宋_GB2312"/>
          <w:color w:val="000000"/>
          <w:sz w:val="32"/>
          <w:szCs w:val="32"/>
        </w:rPr>
        <w:t>财政、发展和改革、规划和自然资源、住房和城乡建设、城市管理、行政审批服务管理、市场监督管理等部门在各自职责范围内，做好机动车停车场管理工作。</w:t>
      </w:r>
    </w:p>
    <w:p>
      <w:pPr>
        <w:pStyle w:val="6"/>
        <w:spacing w:before="0" w:beforeAutospacing="0" w:after="0" w:afterAutospacing="0" w:line="620" w:lineRule="exact"/>
        <w:ind w:firstLine="640" w:firstLineChars="200"/>
        <w:jc w:val="both"/>
        <w:rPr>
          <w:rFonts w:eastAsia="仿宋_GB2312" w:cs="仿宋_GB2312"/>
          <w:color w:val="000000"/>
          <w:kern w:val="2"/>
          <w:sz w:val="32"/>
          <w:szCs w:val="32"/>
        </w:rPr>
      </w:pPr>
      <w:r>
        <w:rPr>
          <w:rFonts w:hint="eastAsia" w:eastAsia="仿宋_GB2312" w:cs="仿宋_GB2312"/>
          <w:color w:val="000000"/>
          <w:kern w:val="2"/>
          <w:sz w:val="32"/>
          <w:szCs w:val="32"/>
        </w:rPr>
        <w:t>乡（镇）人民政府、街道办事处应当配合有关行政主管部门做好本行政区域内机动车停车场的规划、建设和管理等相关工作。</w:t>
      </w:r>
    </w:p>
    <w:p>
      <w:pPr>
        <w:spacing w:line="620" w:lineRule="exact"/>
        <w:ind w:firstLine="640" w:firstLineChars="200"/>
        <w:rPr>
          <w:rFonts w:eastAsia="黑体" w:cs="黑体"/>
          <w:color w:val="000000"/>
          <w:sz w:val="32"/>
          <w:szCs w:val="32"/>
        </w:rPr>
      </w:pPr>
    </w:p>
    <w:p>
      <w:pPr>
        <w:pStyle w:val="6"/>
        <w:spacing w:before="0" w:beforeAutospacing="0" w:after="0" w:afterAutospacing="0" w:line="620" w:lineRule="exact"/>
        <w:jc w:val="center"/>
        <w:rPr>
          <w:rFonts w:eastAsia="黑体" w:cs="黑体"/>
          <w:color w:val="000000"/>
          <w:sz w:val="32"/>
          <w:szCs w:val="32"/>
        </w:rPr>
      </w:pPr>
      <w:r>
        <w:rPr>
          <w:rFonts w:hint="eastAsia" w:eastAsia="黑体" w:cs="黑体"/>
          <w:color w:val="000000"/>
          <w:sz w:val="32"/>
          <w:szCs w:val="32"/>
        </w:rPr>
        <w:t>第二章  规划与建设</w:t>
      </w:r>
    </w:p>
    <w:p>
      <w:pPr>
        <w:pStyle w:val="6"/>
        <w:spacing w:before="0" w:beforeAutospacing="0" w:after="0" w:afterAutospacing="0" w:line="620" w:lineRule="exact"/>
        <w:ind w:firstLine="640" w:firstLineChars="200"/>
        <w:jc w:val="both"/>
        <w:rPr>
          <w:rFonts w:eastAsia="黑体" w:cs="黑体"/>
          <w:color w:val="000000"/>
          <w:sz w:val="32"/>
          <w:szCs w:val="32"/>
        </w:rPr>
      </w:pPr>
    </w:p>
    <w:p>
      <w:pPr>
        <w:pStyle w:val="6"/>
        <w:spacing w:before="0" w:beforeAutospacing="0" w:after="0" w:afterAutospacing="0" w:line="620" w:lineRule="exact"/>
        <w:ind w:firstLine="640" w:firstLineChars="200"/>
        <w:jc w:val="both"/>
        <w:rPr>
          <w:rFonts w:eastAsia="仿宋_GB2312" w:cs="仿宋_GB2312"/>
          <w:color w:val="000000"/>
          <w:sz w:val="32"/>
          <w:szCs w:val="32"/>
        </w:rPr>
      </w:pPr>
      <w:r>
        <w:rPr>
          <w:rFonts w:hint="eastAsia" w:eastAsia="黑体" w:cs="黑体"/>
          <w:color w:val="000000"/>
          <w:sz w:val="32"/>
          <w:szCs w:val="32"/>
        </w:rPr>
        <w:t>第六条　</w:t>
      </w:r>
      <w:r>
        <w:rPr>
          <w:rFonts w:hint="eastAsia" w:eastAsia="仿宋_GB2312" w:cs="仿宋_GB2312"/>
          <w:color w:val="000000"/>
          <w:sz w:val="32"/>
          <w:szCs w:val="32"/>
        </w:rPr>
        <w:t>市、县（市、区）人民政府应当根据国土空间规划和城市综合交通体系规划，区分功能要求，统筹利用地上地下空间，科学编制城市停车规划。</w:t>
      </w:r>
    </w:p>
    <w:p>
      <w:pPr>
        <w:spacing w:line="620" w:lineRule="exact"/>
        <w:ind w:firstLine="640" w:firstLineChars="200"/>
        <w:rPr>
          <w:rFonts w:eastAsia="仿宋_GB2312" w:cs="仿宋_GB2312"/>
          <w:color w:val="000000"/>
          <w:sz w:val="32"/>
          <w:szCs w:val="32"/>
        </w:rPr>
      </w:pPr>
      <w:r>
        <w:rPr>
          <w:rFonts w:hint="eastAsia" w:eastAsia="黑体" w:cs="黑体"/>
          <w:color w:val="000000"/>
          <w:sz w:val="32"/>
          <w:szCs w:val="32"/>
        </w:rPr>
        <w:t xml:space="preserve">第七条  </w:t>
      </w:r>
      <w:r>
        <w:rPr>
          <w:rFonts w:hint="eastAsia" w:eastAsia="仿宋_GB2312" w:cs="仿宋_GB2312"/>
          <w:color w:val="000000"/>
          <w:sz w:val="32"/>
          <w:szCs w:val="32"/>
        </w:rPr>
        <w:t>新建、改建或者扩建建筑物应当按照标准配建机动车停车场。</w:t>
      </w:r>
    </w:p>
    <w:p>
      <w:pPr>
        <w:spacing w:line="620" w:lineRule="exact"/>
        <w:ind w:firstLine="640" w:firstLineChars="200"/>
        <w:rPr>
          <w:rFonts w:eastAsia="仿宋_GB2312" w:cs="仿宋_GB2312"/>
          <w:color w:val="000000"/>
          <w:sz w:val="32"/>
          <w:szCs w:val="32"/>
        </w:rPr>
      </w:pPr>
      <w:r>
        <w:rPr>
          <w:rFonts w:hint="eastAsia" w:eastAsia="仿宋_GB2312" w:cs="仿宋_GB2312"/>
          <w:color w:val="000000"/>
          <w:kern w:val="2"/>
          <w:sz w:val="32"/>
          <w:szCs w:val="32"/>
        </w:rPr>
        <w:t>与新建</w:t>
      </w:r>
      <w:r>
        <w:rPr>
          <w:rFonts w:hint="eastAsia" w:eastAsia="仿宋_GB2312" w:cs="仿宋_GB2312"/>
          <w:color w:val="000000"/>
          <w:sz w:val="32"/>
          <w:szCs w:val="32"/>
        </w:rPr>
        <w:t>建筑物配套建设的机动车停车场应当与主体工程同步设计、同步建设、同步使用。</w:t>
      </w:r>
    </w:p>
    <w:p>
      <w:pPr>
        <w:pStyle w:val="2"/>
        <w:spacing w:line="620" w:lineRule="exact"/>
        <w:ind w:firstLine="640" w:firstLineChars="200"/>
        <w:rPr>
          <w:rFonts w:eastAsia="仿宋_GB2312" w:cs="仿宋_GB2312"/>
          <w:bCs w:val="0"/>
          <w:color w:val="000000"/>
          <w:sz w:val="32"/>
          <w:szCs w:val="32"/>
        </w:rPr>
      </w:pPr>
      <w:r>
        <w:rPr>
          <w:rFonts w:hint="eastAsia" w:eastAsia="黑体" w:cs="黑体"/>
          <w:bCs w:val="0"/>
          <w:color w:val="000000"/>
          <w:kern w:val="0"/>
          <w:sz w:val="32"/>
          <w:szCs w:val="32"/>
        </w:rPr>
        <w:t xml:space="preserve">第八条  </w:t>
      </w:r>
      <w:r>
        <w:rPr>
          <w:rFonts w:hint="eastAsia" w:eastAsia="仿宋_GB2312" w:cs="仿宋_GB2312"/>
          <w:bCs w:val="0"/>
          <w:color w:val="000000"/>
          <w:sz w:val="32"/>
          <w:szCs w:val="32"/>
        </w:rPr>
        <w:t>鼓励社会资本投资建设公共停车场；鼓励综合利用广场、公园、人防工程以及桥梁下空间等资源建设公共停车场；鼓励建设集约化立体式机动车停车场；鼓励通过旧房改造、功能性改造等方式新增公共停车场。</w:t>
      </w:r>
    </w:p>
    <w:p>
      <w:pPr>
        <w:spacing w:line="620" w:lineRule="exact"/>
        <w:ind w:firstLine="640" w:firstLineChars="200"/>
        <w:rPr>
          <w:rFonts w:eastAsia="仿宋_GB2312" w:cs="仿宋_GB2312"/>
          <w:color w:val="000000"/>
          <w:sz w:val="32"/>
          <w:szCs w:val="32"/>
        </w:rPr>
      </w:pPr>
      <w:r>
        <w:rPr>
          <w:rFonts w:hint="eastAsia" w:eastAsia="黑体" w:cs="黑体"/>
          <w:color w:val="000000"/>
          <w:sz w:val="32"/>
          <w:szCs w:val="32"/>
        </w:rPr>
        <w:t xml:space="preserve">第九条  </w:t>
      </w:r>
      <w:r>
        <w:rPr>
          <w:rFonts w:hint="eastAsia" w:eastAsia="仿宋_GB2312" w:cs="仿宋_GB2312"/>
          <w:color w:val="000000"/>
          <w:sz w:val="32"/>
          <w:szCs w:val="32"/>
        </w:rPr>
        <w:t>城市道路规划红线外与建筑物外缘之间的开放式场地，确需设置临时停车场，建设用地使用权属于业主共有的，由业主大会或者业主大会授权的业主委员会向公安机关交通管理部门提出申请。符合要求的，由公安机关交通管理部门统一设置临时停车场；建设用地使用权不属于业主共有的，由公安机关交通管理部门征求规划和自然资源主管部门同意后，设置临时停车场。</w:t>
      </w:r>
    </w:p>
    <w:p>
      <w:pPr>
        <w:spacing w:line="620" w:lineRule="exact"/>
        <w:ind w:firstLine="640" w:firstLineChars="200"/>
        <w:rPr>
          <w:rFonts w:eastAsia="仿宋_GB2312" w:cs="仿宋_GB2312"/>
          <w:color w:val="000000"/>
          <w:sz w:val="32"/>
          <w:szCs w:val="32"/>
        </w:rPr>
      </w:pPr>
      <w:r>
        <w:rPr>
          <w:rFonts w:hint="eastAsia" w:eastAsia="仿宋_GB2312" w:cs="仿宋_GB2312"/>
          <w:color w:val="000000"/>
          <w:sz w:val="32"/>
          <w:szCs w:val="32"/>
        </w:rPr>
        <w:t>在不能满足社会公众停车需求的区域，土地权属单位可以参照前款规定利用待建土地、空闲场地等设置临时停车场。</w:t>
      </w:r>
    </w:p>
    <w:p>
      <w:pPr>
        <w:spacing w:line="620" w:lineRule="exact"/>
        <w:ind w:firstLine="640" w:firstLineChars="200"/>
        <w:rPr>
          <w:rFonts w:ascii="仿宋_GB2312" w:hAnsi="仿宋_GB2312" w:eastAsia="仿宋_GB2312" w:cs="仿宋_GB2312"/>
          <w:color w:val="000000"/>
          <w:sz w:val="32"/>
          <w:szCs w:val="32"/>
        </w:rPr>
      </w:pPr>
      <w:r>
        <w:rPr>
          <w:rFonts w:hint="eastAsia" w:eastAsia="黑体" w:cs="黑体"/>
          <w:color w:val="000000"/>
          <w:sz w:val="32"/>
          <w:szCs w:val="32"/>
        </w:rPr>
        <w:t xml:space="preserve">第十条  </w:t>
      </w:r>
      <w:r>
        <w:rPr>
          <w:rFonts w:hint="eastAsia" w:ascii="仿宋_GB2312" w:hAnsi="仿宋_GB2312" w:eastAsia="仿宋_GB2312" w:cs="仿宋_GB2312"/>
          <w:color w:val="000000"/>
          <w:sz w:val="32"/>
          <w:szCs w:val="32"/>
        </w:rPr>
        <w:t>在城市道路范围内不影响行人、车辆通行的情况下，公安机关交通管理部门可以施划临时停车泊位。</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公安机关交通管理部门应当根据道路交通状况和车辆停放需求，在老旧住宅小区、学校和公共厕所附近等必要路段施划夜间临时停车泊位或者限时临时停车泊位，并向社会公示。</w:t>
      </w:r>
    </w:p>
    <w:p>
      <w:pPr>
        <w:spacing w:line="620" w:lineRule="exact"/>
        <w:ind w:firstLine="640" w:firstLineChars="200"/>
        <w:rPr>
          <w:rFonts w:eastAsia="仿宋_GB2312" w:cs="仿宋_GB2312"/>
          <w:color w:val="000000"/>
          <w:sz w:val="32"/>
          <w:szCs w:val="32"/>
        </w:rPr>
      </w:pPr>
      <w:r>
        <w:rPr>
          <w:rFonts w:hint="eastAsia" w:eastAsia="黑体" w:cs="黑体"/>
          <w:color w:val="000000"/>
          <w:sz w:val="32"/>
          <w:szCs w:val="32"/>
        </w:rPr>
        <w:t xml:space="preserve">第十一条  </w:t>
      </w:r>
      <w:r>
        <w:rPr>
          <w:rFonts w:hint="eastAsia" w:eastAsia="仿宋_GB2312" w:cs="仿宋_GB2312"/>
          <w:color w:val="000000"/>
          <w:kern w:val="2"/>
          <w:sz w:val="32"/>
          <w:szCs w:val="32"/>
        </w:rPr>
        <w:t>鼓励</w:t>
      </w:r>
      <w:r>
        <w:rPr>
          <w:rFonts w:hint="eastAsia" w:eastAsia="仿宋_GB2312" w:cs="仿宋_GB2312"/>
          <w:color w:val="000000"/>
          <w:sz w:val="32"/>
          <w:szCs w:val="32"/>
        </w:rPr>
        <w:t>公共停车场和专用停车场按照国家和省电动汽车充电基础设施建设标准施划电动汽车停车泊位，配建电动汽车充电设施。</w:t>
      </w:r>
    </w:p>
    <w:p>
      <w:pPr>
        <w:spacing w:line="620" w:lineRule="exact"/>
        <w:ind w:firstLine="640" w:firstLineChars="200"/>
        <w:rPr>
          <w:rFonts w:eastAsia="仿宋_GB2312" w:cs="仿宋_GB2312"/>
          <w:color w:val="000000"/>
          <w:sz w:val="32"/>
          <w:szCs w:val="32"/>
        </w:rPr>
      </w:pPr>
      <w:r>
        <w:rPr>
          <w:rFonts w:hint="eastAsia" w:eastAsia="黑体" w:cs="黑体"/>
          <w:color w:val="000000"/>
          <w:sz w:val="32"/>
          <w:szCs w:val="32"/>
        </w:rPr>
        <w:t xml:space="preserve">第十二条  </w:t>
      </w:r>
      <w:r>
        <w:rPr>
          <w:rFonts w:hint="eastAsia" w:eastAsia="仿宋_GB2312" w:cs="仿宋_GB2312"/>
          <w:color w:val="000000"/>
          <w:sz w:val="32"/>
          <w:szCs w:val="32"/>
        </w:rPr>
        <w:t>公安机关交通管理部门应当建设机动车停车管理信息平台，统筹停车资源，实行信息共享，并向社会公众开放。</w:t>
      </w:r>
    </w:p>
    <w:p>
      <w:pPr>
        <w:spacing w:line="620" w:lineRule="exact"/>
        <w:ind w:firstLine="640" w:firstLineChars="200"/>
        <w:rPr>
          <w:rFonts w:eastAsia="仿宋_GB2312" w:cs="仿宋_GB2312"/>
          <w:color w:val="000000"/>
          <w:sz w:val="32"/>
          <w:szCs w:val="32"/>
        </w:rPr>
      </w:pPr>
      <w:r>
        <w:rPr>
          <w:rFonts w:hint="eastAsia" w:eastAsia="仿宋_GB2312" w:cs="仿宋_GB2312"/>
          <w:color w:val="000000"/>
          <w:sz w:val="32"/>
          <w:szCs w:val="32"/>
        </w:rPr>
        <w:t>公安机关交通管理部门应当在城市主干道和重要交通节点建设停车引导设施，设置电子引导屏，实时发布停车场位置、泊位数量和收费标准等信息。</w:t>
      </w:r>
    </w:p>
    <w:p>
      <w:pPr>
        <w:spacing w:line="620" w:lineRule="exact"/>
        <w:ind w:firstLine="640" w:firstLineChars="200"/>
        <w:rPr>
          <w:rFonts w:eastAsia="仿宋_GB2312" w:cs="仿宋_GB2312"/>
          <w:color w:val="000000"/>
          <w:sz w:val="32"/>
          <w:szCs w:val="32"/>
        </w:rPr>
      </w:pPr>
      <w:r>
        <w:rPr>
          <w:rFonts w:hint="eastAsia" w:eastAsia="仿宋_GB2312" w:cs="仿宋_GB2312"/>
          <w:color w:val="000000"/>
          <w:sz w:val="32"/>
          <w:szCs w:val="32"/>
        </w:rPr>
        <w:t>鼓</w:t>
      </w:r>
      <w:r>
        <w:rPr>
          <w:rFonts w:hint="eastAsia" w:eastAsia="仿宋_GB2312" w:cs="仿宋_GB2312"/>
          <w:color w:val="000000"/>
          <w:spacing w:val="-4"/>
          <w:sz w:val="32"/>
          <w:szCs w:val="32"/>
        </w:rPr>
        <w:t>励开发移动终端智能化停车服务应用，实现信息查询、车位预约和电子支付等服务功能集成，为社会公众提供智能化停车服务</w:t>
      </w:r>
      <w:r>
        <w:rPr>
          <w:rFonts w:hint="eastAsia" w:eastAsia="仿宋_GB2312" w:cs="仿宋_GB2312"/>
          <w:color w:val="000000"/>
          <w:sz w:val="32"/>
          <w:szCs w:val="32"/>
        </w:rPr>
        <w:t>。</w:t>
      </w:r>
    </w:p>
    <w:p>
      <w:pPr>
        <w:pStyle w:val="6"/>
        <w:spacing w:before="0" w:beforeAutospacing="0" w:after="0" w:afterAutospacing="0" w:line="620" w:lineRule="exact"/>
        <w:jc w:val="center"/>
        <w:rPr>
          <w:rFonts w:eastAsia="黑体" w:cs="黑体"/>
          <w:color w:val="000000"/>
          <w:sz w:val="32"/>
          <w:szCs w:val="32"/>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right="0" w:rightChars="0"/>
        <w:jc w:val="center"/>
        <w:rPr>
          <w:rFonts w:eastAsia="黑体" w:cs="黑体"/>
          <w:color w:val="000000"/>
          <w:sz w:val="32"/>
          <w:szCs w:val="32"/>
        </w:rPr>
      </w:pPr>
      <w:r>
        <w:rPr>
          <w:rFonts w:hint="eastAsia" w:eastAsia="黑体" w:cs="黑体"/>
          <w:color w:val="000000"/>
          <w:sz w:val="32"/>
          <w:szCs w:val="32"/>
        </w:rPr>
        <w:t>第三章　使用与管理</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right="0" w:rightChars="0"/>
        <w:jc w:val="center"/>
        <w:rPr>
          <w:rFonts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textAlignment w:val="auto"/>
        <w:rPr>
          <w:rFonts w:eastAsia="仿宋_GB2312" w:cs="仿宋_GB2312"/>
          <w:color w:val="000000"/>
          <w:kern w:val="2"/>
          <w:sz w:val="32"/>
          <w:szCs w:val="32"/>
        </w:rPr>
      </w:pPr>
      <w:r>
        <w:rPr>
          <w:rFonts w:hint="eastAsia" w:eastAsia="黑体" w:cs="黑体"/>
          <w:color w:val="000000"/>
          <w:sz w:val="32"/>
          <w:szCs w:val="32"/>
        </w:rPr>
        <w:t xml:space="preserve">第十三条  </w:t>
      </w:r>
      <w:r>
        <w:rPr>
          <w:rFonts w:hint="eastAsia" w:eastAsia="仿宋_GB2312" w:cs="仿宋_GB2312"/>
          <w:color w:val="000000"/>
          <w:kern w:val="2"/>
          <w:sz w:val="32"/>
          <w:szCs w:val="32"/>
        </w:rPr>
        <w:t>停车收费实行政府定价、政府指导价或者市场调节价。</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textAlignment w:val="auto"/>
        <w:rPr>
          <w:rFonts w:eastAsia="仿宋_GB2312" w:cs="仿宋_GB2312"/>
          <w:color w:val="000000"/>
          <w:kern w:val="2"/>
          <w:sz w:val="32"/>
          <w:szCs w:val="32"/>
          <w:highlight w:val="yellow"/>
        </w:rPr>
      </w:pPr>
      <w:r>
        <w:rPr>
          <w:rFonts w:hint="eastAsia" w:ascii="仿宋_GB2312" w:eastAsia="仿宋_GB2312" w:cs="黑体"/>
          <w:color w:val="000000"/>
          <w:sz w:val="32"/>
          <w:szCs w:val="32"/>
        </w:rPr>
        <w:t>实行政府定价、政府指导价的机动车停车场由发展和改革主管部门</w:t>
      </w:r>
      <w:r>
        <w:rPr>
          <w:rFonts w:hint="eastAsia" w:eastAsia="仿宋_GB2312" w:cs="仿宋_GB2312"/>
          <w:color w:val="000000"/>
          <w:sz w:val="32"/>
          <w:szCs w:val="32"/>
        </w:rPr>
        <w:t>根据区域、位置、时段、车型和占用时长等不同情况确定收费标准，并向社会公布。</w:t>
      </w:r>
      <w:r>
        <w:rPr>
          <w:rFonts w:hint="eastAsia" w:eastAsia="仿宋_GB2312" w:cs="仿宋_GB2312"/>
          <w:color w:val="000000"/>
          <w:kern w:val="2"/>
          <w:sz w:val="32"/>
          <w:szCs w:val="32"/>
        </w:rPr>
        <w:t>实行政府定价、政府指导价的机动车停车场应当设置一定时长的免费停放时间。</w:t>
      </w:r>
    </w:p>
    <w:p>
      <w:pPr>
        <w:pStyle w:val="2"/>
        <w:keepNext w:val="0"/>
        <w:keepLines w:val="0"/>
        <w:pageBreakBefore w:val="0"/>
        <w:widowControl w:val="0"/>
        <w:kinsoku/>
        <w:wordWrap/>
        <w:overflowPunct/>
        <w:topLinePunct w:val="0"/>
        <w:autoSpaceDE/>
        <w:autoSpaceDN/>
        <w:bidi w:val="0"/>
        <w:adjustRightInd/>
        <w:snapToGrid/>
        <w:spacing w:line="620" w:lineRule="exact"/>
        <w:ind w:right="0" w:rightChars="0" w:firstLine="624" w:firstLineChars="200"/>
        <w:rPr>
          <w:rFonts w:eastAsia="仿宋_GB2312" w:cs="仿宋_GB2312"/>
          <w:bCs w:val="0"/>
          <w:color w:val="000000"/>
          <w:spacing w:val="-4"/>
          <w:sz w:val="32"/>
          <w:szCs w:val="32"/>
        </w:rPr>
      </w:pPr>
      <w:r>
        <w:rPr>
          <w:rFonts w:hint="eastAsia" w:eastAsia="仿宋_GB2312" w:cs="仿宋_GB2312"/>
          <w:bCs w:val="0"/>
          <w:color w:val="000000"/>
          <w:spacing w:val="-4"/>
          <w:sz w:val="32"/>
          <w:szCs w:val="32"/>
        </w:rPr>
        <w:t>实行市场调节价的公共停车场由经营管理者自主定价并公示。</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黑体" w:cs="黑体"/>
          <w:color w:val="000000"/>
          <w:sz w:val="32"/>
          <w:szCs w:val="32"/>
        </w:rPr>
        <w:t>第十四条　</w:t>
      </w:r>
      <w:r>
        <w:rPr>
          <w:rFonts w:hint="eastAsia" w:eastAsia="仿宋_GB2312" w:cs="仿宋_GB2312"/>
          <w:color w:val="000000"/>
          <w:sz w:val="32"/>
          <w:szCs w:val="32"/>
        </w:rPr>
        <w:t>市、县（市、区）人民政府投资建设的公共停车场，所得收入应当用于公共停车场的建设和管理。</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仿宋_GB2312" w:cs="仿宋_GB2312"/>
          <w:color w:val="000000"/>
          <w:sz w:val="32"/>
          <w:szCs w:val="32"/>
        </w:rPr>
        <w:t>社会资本投资建设的公共停车场，按照“谁投资、谁受益”的原则，自主经营和管理。</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黑体" w:cs="黑体"/>
          <w:color w:val="000000"/>
          <w:sz w:val="32"/>
          <w:szCs w:val="32"/>
        </w:rPr>
        <w:t xml:space="preserve">第十五条  </w:t>
      </w:r>
      <w:r>
        <w:rPr>
          <w:rFonts w:hint="eastAsia" w:eastAsia="仿宋_GB2312" w:cs="仿宋_GB2312"/>
          <w:color w:val="000000"/>
          <w:sz w:val="32"/>
          <w:szCs w:val="32"/>
        </w:rPr>
        <w:t>公共停车场经营管理者应当自停车场投入使用</w:t>
      </w:r>
      <w:r>
        <w:rPr>
          <w:rFonts w:hint="eastAsia" w:eastAsia="仿宋_GB2312" w:cs="仿宋_GB2312"/>
          <w:color w:val="000000"/>
          <w:spacing w:val="-4"/>
          <w:sz w:val="32"/>
          <w:szCs w:val="32"/>
        </w:rPr>
        <w:t>之日起十五日内，报公安机关交通管理部门备案，并提供以下资料：</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仿宋_GB2312" w:cs="仿宋_GB2312"/>
          <w:color w:val="000000"/>
          <w:sz w:val="32"/>
          <w:szCs w:val="32"/>
        </w:rPr>
        <w:t>（一）营业执照、不动产权属证明和经营管理者身份证明；</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仿宋_GB2312" w:cs="仿宋_GB2312"/>
          <w:color w:val="000000"/>
          <w:sz w:val="32"/>
          <w:szCs w:val="32"/>
        </w:rPr>
        <w:t>（二）公共停车场设计方案；</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仿宋_GB2312" w:cs="仿宋_GB2312"/>
          <w:color w:val="000000"/>
          <w:sz w:val="32"/>
          <w:szCs w:val="32"/>
        </w:rPr>
        <w:t>（三）经营、服务、安全管理制度和突发事件应急预案；</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仿宋_GB2312" w:cs="仿宋_GB2312"/>
          <w:color w:val="000000"/>
          <w:sz w:val="32"/>
          <w:szCs w:val="32"/>
        </w:rPr>
        <w:t>（四）其他法律、法规规定的资料。</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仿宋_GB2312" w:cs="仿宋_GB2312"/>
          <w:color w:val="000000"/>
          <w:sz w:val="32"/>
          <w:szCs w:val="32"/>
        </w:rPr>
        <w:t>备案事项发生变更的，经营管理者应当自变更之日起十日内向公安机关交通管理部门重新备案。</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黑体" w:cs="黑体"/>
          <w:color w:val="000000"/>
          <w:sz w:val="32"/>
          <w:szCs w:val="32"/>
        </w:rPr>
        <w:t xml:space="preserve">第十六条  </w:t>
      </w:r>
      <w:r>
        <w:rPr>
          <w:rFonts w:hint="eastAsia" w:eastAsia="仿宋_GB2312" w:cs="仿宋_GB2312"/>
          <w:color w:val="000000"/>
          <w:sz w:val="32"/>
          <w:szCs w:val="32"/>
        </w:rPr>
        <w:t>公共停车场的经营管理应当遵守下列规定：</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仿宋_GB2312" w:cs="仿宋_GB2312"/>
          <w:color w:val="000000"/>
          <w:sz w:val="32"/>
          <w:szCs w:val="32"/>
        </w:rPr>
        <w:t>（一）按照规定划设标志标线，进出口闸机与道路保持安全距离；</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仿宋_GB2312" w:cs="仿宋_GB2312"/>
          <w:color w:val="000000"/>
          <w:sz w:val="32"/>
          <w:szCs w:val="32"/>
        </w:rPr>
        <w:t>（二）在显著位置公示停车场名称、营业执照、收费标准、</w:t>
      </w:r>
      <w:r>
        <w:rPr>
          <w:rFonts w:hint="eastAsia" w:eastAsia="仿宋_GB2312" w:cs="仿宋_GB2312"/>
          <w:color w:val="000000"/>
          <w:kern w:val="2"/>
          <w:sz w:val="32"/>
          <w:szCs w:val="32"/>
        </w:rPr>
        <w:t>计费方式和免费时间</w:t>
      </w:r>
      <w:r>
        <w:rPr>
          <w:rFonts w:hint="eastAsia" w:eastAsia="仿宋_GB2312" w:cs="仿宋_GB2312"/>
          <w:color w:val="000000"/>
          <w:sz w:val="32"/>
          <w:szCs w:val="32"/>
        </w:rPr>
        <w:t>等信息；</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仿宋_GB2312" w:cs="仿宋_GB2312"/>
          <w:color w:val="000000"/>
          <w:sz w:val="32"/>
          <w:szCs w:val="32"/>
        </w:rPr>
        <w:t>（三）接入机动车停车管理信息平台，采集并实时传输停车数据；</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仿宋_GB2312" w:cs="仿宋_GB2312"/>
          <w:color w:val="000000"/>
          <w:sz w:val="32"/>
          <w:szCs w:val="32"/>
        </w:rPr>
        <w:t>（四）保持停车环境整洁，配备通风、照明、排水、消防、监控等设施，并确保其正常运行；</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仿宋_GB2312" w:cs="仿宋_GB2312"/>
          <w:color w:val="000000"/>
          <w:sz w:val="32"/>
          <w:szCs w:val="32"/>
        </w:rPr>
        <w:t>（五）在出入方便的位置施划残疾人停车泊位和明显标志，配备必要的无障碍设施；</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仿宋_GB2312" w:cs="仿宋_GB2312"/>
          <w:color w:val="000000"/>
          <w:sz w:val="32"/>
          <w:szCs w:val="32"/>
        </w:rPr>
        <w:t>（六）按照标准收费，并出具合规票据；</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仿宋_GB2312" w:cs="仿宋_GB2312"/>
          <w:color w:val="000000"/>
          <w:sz w:val="32"/>
          <w:szCs w:val="32"/>
        </w:rPr>
        <w:t>（七）工作人员佩戴标志上岗；</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仿宋_GB2312" w:cs="仿宋_GB2312"/>
          <w:color w:val="000000"/>
          <w:sz w:val="32"/>
          <w:szCs w:val="32"/>
        </w:rPr>
        <w:t>（八）其他法律、法规的有关规定。</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黑体" w:cs="黑体"/>
          <w:color w:val="000000"/>
          <w:sz w:val="32"/>
          <w:szCs w:val="32"/>
        </w:rPr>
        <w:t>第十七条　</w:t>
      </w:r>
      <w:r>
        <w:rPr>
          <w:rFonts w:hint="eastAsia" w:eastAsia="仿宋_GB2312" w:cs="仿宋_GB2312"/>
          <w:color w:val="000000"/>
          <w:sz w:val="32"/>
          <w:szCs w:val="32"/>
        </w:rPr>
        <w:t>鼓励机关、企事业单位在加强安全管理的前提下，向社会开放专用停车场；鼓励商业设施、写字楼、旅游景区、体育场馆等单位的专用停车场在空闲时段向社会开放；鼓励住宅小区在保障安全和满足基本停车需求的前提下，错时向社会开放专用停车场。</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rFonts w:eastAsia="仿宋_GB2312" w:cs="仿宋_GB2312"/>
          <w:color w:val="000000"/>
          <w:sz w:val="32"/>
          <w:szCs w:val="32"/>
        </w:rPr>
      </w:pPr>
      <w:r>
        <w:rPr>
          <w:rFonts w:hint="eastAsia" w:eastAsia="黑体" w:cs="黑体"/>
          <w:color w:val="000000"/>
          <w:sz w:val="32"/>
          <w:szCs w:val="32"/>
        </w:rPr>
        <w:t xml:space="preserve">第十八条  </w:t>
      </w:r>
      <w:r>
        <w:rPr>
          <w:rFonts w:hint="eastAsia" w:eastAsia="仿宋_GB2312" w:cs="仿宋_GB2312"/>
          <w:color w:val="000000"/>
          <w:sz w:val="32"/>
          <w:szCs w:val="32"/>
        </w:rPr>
        <w:t>公安机关交通管理部门应当在</w:t>
      </w:r>
      <w:r>
        <w:rPr>
          <w:rFonts w:eastAsia="仿宋_GB2312" w:cs="仿宋_GB2312"/>
          <w:color w:val="000000"/>
          <w:sz w:val="32"/>
          <w:szCs w:val="32"/>
        </w:rPr>
        <w:t>临时停车泊位</w:t>
      </w:r>
      <w:r>
        <w:rPr>
          <w:rFonts w:hint="eastAsia" w:eastAsia="仿宋_GB2312" w:cs="仿宋_GB2312"/>
          <w:color w:val="000000"/>
          <w:sz w:val="32"/>
          <w:szCs w:val="32"/>
        </w:rPr>
        <w:t>现场公示停车时段、停放范围和违停后果等信息。</w:t>
      </w:r>
    </w:p>
    <w:p>
      <w:pPr>
        <w:pStyle w:val="2"/>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rPr>
          <w:color w:val="000000"/>
        </w:rPr>
      </w:pPr>
      <w:r>
        <w:rPr>
          <w:rFonts w:hint="eastAsia" w:eastAsia="仿宋_GB2312" w:cs="仿宋_GB2312"/>
          <w:bCs w:val="0"/>
          <w:color w:val="000000"/>
          <w:sz w:val="32"/>
          <w:szCs w:val="32"/>
        </w:rPr>
        <w:t>其他单位和个人不得施划、毁损、撤除</w:t>
      </w:r>
      <w:r>
        <w:rPr>
          <w:rFonts w:eastAsia="仿宋_GB2312" w:cs="仿宋_GB2312"/>
          <w:bCs w:val="0"/>
          <w:color w:val="000000"/>
          <w:sz w:val="32"/>
          <w:szCs w:val="32"/>
        </w:rPr>
        <w:t>临时停车泊位</w:t>
      </w:r>
      <w:r>
        <w:rPr>
          <w:rFonts w:hint="eastAsia" w:eastAsia="仿宋_GB2312" w:cs="仿宋_GB2312"/>
          <w:bCs w:val="0"/>
          <w:color w:val="000000"/>
          <w:sz w:val="32"/>
          <w:szCs w:val="32"/>
        </w:rPr>
        <w:t>和标志标线。</w:t>
      </w: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ind w:left="0" w:leftChars="0" w:right="0" w:rightChars="0" w:firstLine="640" w:firstLineChars="200"/>
        <w:jc w:val="both"/>
        <w:textAlignment w:val="bottom"/>
        <w:outlineLvl w:val="9"/>
        <w:rPr>
          <w:rFonts w:hint="eastAsia" w:eastAsia="仿宋_GB2312" w:cs="仿宋_GB2312"/>
          <w:color w:val="000000"/>
          <w:spacing w:val="0"/>
          <w:sz w:val="32"/>
          <w:szCs w:val="32"/>
          <w:lang w:eastAsia="zh-CN"/>
        </w:rPr>
      </w:pPr>
      <w:r>
        <w:rPr>
          <w:rFonts w:hint="eastAsia" w:ascii="黑体" w:hAnsi="黑体" w:eastAsia="黑体" w:cs="黑体"/>
          <w:color w:val="000000"/>
          <w:spacing w:val="0"/>
          <w:sz w:val="32"/>
          <w:szCs w:val="32"/>
          <w:lang w:eastAsia="zh-CN"/>
        </w:rPr>
        <w:t>第十九条</w:t>
      </w:r>
      <w:r>
        <w:rPr>
          <w:rFonts w:hint="eastAsia" w:eastAsia="仿宋_GB2312" w:cs="仿宋_GB2312"/>
          <w:color w:val="000000"/>
          <w:spacing w:val="0"/>
          <w:sz w:val="32"/>
          <w:szCs w:val="32"/>
          <w:lang w:val="en-US" w:eastAsia="zh-CN"/>
        </w:rPr>
        <w:t>　禁止占用临时停车泊位从事经营性活动。</w:t>
      </w: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ind w:left="0" w:leftChars="0" w:right="0" w:rightChars="0" w:firstLine="640" w:firstLineChars="200"/>
        <w:jc w:val="both"/>
        <w:textAlignment w:val="bottom"/>
        <w:outlineLvl w:val="9"/>
        <w:rPr>
          <w:rFonts w:hint="eastAsia" w:eastAsia="仿宋_GB2312" w:cs="仿宋_GB2312"/>
          <w:color w:val="000000"/>
          <w:spacing w:val="0"/>
          <w:sz w:val="32"/>
          <w:szCs w:val="32"/>
        </w:rPr>
      </w:pPr>
      <w:r>
        <w:rPr>
          <w:rFonts w:hint="eastAsia" w:ascii="黑体" w:hAnsi="黑体" w:eastAsia="黑体" w:cs="黑体"/>
          <w:color w:val="000000"/>
          <w:spacing w:val="0"/>
          <w:sz w:val="32"/>
          <w:szCs w:val="32"/>
          <w:lang w:eastAsia="zh-CN"/>
        </w:rPr>
        <w:t>第二十条</w:t>
      </w:r>
      <w:r>
        <w:rPr>
          <w:rFonts w:hint="eastAsia" w:ascii="黑体" w:hAnsi="黑体" w:eastAsia="黑体" w:cs="黑体"/>
          <w:color w:val="000000"/>
          <w:spacing w:val="0"/>
          <w:sz w:val="32"/>
          <w:szCs w:val="32"/>
          <w:lang w:val="en-US" w:eastAsia="zh-CN"/>
        </w:rPr>
        <w:t>　</w:t>
      </w:r>
      <w:r>
        <w:rPr>
          <w:rFonts w:hint="eastAsia" w:eastAsia="仿宋_GB2312" w:cs="仿宋_GB2312"/>
          <w:color w:val="000000"/>
          <w:spacing w:val="0"/>
          <w:sz w:val="32"/>
          <w:szCs w:val="32"/>
          <w:lang w:val="en-US" w:eastAsia="zh-CN"/>
        </w:rPr>
        <w:t>在免费的临时停车泊位内</w:t>
      </w:r>
      <w:r>
        <w:rPr>
          <w:rFonts w:hint="eastAsia" w:eastAsia="仿宋_GB2312" w:cs="仿宋_GB2312"/>
          <w:color w:val="000000"/>
          <w:spacing w:val="0"/>
          <w:sz w:val="32"/>
          <w:szCs w:val="32"/>
        </w:rPr>
        <w:t>持续停放机动车</w:t>
      </w:r>
      <w:r>
        <w:rPr>
          <w:rFonts w:hint="eastAsia" w:eastAsia="仿宋_GB2312" w:cs="仿宋_GB2312"/>
          <w:color w:val="000000"/>
          <w:spacing w:val="0"/>
          <w:sz w:val="32"/>
          <w:szCs w:val="32"/>
          <w:lang w:eastAsia="zh-CN"/>
        </w:rPr>
        <w:t>不得</w:t>
      </w:r>
      <w:r>
        <w:rPr>
          <w:rFonts w:hint="eastAsia" w:eastAsia="仿宋_GB2312" w:cs="仿宋_GB2312"/>
          <w:color w:val="000000"/>
          <w:spacing w:val="0"/>
          <w:sz w:val="32"/>
          <w:szCs w:val="32"/>
        </w:rPr>
        <w:t>超过四十八小时。</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40" w:firstLineChars="200"/>
        <w:textAlignment w:val="bottom"/>
        <w:rPr>
          <w:rFonts w:hint="eastAsia" w:eastAsia="黑体" w:cs="黑体"/>
          <w:color w:val="000000"/>
          <w:spacing w:val="0"/>
          <w:sz w:val="32"/>
          <w:szCs w:val="32"/>
        </w:rPr>
      </w:pPr>
      <w:r>
        <w:rPr>
          <w:rFonts w:hint="eastAsia" w:eastAsia="黑体" w:cs="黑体"/>
          <w:color w:val="000000"/>
          <w:spacing w:val="0"/>
          <w:sz w:val="32"/>
          <w:szCs w:val="32"/>
        </w:rPr>
        <w:t>第二十</w:t>
      </w:r>
      <w:r>
        <w:rPr>
          <w:rFonts w:hint="eastAsia" w:eastAsia="黑体" w:cs="黑体"/>
          <w:color w:val="000000"/>
          <w:spacing w:val="0"/>
          <w:sz w:val="32"/>
          <w:szCs w:val="32"/>
          <w:lang w:eastAsia="zh-CN"/>
        </w:rPr>
        <w:t>一</w:t>
      </w:r>
      <w:r>
        <w:rPr>
          <w:rFonts w:hint="eastAsia" w:eastAsia="黑体" w:cs="黑体"/>
          <w:color w:val="000000"/>
          <w:spacing w:val="0"/>
          <w:sz w:val="32"/>
          <w:szCs w:val="32"/>
        </w:rPr>
        <w:t>条　</w:t>
      </w:r>
      <w:r>
        <w:rPr>
          <w:rFonts w:hint="eastAsia" w:eastAsia="仿宋_GB2312" w:cs="仿宋_GB2312"/>
          <w:color w:val="000000"/>
          <w:spacing w:val="0"/>
          <w:sz w:val="32"/>
          <w:szCs w:val="32"/>
        </w:rPr>
        <w:t>任何单位和个人不得擅自在道路上和其他公共区域内设置固定或者可移动障碍物阻碍机动车停放和通行。</w:t>
      </w:r>
    </w:p>
    <w:p>
      <w:pPr>
        <w:pStyle w:val="6"/>
        <w:spacing w:before="0" w:beforeAutospacing="0" w:after="0" w:afterAutospacing="0" w:line="590" w:lineRule="exact"/>
        <w:jc w:val="center"/>
        <w:rPr>
          <w:rFonts w:eastAsia="黑体" w:cs="黑体"/>
          <w:color w:val="000000"/>
          <w:sz w:val="32"/>
          <w:szCs w:val="32"/>
        </w:rPr>
      </w:pPr>
      <w:r>
        <w:rPr>
          <w:rFonts w:hint="eastAsia" w:eastAsia="黑体" w:cs="黑体"/>
          <w:color w:val="000000"/>
          <w:sz w:val="32"/>
          <w:szCs w:val="32"/>
        </w:rPr>
        <w:t>第四章  法律责任</w:t>
      </w:r>
    </w:p>
    <w:p>
      <w:pPr>
        <w:pStyle w:val="6"/>
        <w:spacing w:before="0" w:beforeAutospacing="0" w:after="0" w:afterAutospacing="0" w:line="590" w:lineRule="exact"/>
        <w:ind w:firstLine="640" w:firstLineChars="200"/>
        <w:jc w:val="both"/>
        <w:rPr>
          <w:rFonts w:eastAsia="黑体" w:cs="黑体"/>
          <w:color w:val="000000"/>
          <w:sz w:val="32"/>
          <w:szCs w:val="32"/>
        </w:rPr>
      </w:pPr>
    </w:p>
    <w:p>
      <w:pPr>
        <w:pStyle w:val="6"/>
        <w:spacing w:before="0" w:beforeAutospacing="0" w:after="0" w:afterAutospacing="0" w:line="590" w:lineRule="exact"/>
        <w:ind w:firstLine="640" w:firstLineChars="200"/>
        <w:jc w:val="both"/>
        <w:rPr>
          <w:rFonts w:eastAsia="仿宋_GB2312" w:cs="仿宋_GB2312"/>
          <w:color w:val="000000"/>
          <w:sz w:val="32"/>
          <w:szCs w:val="32"/>
        </w:rPr>
      </w:pPr>
      <w:r>
        <w:rPr>
          <w:rFonts w:hint="eastAsia" w:eastAsia="黑体" w:cs="黑体"/>
          <w:color w:val="000000"/>
          <w:sz w:val="32"/>
          <w:szCs w:val="32"/>
        </w:rPr>
        <w:t>第二十</w:t>
      </w:r>
      <w:r>
        <w:rPr>
          <w:rFonts w:hint="eastAsia" w:eastAsia="黑体" w:cs="黑体"/>
          <w:color w:val="000000"/>
          <w:sz w:val="32"/>
          <w:szCs w:val="32"/>
          <w:lang w:eastAsia="zh-CN"/>
        </w:rPr>
        <w:t>二</w:t>
      </w:r>
      <w:r>
        <w:rPr>
          <w:rFonts w:hint="eastAsia" w:eastAsia="黑体" w:cs="黑体"/>
          <w:color w:val="000000"/>
          <w:sz w:val="32"/>
          <w:szCs w:val="32"/>
        </w:rPr>
        <w:t>条　</w:t>
      </w:r>
      <w:r>
        <w:rPr>
          <w:rFonts w:hint="eastAsia" w:eastAsia="仿宋_GB2312" w:cs="仿宋_GB2312"/>
          <w:color w:val="000000"/>
          <w:sz w:val="32"/>
          <w:szCs w:val="32"/>
        </w:rPr>
        <w:t>违反本条例规定，法律、行政法规和省人民代表大会及其常务委员会制定的地方性法规已有法律责任规定的，从其规定。</w:t>
      </w:r>
    </w:p>
    <w:p>
      <w:pPr>
        <w:spacing w:line="620" w:lineRule="exact"/>
        <w:ind w:firstLine="640" w:firstLineChars="200"/>
        <w:rPr>
          <w:rFonts w:eastAsia="仿宋_GB2312" w:cs="仿宋_GB2312"/>
          <w:color w:val="000000"/>
          <w:sz w:val="32"/>
          <w:szCs w:val="32"/>
        </w:rPr>
      </w:pPr>
      <w:r>
        <w:rPr>
          <w:rFonts w:hint="eastAsia" w:eastAsia="黑体" w:cs="黑体"/>
          <w:color w:val="000000"/>
          <w:sz w:val="32"/>
          <w:szCs w:val="32"/>
        </w:rPr>
        <w:t>第二十</w:t>
      </w:r>
      <w:r>
        <w:rPr>
          <w:rFonts w:hint="eastAsia" w:eastAsia="黑体" w:cs="黑体"/>
          <w:color w:val="000000"/>
          <w:sz w:val="32"/>
          <w:szCs w:val="32"/>
          <w:lang w:eastAsia="zh-CN"/>
        </w:rPr>
        <w:t>三</w:t>
      </w:r>
      <w:r>
        <w:rPr>
          <w:rFonts w:hint="eastAsia" w:eastAsia="黑体" w:cs="黑体"/>
          <w:color w:val="000000"/>
          <w:sz w:val="32"/>
          <w:szCs w:val="32"/>
        </w:rPr>
        <w:t xml:space="preserve">条  </w:t>
      </w:r>
      <w:r>
        <w:rPr>
          <w:rFonts w:hint="eastAsia" w:eastAsia="仿宋_GB2312" w:cs="仿宋_GB2312"/>
          <w:color w:val="000000"/>
          <w:sz w:val="32"/>
          <w:szCs w:val="32"/>
        </w:rPr>
        <w:t>违反本条例规定，擅自施划、毁损、撤除</w:t>
      </w:r>
      <w:r>
        <w:rPr>
          <w:rFonts w:eastAsia="仿宋_GB2312" w:cs="仿宋_GB2312"/>
          <w:color w:val="000000"/>
          <w:sz w:val="32"/>
          <w:szCs w:val="32"/>
        </w:rPr>
        <w:t>临时停车泊位</w:t>
      </w:r>
      <w:r>
        <w:rPr>
          <w:rFonts w:hint="eastAsia" w:eastAsia="仿宋_GB2312" w:cs="仿宋_GB2312"/>
          <w:color w:val="000000"/>
          <w:sz w:val="32"/>
          <w:szCs w:val="32"/>
        </w:rPr>
        <w:t>和标志标线的，由公安机关交通管理部门责令限期恢复原状，并处二百元以上二千元以下的罚款。</w:t>
      </w:r>
    </w:p>
    <w:p>
      <w:pPr>
        <w:spacing w:line="620" w:lineRule="exact"/>
        <w:ind w:firstLine="640" w:firstLineChars="200"/>
        <w:rPr>
          <w:rFonts w:eastAsia="仿宋_GB2312" w:cs="仿宋_GB2312"/>
          <w:color w:val="000000"/>
          <w:sz w:val="32"/>
          <w:szCs w:val="32"/>
        </w:rPr>
      </w:pPr>
      <w:r>
        <w:rPr>
          <w:rFonts w:hint="eastAsia" w:eastAsia="黑体" w:cs="黑体"/>
          <w:color w:val="000000"/>
          <w:sz w:val="32"/>
          <w:szCs w:val="32"/>
        </w:rPr>
        <w:t>第二十</w:t>
      </w:r>
      <w:r>
        <w:rPr>
          <w:rFonts w:hint="eastAsia" w:eastAsia="黑体" w:cs="黑体"/>
          <w:color w:val="000000"/>
          <w:sz w:val="32"/>
          <w:szCs w:val="32"/>
          <w:lang w:eastAsia="zh-CN"/>
        </w:rPr>
        <w:t>四</w:t>
      </w:r>
      <w:r>
        <w:rPr>
          <w:rFonts w:hint="eastAsia" w:eastAsia="黑体" w:cs="黑体"/>
          <w:color w:val="000000"/>
          <w:sz w:val="32"/>
          <w:szCs w:val="32"/>
        </w:rPr>
        <w:t>条　</w:t>
      </w:r>
      <w:r>
        <w:rPr>
          <w:rFonts w:hint="eastAsia" w:eastAsia="仿宋_GB2312" w:cs="仿宋_GB2312"/>
          <w:color w:val="000000"/>
          <w:sz w:val="32"/>
          <w:szCs w:val="32"/>
        </w:rPr>
        <w:t>违反本条例规定，任何单位和个人擅自在道路上设置固定或者可移动障碍物的，由公安机关交通管理部门责令停止违法行为，限期恢复原状，可以处五百元以上一千元以下的罚款。</w:t>
      </w:r>
    </w:p>
    <w:p>
      <w:pPr>
        <w:spacing w:line="620" w:lineRule="exact"/>
        <w:ind w:firstLine="640" w:firstLineChars="200"/>
        <w:rPr>
          <w:rFonts w:eastAsia="仿宋_GB2312" w:cs="仿宋_GB2312"/>
          <w:color w:val="000000"/>
          <w:sz w:val="32"/>
          <w:szCs w:val="32"/>
        </w:rPr>
      </w:pPr>
      <w:r>
        <w:rPr>
          <w:rFonts w:hint="eastAsia" w:eastAsia="黑体" w:cs="黑体"/>
          <w:color w:val="000000"/>
          <w:sz w:val="32"/>
          <w:szCs w:val="32"/>
        </w:rPr>
        <w:t>第二十</w:t>
      </w:r>
      <w:r>
        <w:rPr>
          <w:rFonts w:hint="eastAsia" w:eastAsia="黑体" w:cs="黑体"/>
          <w:color w:val="000000"/>
          <w:sz w:val="32"/>
          <w:szCs w:val="32"/>
          <w:lang w:eastAsia="zh-CN"/>
        </w:rPr>
        <w:t>五</w:t>
      </w:r>
      <w:r>
        <w:rPr>
          <w:rFonts w:hint="eastAsia" w:eastAsia="黑体" w:cs="黑体"/>
          <w:color w:val="000000"/>
          <w:sz w:val="32"/>
          <w:szCs w:val="32"/>
        </w:rPr>
        <w:t xml:space="preserve">条  </w:t>
      </w:r>
      <w:r>
        <w:rPr>
          <w:rFonts w:hint="eastAsia" w:eastAsia="仿宋_GB2312" w:cs="仿宋_GB2312"/>
          <w:color w:val="000000"/>
          <w:sz w:val="32"/>
          <w:szCs w:val="32"/>
        </w:rPr>
        <w:t>国家机关工作人员在机动车停车场管理工作中滥用职权、玩忽职守、徇私舞弊的，依法给予处分；构成犯罪的，依法追究刑事责任。</w:t>
      </w:r>
    </w:p>
    <w:p>
      <w:pPr>
        <w:pStyle w:val="6"/>
        <w:spacing w:before="0" w:beforeAutospacing="0" w:after="0" w:afterAutospacing="0" w:line="620" w:lineRule="exact"/>
        <w:jc w:val="center"/>
        <w:rPr>
          <w:rFonts w:eastAsia="黑体" w:cs="黑体"/>
          <w:color w:val="000000"/>
          <w:sz w:val="32"/>
          <w:szCs w:val="32"/>
        </w:rPr>
      </w:pPr>
    </w:p>
    <w:p>
      <w:pPr>
        <w:pStyle w:val="6"/>
        <w:spacing w:before="0" w:beforeAutospacing="0" w:after="0" w:afterAutospacing="0" w:line="620" w:lineRule="exact"/>
        <w:jc w:val="center"/>
        <w:rPr>
          <w:rFonts w:eastAsia="黑体" w:cs="黑体"/>
          <w:color w:val="000000"/>
          <w:sz w:val="32"/>
          <w:szCs w:val="32"/>
        </w:rPr>
      </w:pPr>
      <w:r>
        <w:rPr>
          <w:rFonts w:hint="eastAsia" w:eastAsia="黑体" w:cs="黑体"/>
          <w:color w:val="000000"/>
          <w:sz w:val="32"/>
          <w:szCs w:val="32"/>
        </w:rPr>
        <w:t>第五章　附　则</w:t>
      </w:r>
    </w:p>
    <w:p>
      <w:pPr>
        <w:spacing w:line="620" w:lineRule="exact"/>
        <w:ind w:firstLine="640" w:firstLineChars="200"/>
        <w:rPr>
          <w:rFonts w:eastAsia="黑体" w:cs="黑体"/>
          <w:color w:val="000000"/>
          <w:sz w:val="32"/>
          <w:szCs w:val="32"/>
        </w:rPr>
      </w:pPr>
    </w:p>
    <w:p>
      <w:pPr>
        <w:spacing w:line="620" w:lineRule="exact"/>
        <w:ind w:firstLine="640" w:firstLineChars="200"/>
        <w:rPr>
          <w:rFonts w:eastAsia="仿宋_GB2312"/>
          <w:sz w:val="32"/>
          <w:szCs w:val="32"/>
        </w:rPr>
      </w:pPr>
      <w:r>
        <w:rPr>
          <w:rFonts w:hint="eastAsia" w:eastAsia="黑体" w:cs="黑体"/>
          <w:color w:val="000000"/>
          <w:sz w:val="32"/>
          <w:szCs w:val="32"/>
        </w:rPr>
        <w:t>第二十</w:t>
      </w:r>
      <w:r>
        <w:rPr>
          <w:rFonts w:hint="eastAsia" w:eastAsia="黑体" w:cs="黑体"/>
          <w:color w:val="000000"/>
          <w:sz w:val="32"/>
          <w:szCs w:val="32"/>
          <w:lang w:eastAsia="zh-CN"/>
        </w:rPr>
        <w:t>六</w:t>
      </w:r>
      <w:r>
        <w:rPr>
          <w:rFonts w:hint="eastAsia" w:eastAsia="黑体" w:cs="黑体"/>
          <w:color w:val="000000"/>
          <w:sz w:val="32"/>
          <w:szCs w:val="32"/>
        </w:rPr>
        <w:t xml:space="preserve">条  </w:t>
      </w:r>
      <w:r>
        <w:rPr>
          <w:rFonts w:hint="eastAsia" w:eastAsia="仿宋_GB2312" w:cs="仿宋_GB2312"/>
          <w:color w:val="000000"/>
          <w:sz w:val="32"/>
          <w:szCs w:val="32"/>
        </w:rPr>
        <w:t>本条例自2022年1月1日起施行。</w:t>
      </w:r>
    </w:p>
    <w:sectPr>
      <w:footerReference r:id="rId5" w:type="default"/>
      <w:pgSz w:w="11906" w:h="16838"/>
      <w:pgMar w:top="1985" w:right="1474" w:bottom="1701" w:left="1474" w:header="851" w:footer="1418" w:gutter="0"/>
      <w:pgNumType w:fmt="numberInDash"/>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217434"/>
    </w:sdtPr>
    <w:sdtContent>
      <w:p>
        <w:pPr>
          <w:pStyle w:val="4"/>
          <w:jc w:val="center"/>
        </w:pPr>
        <w:r>
          <w:fldChar w:fldCharType="begin"/>
        </w:r>
        <w:r>
          <w:instrText xml:space="preserve"> PAGE   \* MERGEFORMAT </w:instrText>
        </w:r>
        <w:r>
          <w:fldChar w:fldCharType="separate"/>
        </w:r>
        <w:r>
          <w:rPr>
            <w:lang w:val="zh-CN"/>
          </w:rPr>
          <w:t>-</w:t>
        </w:r>
        <w:r>
          <w:t xml:space="preserve"> 8 -</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D51"/>
    <w:rsid w:val="002C6D51"/>
    <w:rsid w:val="00822202"/>
    <w:rsid w:val="00874EA6"/>
    <w:rsid w:val="00876497"/>
    <w:rsid w:val="008D4C82"/>
    <w:rsid w:val="00C22CFC"/>
    <w:rsid w:val="056D4493"/>
    <w:rsid w:val="0BDA4205"/>
    <w:rsid w:val="1745210D"/>
    <w:rsid w:val="1B3FAB31"/>
    <w:rsid w:val="1F7C291D"/>
    <w:rsid w:val="221E7843"/>
    <w:rsid w:val="24616BEF"/>
    <w:rsid w:val="25E558E6"/>
    <w:rsid w:val="34B96E8E"/>
    <w:rsid w:val="3F1F0B7A"/>
    <w:rsid w:val="43C41193"/>
    <w:rsid w:val="43EA64FC"/>
    <w:rsid w:val="4D153CAD"/>
    <w:rsid w:val="5447301C"/>
    <w:rsid w:val="63EE33DA"/>
    <w:rsid w:val="6B9F1908"/>
    <w:rsid w:val="6E6F0820"/>
    <w:rsid w:val="C5ED78D5"/>
    <w:rsid w:val="FB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5" w:lineRule="atLeast"/>
      <w:ind w:left="1"/>
      <w:jc w:val="both"/>
      <w:textAlignment w:val="bottom"/>
    </w:pPr>
    <w:rPr>
      <w:rFonts w:ascii="Times New Roman" w:hAnsi="Times New Roman" w:eastAsia="宋体" w:cs="Times New Roman"/>
      <w:kern w:val="0"/>
      <w:sz w:val="21"/>
      <w:szCs w:val="22"/>
      <w:lang w:val="en-US" w:eastAsia="zh-CN" w:bidi="ar-SA"/>
    </w:rPr>
  </w:style>
  <w:style w:type="paragraph" w:styleId="2">
    <w:name w:val="heading 5"/>
    <w:basedOn w:val="1"/>
    <w:next w:val="1"/>
    <w:link w:val="12"/>
    <w:qFormat/>
    <w:uiPriority w:val="0"/>
    <w:pPr>
      <w:spacing w:line="240" w:lineRule="auto"/>
      <w:ind w:left="0"/>
      <w:textAlignment w:val="auto"/>
      <w:outlineLvl w:val="4"/>
    </w:pPr>
    <w:rPr>
      <w:bCs/>
      <w:kern w:val="2"/>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Body Text"/>
    <w:basedOn w:val="1"/>
    <w:link w:val="14"/>
    <w:unhideWhenUsed/>
    <w:qFormat/>
    <w:uiPriority w:val="99"/>
    <w:pPr>
      <w:spacing w:after="120"/>
    </w:pPr>
  </w:style>
  <w:style w:type="paragraph" w:styleId="4">
    <w:name w:val="footer"/>
    <w:basedOn w:val="1"/>
    <w:link w:val="13"/>
    <w:unhideWhenUsed/>
    <w:qFormat/>
    <w:uiPriority w:val="99"/>
    <w:pPr>
      <w:tabs>
        <w:tab w:val="center" w:pos="4153"/>
        <w:tab w:val="right" w:pos="8306"/>
      </w:tabs>
      <w:snapToGrid w:val="0"/>
      <w:spacing w:line="240" w:lineRule="atLeast"/>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6">
    <w:name w:val="Normal (Web)"/>
    <w:basedOn w:val="1"/>
    <w:next w:val="1"/>
    <w:qFormat/>
    <w:uiPriority w:val="0"/>
    <w:pPr>
      <w:spacing w:before="100" w:beforeAutospacing="1" w:after="100" w:afterAutospacing="1"/>
      <w:ind w:left="0"/>
      <w:jc w:val="left"/>
    </w:pPr>
    <w:rPr>
      <w:sz w:val="24"/>
    </w:rPr>
  </w:style>
  <w:style w:type="paragraph" w:styleId="7">
    <w:name w:val="Body Text First Indent"/>
    <w:basedOn w:val="3"/>
    <w:link w:val="15"/>
    <w:qFormat/>
    <w:uiPriority w:val="0"/>
    <w:pPr>
      <w:spacing w:after="0" w:line="240" w:lineRule="auto"/>
      <w:ind w:left="0" w:firstLine="420" w:firstLineChars="100"/>
      <w:jc w:val="center"/>
      <w:textAlignment w:val="auto"/>
    </w:pPr>
    <w:rPr>
      <w:kern w:val="2"/>
      <w:sz w:val="36"/>
      <w:szCs w:val="20"/>
    </w:rPr>
  </w:style>
  <w:style w:type="paragraph" w:customStyle="1" w:styleId="10">
    <w:name w:val="Char"/>
    <w:basedOn w:val="1"/>
    <w:qFormat/>
    <w:uiPriority w:val="0"/>
    <w:pPr>
      <w:spacing w:line="240" w:lineRule="atLeast"/>
      <w:ind w:left="420" w:firstLine="420"/>
    </w:pPr>
  </w:style>
  <w:style w:type="character" w:customStyle="1" w:styleId="11">
    <w:name w:val="页眉 Char"/>
    <w:basedOn w:val="9"/>
    <w:link w:val="5"/>
    <w:semiHidden/>
    <w:qFormat/>
    <w:uiPriority w:val="99"/>
    <w:rPr>
      <w:rFonts w:ascii="Times New Roman" w:hAnsi="Times New Roman" w:eastAsia="宋体" w:cs="Times New Roman"/>
      <w:kern w:val="0"/>
      <w:sz w:val="18"/>
      <w:szCs w:val="18"/>
    </w:rPr>
  </w:style>
  <w:style w:type="character" w:customStyle="1" w:styleId="12">
    <w:name w:val="标题 5 Char"/>
    <w:basedOn w:val="9"/>
    <w:link w:val="2"/>
    <w:qFormat/>
    <w:uiPriority w:val="0"/>
    <w:rPr>
      <w:rFonts w:ascii="Times New Roman" w:hAnsi="Times New Roman" w:eastAsia="宋体" w:cs="Times New Roman"/>
      <w:bCs/>
      <w:szCs w:val="28"/>
    </w:rPr>
  </w:style>
  <w:style w:type="character" w:customStyle="1" w:styleId="13">
    <w:name w:val="页脚 Char"/>
    <w:basedOn w:val="9"/>
    <w:link w:val="4"/>
    <w:qFormat/>
    <w:uiPriority w:val="99"/>
    <w:rPr>
      <w:rFonts w:ascii="Times New Roman" w:hAnsi="Times New Roman" w:eastAsia="宋体" w:cs="Times New Roman"/>
      <w:kern w:val="0"/>
      <w:sz w:val="18"/>
      <w:szCs w:val="18"/>
    </w:rPr>
  </w:style>
  <w:style w:type="character" w:customStyle="1" w:styleId="14">
    <w:name w:val="正文文本 Char"/>
    <w:basedOn w:val="9"/>
    <w:link w:val="3"/>
    <w:semiHidden/>
    <w:qFormat/>
    <w:uiPriority w:val="99"/>
    <w:rPr>
      <w:rFonts w:ascii="Times New Roman" w:hAnsi="Times New Roman" w:eastAsia="宋体" w:cs="Times New Roman"/>
      <w:kern w:val="0"/>
    </w:rPr>
  </w:style>
  <w:style w:type="character" w:customStyle="1" w:styleId="15">
    <w:name w:val="正文首行缩进 Char"/>
    <w:basedOn w:val="14"/>
    <w:link w:val="7"/>
    <w:qFormat/>
    <w:uiPriority w:val="0"/>
    <w:rPr>
      <w:sz w:val="36"/>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2798</Words>
  <Characters>2811</Characters>
  <Lines>42</Lines>
  <Paragraphs>11</Paragraphs>
  <TotalTime>1</TotalTime>
  <ScaleCrop>false</ScaleCrop>
  <LinksUpToDate>false</LinksUpToDate>
  <CharactersWithSpaces>2864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2021-10-12T23:50:00Z</dcterms:created>
  <dc:creator>微软用户</dc:creator>
  <cp:lastModifiedBy>PC398</cp:lastModifiedBy>
  <cp:lastPrinted>2021-10-19T00:23:00Z</cp:lastPrinted>
  <dcterms:modified xsi:type="dcterms:W3CDTF">2022-03-30T07:47:27Z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039E7900259345F8BB15F54699161043</vt:lpwstr>
  </property>
</Properties>
</file>