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rFonts w:hint="eastAsia" w:ascii="宋体" w:hAnsi="宋体" w:eastAsia="仿宋_GB2312"/>
          <w:color w:val="000000"/>
          <w:szCs w:val="32"/>
          <w:lang w:eastAsia="zh-CN"/>
        </w:rPr>
      </w:pPr>
    </w:p>
    <w:p>
      <w:pPr>
        <w:keepNext w:val="0"/>
        <w:keepLines w:val="0"/>
        <w:pageBreakBefore w:val="0"/>
        <w:widowControl w:val="0"/>
        <w:kinsoku/>
        <w:overflowPunct/>
        <w:topLinePunct w:val="0"/>
        <w:bidi w:val="0"/>
        <w:spacing w:line="590" w:lineRule="exact"/>
        <w:jc w:val="both"/>
        <w:textAlignment w:val="auto"/>
        <w:outlineLvl w:val="9"/>
        <w:rPr>
          <w:rFonts w:ascii="宋体" w:hAnsi="宋体" w:eastAsia="方正小标宋简体"/>
          <w:color w:val="000000"/>
          <w:spacing w:val="20"/>
          <w:sz w:val="44"/>
          <w:szCs w:val="44"/>
        </w:rPr>
      </w:pPr>
    </w:p>
    <w:p>
      <w:pPr>
        <w:keepNext w:val="0"/>
        <w:keepLines w:val="0"/>
        <w:pageBreakBefore w:val="0"/>
        <w:widowControl w:val="0"/>
        <w:kinsoku/>
        <w:overflowPunct/>
        <w:topLinePunct w:val="0"/>
        <w:bidi w:val="0"/>
        <w:spacing w:line="590" w:lineRule="exact"/>
        <w:jc w:val="center"/>
        <w:textAlignment w:val="auto"/>
        <w:outlineLvl w:val="9"/>
        <w:rPr>
          <w:rFonts w:hint="eastAsia" w:ascii="宋体" w:hAnsi="宋体" w:eastAsia="宋体"/>
          <w:color w:val="000000"/>
          <w:sz w:val="44"/>
          <w:szCs w:val="44"/>
        </w:rPr>
      </w:pPr>
      <w:r>
        <w:rPr>
          <w:rFonts w:hint="eastAsia" w:ascii="宋体" w:hAnsi="宋体" w:eastAsia="宋体"/>
          <w:color w:val="000000"/>
          <w:sz w:val="44"/>
          <w:szCs w:val="44"/>
        </w:rPr>
        <w:t>广东省</w:t>
      </w:r>
      <w:r>
        <w:rPr>
          <w:rFonts w:hint="eastAsia" w:ascii="宋体" w:hAnsi="宋体" w:eastAsia="宋体"/>
          <w:sz w:val="44"/>
          <w:szCs w:val="44"/>
        </w:rPr>
        <w:t>人才发展</w:t>
      </w:r>
      <w:r>
        <w:rPr>
          <w:rFonts w:hint="eastAsia" w:ascii="宋体" w:hAnsi="宋体" w:eastAsia="宋体"/>
          <w:color w:val="000000"/>
          <w:sz w:val="44"/>
          <w:szCs w:val="44"/>
        </w:rPr>
        <w:t>条例</w:t>
      </w:r>
    </w:p>
    <w:p>
      <w:pPr>
        <w:keepNext w:val="0"/>
        <w:keepLines w:val="0"/>
        <w:pageBreakBefore w:val="0"/>
        <w:widowControl w:val="0"/>
        <w:kinsoku/>
        <w:overflowPunct/>
        <w:topLinePunct w:val="0"/>
        <w:bidi w:val="0"/>
        <w:spacing w:line="590" w:lineRule="exact"/>
        <w:jc w:val="center"/>
        <w:textAlignment w:val="auto"/>
        <w:outlineLvl w:val="9"/>
        <w:rPr>
          <w:rFonts w:hint="eastAsia" w:ascii="宋体" w:hAnsi="宋体" w:eastAsia="楷体" w:cs="楷体"/>
          <w:color w:val="000000"/>
          <w:szCs w:val="32"/>
        </w:rPr>
      </w:pPr>
    </w:p>
    <w:p>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firstLine="0" w:firstLineChars="0"/>
        <w:jc w:val="both"/>
        <w:textAlignment w:val="auto"/>
        <w:outlineLvl w:val="9"/>
        <w:rPr>
          <w:rFonts w:hint="eastAsia" w:ascii="宋体" w:hAnsi="宋体" w:eastAsia="楷体_GB2312" w:cs="楷体_GB2312"/>
          <w:color w:val="000000"/>
          <w:szCs w:val="32"/>
        </w:rPr>
      </w:pPr>
      <w:r>
        <w:rPr>
          <w:rFonts w:hint="eastAsia" w:ascii="宋体" w:hAnsi="宋体" w:eastAsia="楷体_GB2312" w:cs="楷体_GB2312"/>
          <w:color w:val="000000"/>
          <w:szCs w:val="32"/>
        </w:rPr>
        <w:t>（2018年11月29日广东省第十三届人民代表大会常务委员会第七次会议通过）</w:t>
      </w:r>
    </w:p>
    <w:p>
      <w:pPr>
        <w:keepNext w:val="0"/>
        <w:keepLines w:val="0"/>
        <w:pageBreakBefore w:val="0"/>
        <w:widowControl w:val="0"/>
        <w:kinsoku/>
        <w:overflowPunct/>
        <w:topLinePunct w:val="0"/>
        <w:bidi w:val="0"/>
        <w:spacing w:line="590" w:lineRule="exact"/>
        <w:ind w:firstLine="632" w:firstLineChars="200"/>
        <w:textAlignment w:val="auto"/>
        <w:outlineLvl w:val="9"/>
        <w:rPr>
          <w:rFonts w:hint="eastAsia" w:ascii="宋体" w:hAnsi="宋体" w:eastAsia="楷体_GB2312" w:cs="楷体_GB2312"/>
          <w:color w:val="000000"/>
          <w:szCs w:val="32"/>
        </w:rPr>
      </w:pPr>
    </w:p>
    <w:p>
      <w:pPr>
        <w:keepNext w:val="0"/>
        <w:keepLines w:val="0"/>
        <w:pageBreakBefore w:val="0"/>
        <w:widowControl w:val="0"/>
        <w:kinsoku/>
        <w:overflowPunct/>
        <w:topLinePunct w:val="0"/>
        <w:bidi w:val="0"/>
        <w:spacing w:line="590" w:lineRule="exact"/>
        <w:jc w:val="center"/>
        <w:textAlignment w:val="auto"/>
        <w:outlineLvl w:val="9"/>
        <w:rPr>
          <w:rFonts w:hint="eastAsia" w:ascii="楷体_GB2312" w:hAnsi="宋体" w:eastAsia="楷体_GB2312" w:cs="黑体"/>
          <w:szCs w:val="32"/>
        </w:rPr>
      </w:pPr>
      <w:r>
        <w:rPr>
          <w:rFonts w:hint="eastAsia" w:ascii="楷体_GB2312" w:hAnsi="宋体" w:eastAsia="楷体_GB2312" w:cs="黑体"/>
          <w:szCs w:val="32"/>
        </w:rPr>
        <w:t>目    录</w:t>
      </w:r>
    </w:p>
    <w:p>
      <w:pPr>
        <w:keepNext w:val="0"/>
        <w:keepLines w:val="0"/>
        <w:pageBreakBefore w:val="0"/>
        <w:widowControl w:val="0"/>
        <w:kinsoku/>
        <w:overflowPunct/>
        <w:topLinePunct w:val="0"/>
        <w:bidi w:val="0"/>
        <w:spacing w:line="590" w:lineRule="exact"/>
        <w:ind w:firstLine="632" w:firstLineChars="200"/>
        <w:jc w:val="left"/>
        <w:textAlignment w:val="auto"/>
        <w:outlineLvl w:val="9"/>
        <w:rPr>
          <w:rFonts w:ascii="楷体_GB2312" w:hAnsi="宋体" w:eastAsia="楷体_GB2312" w:cs="黑体"/>
          <w:szCs w:val="32"/>
        </w:rPr>
      </w:pPr>
      <w:r>
        <w:rPr>
          <w:rFonts w:hint="eastAsia" w:ascii="楷体_GB2312" w:hAnsi="宋体" w:eastAsia="楷体_GB2312" w:cs="黑体"/>
          <w:szCs w:val="32"/>
        </w:rPr>
        <w:t>第一章  总则</w:t>
      </w:r>
    </w:p>
    <w:p>
      <w:pPr>
        <w:keepNext w:val="0"/>
        <w:keepLines w:val="0"/>
        <w:pageBreakBefore w:val="0"/>
        <w:widowControl w:val="0"/>
        <w:kinsoku/>
        <w:overflowPunct/>
        <w:topLinePunct w:val="0"/>
        <w:bidi w:val="0"/>
        <w:spacing w:line="590" w:lineRule="exact"/>
        <w:ind w:firstLine="632" w:firstLineChars="200"/>
        <w:jc w:val="left"/>
        <w:textAlignment w:val="auto"/>
        <w:outlineLvl w:val="9"/>
        <w:rPr>
          <w:rFonts w:ascii="楷体_GB2312" w:hAnsi="宋体" w:eastAsia="楷体_GB2312" w:cs="黑体"/>
          <w:szCs w:val="32"/>
        </w:rPr>
      </w:pPr>
      <w:r>
        <w:rPr>
          <w:rFonts w:hint="eastAsia" w:ascii="楷体_GB2312" w:hAnsi="宋体" w:eastAsia="楷体_GB2312" w:cs="黑体"/>
          <w:szCs w:val="32"/>
        </w:rPr>
        <w:t>第二章  人才培养开发</w:t>
      </w:r>
    </w:p>
    <w:p>
      <w:pPr>
        <w:keepNext w:val="0"/>
        <w:keepLines w:val="0"/>
        <w:pageBreakBefore w:val="0"/>
        <w:widowControl w:val="0"/>
        <w:kinsoku/>
        <w:overflowPunct/>
        <w:topLinePunct w:val="0"/>
        <w:bidi w:val="0"/>
        <w:spacing w:line="590" w:lineRule="exact"/>
        <w:ind w:firstLine="632" w:firstLineChars="200"/>
        <w:jc w:val="left"/>
        <w:textAlignment w:val="auto"/>
        <w:outlineLvl w:val="9"/>
        <w:rPr>
          <w:rFonts w:ascii="楷体_GB2312" w:hAnsi="宋体" w:eastAsia="楷体_GB2312" w:cs="黑体"/>
          <w:szCs w:val="32"/>
        </w:rPr>
      </w:pPr>
      <w:r>
        <w:rPr>
          <w:rFonts w:hint="eastAsia" w:ascii="楷体_GB2312" w:hAnsi="宋体" w:eastAsia="楷体_GB2312" w:cs="黑体"/>
          <w:szCs w:val="32"/>
        </w:rPr>
        <w:t>第三章  人才引进</w:t>
      </w:r>
      <w:r>
        <w:rPr>
          <w:rFonts w:ascii="楷体_GB2312" w:hAnsi="宋体" w:eastAsia="楷体_GB2312" w:cs="黑体"/>
          <w:szCs w:val="32"/>
        </w:rPr>
        <w:t>与流动</w:t>
      </w:r>
    </w:p>
    <w:p>
      <w:pPr>
        <w:keepNext w:val="0"/>
        <w:keepLines w:val="0"/>
        <w:pageBreakBefore w:val="0"/>
        <w:widowControl w:val="0"/>
        <w:kinsoku/>
        <w:overflowPunct/>
        <w:topLinePunct w:val="0"/>
        <w:bidi w:val="0"/>
        <w:spacing w:line="590" w:lineRule="exact"/>
        <w:ind w:firstLine="632" w:firstLineChars="200"/>
        <w:jc w:val="left"/>
        <w:textAlignment w:val="auto"/>
        <w:outlineLvl w:val="9"/>
        <w:rPr>
          <w:rFonts w:ascii="楷体_GB2312" w:hAnsi="宋体" w:eastAsia="楷体_GB2312" w:cs="黑体"/>
          <w:szCs w:val="32"/>
        </w:rPr>
      </w:pPr>
      <w:r>
        <w:rPr>
          <w:rFonts w:hint="eastAsia" w:ascii="楷体_GB2312" w:hAnsi="宋体" w:eastAsia="楷体_GB2312" w:cs="黑体"/>
          <w:szCs w:val="32"/>
        </w:rPr>
        <w:t>第四章  人才评价</w:t>
      </w:r>
      <w:r>
        <w:rPr>
          <w:rFonts w:ascii="楷体_GB2312" w:hAnsi="宋体" w:eastAsia="楷体_GB2312" w:cs="黑体"/>
          <w:szCs w:val="32"/>
        </w:rPr>
        <w:t>与激励</w:t>
      </w:r>
    </w:p>
    <w:p>
      <w:pPr>
        <w:keepNext w:val="0"/>
        <w:keepLines w:val="0"/>
        <w:pageBreakBefore w:val="0"/>
        <w:widowControl w:val="0"/>
        <w:kinsoku/>
        <w:overflowPunct/>
        <w:topLinePunct w:val="0"/>
        <w:bidi w:val="0"/>
        <w:spacing w:line="590" w:lineRule="exact"/>
        <w:ind w:firstLine="632" w:firstLineChars="200"/>
        <w:jc w:val="left"/>
        <w:textAlignment w:val="auto"/>
        <w:outlineLvl w:val="9"/>
        <w:rPr>
          <w:rFonts w:ascii="楷体_GB2312" w:hAnsi="宋体" w:eastAsia="楷体_GB2312" w:cs="黑体"/>
          <w:szCs w:val="32"/>
        </w:rPr>
      </w:pPr>
      <w:r>
        <w:rPr>
          <w:rFonts w:hint="eastAsia" w:ascii="楷体_GB2312" w:hAnsi="宋体" w:eastAsia="楷体_GB2312" w:cs="黑体"/>
          <w:szCs w:val="32"/>
        </w:rPr>
        <w:t>第五章  人才</w:t>
      </w:r>
      <w:r>
        <w:rPr>
          <w:rFonts w:ascii="楷体_GB2312" w:hAnsi="宋体" w:eastAsia="楷体_GB2312" w:cs="黑体"/>
          <w:szCs w:val="32"/>
        </w:rPr>
        <w:t>服务</w:t>
      </w:r>
      <w:r>
        <w:rPr>
          <w:rFonts w:hint="eastAsia" w:ascii="楷体_GB2312" w:hAnsi="宋体" w:eastAsia="楷体_GB2312" w:cs="黑体"/>
          <w:szCs w:val="32"/>
        </w:rPr>
        <w:t>与保障</w:t>
      </w:r>
    </w:p>
    <w:p>
      <w:pPr>
        <w:keepNext w:val="0"/>
        <w:keepLines w:val="0"/>
        <w:pageBreakBefore w:val="0"/>
        <w:widowControl w:val="0"/>
        <w:kinsoku/>
        <w:overflowPunct/>
        <w:topLinePunct w:val="0"/>
        <w:bidi w:val="0"/>
        <w:spacing w:line="590" w:lineRule="exact"/>
        <w:ind w:firstLine="632" w:firstLineChars="200"/>
        <w:jc w:val="left"/>
        <w:textAlignment w:val="auto"/>
        <w:outlineLvl w:val="9"/>
        <w:rPr>
          <w:rFonts w:hint="eastAsia" w:ascii="楷体_GB2312" w:hAnsi="宋体" w:eastAsia="楷体_GB2312" w:cs="黑体"/>
          <w:szCs w:val="32"/>
        </w:rPr>
      </w:pPr>
      <w:r>
        <w:rPr>
          <w:rFonts w:hint="eastAsia" w:ascii="楷体_GB2312" w:hAnsi="宋体" w:eastAsia="楷体_GB2312" w:cs="黑体"/>
          <w:szCs w:val="32"/>
        </w:rPr>
        <w:t>第六章  附则</w:t>
      </w:r>
    </w:p>
    <w:p>
      <w:pPr>
        <w:keepNext w:val="0"/>
        <w:keepLines w:val="0"/>
        <w:pageBreakBefore w:val="0"/>
        <w:widowControl w:val="0"/>
        <w:kinsoku/>
        <w:overflowPunct/>
        <w:topLinePunct w:val="0"/>
        <w:bidi w:val="0"/>
        <w:spacing w:line="590" w:lineRule="exact"/>
        <w:jc w:val="center"/>
        <w:textAlignment w:val="auto"/>
        <w:outlineLvl w:val="9"/>
        <w:rPr>
          <w:rFonts w:ascii="宋体" w:hAnsi="宋体" w:eastAsia="黑体" w:cs="黑体"/>
          <w:szCs w:val="32"/>
        </w:rPr>
      </w:pPr>
    </w:p>
    <w:p>
      <w:pPr>
        <w:keepNext w:val="0"/>
        <w:keepLines w:val="0"/>
        <w:pageBreakBefore w:val="0"/>
        <w:widowControl w:val="0"/>
        <w:kinsoku/>
        <w:overflowPunct/>
        <w:topLinePunct w:val="0"/>
        <w:bidi w:val="0"/>
        <w:spacing w:line="590" w:lineRule="exact"/>
        <w:jc w:val="center"/>
        <w:textAlignment w:val="auto"/>
        <w:outlineLvl w:val="9"/>
        <w:rPr>
          <w:rFonts w:ascii="宋体" w:hAnsi="宋体" w:eastAsia="黑体" w:cs="黑体"/>
          <w:szCs w:val="32"/>
        </w:rPr>
      </w:pPr>
      <w:r>
        <w:rPr>
          <w:rFonts w:hint="eastAsia" w:ascii="宋体" w:hAnsi="宋体" w:eastAsia="黑体" w:cs="黑体"/>
          <w:szCs w:val="32"/>
        </w:rPr>
        <w:t>第一章  总则</w:t>
      </w:r>
    </w:p>
    <w:p>
      <w:pPr>
        <w:keepNext w:val="0"/>
        <w:keepLines w:val="0"/>
        <w:pageBreakBefore w:val="0"/>
        <w:widowControl w:val="0"/>
        <w:kinsoku/>
        <w:overflowPunct/>
        <w:topLinePunct w:val="0"/>
        <w:bidi w:val="0"/>
        <w:spacing w:line="590" w:lineRule="exact"/>
        <w:jc w:val="center"/>
        <w:textAlignment w:val="auto"/>
        <w:outlineLvl w:val="9"/>
        <w:rPr>
          <w:rFonts w:ascii="宋体" w:hAnsi="宋体"/>
          <w:szCs w:val="32"/>
        </w:rPr>
      </w:pP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第一条</w:t>
      </w:r>
      <w:r>
        <w:rPr>
          <w:rFonts w:hint="eastAsia" w:ascii="宋体" w:hAnsi="宋体"/>
          <w:szCs w:val="32"/>
        </w:rPr>
        <w:t xml:space="preserve">  为了</w:t>
      </w:r>
      <w:r>
        <w:rPr>
          <w:rFonts w:hint="eastAsia" w:ascii="宋体" w:hAnsi="宋体"/>
          <w:iCs/>
          <w:szCs w:val="32"/>
        </w:rPr>
        <w:t>集</w:t>
      </w:r>
      <w:r>
        <w:rPr>
          <w:rFonts w:hint="eastAsia" w:ascii="宋体" w:hAnsi="宋体"/>
          <w:szCs w:val="32"/>
        </w:rPr>
        <w:t>聚爱国奉献的</w:t>
      </w:r>
      <w:r>
        <w:rPr>
          <w:rFonts w:hint="eastAsia" w:ascii="宋体" w:hAnsi="宋体"/>
          <w:iCs/>
          <w:szCs w:val="32"/>
        </w:rPr>
        <w:t>各方面优秀人才，</w:t>
      </w:r>
      <w:r>
        <w:rPr>
          <w:rFonts w:hint="eastAsia" w:ascii="宋体" w:hAnsi="宋体"/>
          <w:szCs w:val="32"/>
        </w:rPr>
        <w:t>促进人才发展，建设人才强省，引领经济社会发展，根据有关法律法规，结合本省实际，制定本条例。</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第二条</w:t>
      </w:r>
      <w:r>
        <w:rPr>
          <w:rFonts w:hint="eastAsia" w:ascii="宋体" w:hAnsi="宋体"/>
          <w:szCs w:val="32"/>
        </w:rPr>
        <w:t xml:space="preserve">  本条例适用于本省行政区域内的人才培养、开发、引进、流动、评价、激励、服务、保障等工作。</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本条例所称人才，是指具有一定的专业知识或者专门技能，进行创造性劳动并对社会作出贡献的人，是人力资源中能力和素质较高的劳动者。</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第三条 </w:t>
      </w:r>
      <w:r>
        <w:rPr>
          <w:rFonts w:hint="eastAsia" w:ascii="宋体" w:hAnsi="宋体"/>
          <w:szCs w:val="32"/>
        </w:rPr>
        <w:t xml:space="preserve"> 人才工作应当坚持党管人才、服务发展大局、突出市场导向、体现分类施策、扩大人才开放的原则。</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第四条</w:t>
      </w:r>
      <w:r>
        <w:rPr>
          <w:rFonts w:hint="eastAsia" w:ascii="宋体" w:hAnsi="宋体"/>
          <w:szCs w:val="32"/>
        </w:rPr>
        <w:t xml:space="preserve">  县级以上人民政府应当将人才工作纳入国民经济和社会发展规划，编制人才发展专项规划，并将人才发展列入经济社会发展综合评价指标。</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产业、科技、教育、文化、卫生等专项规划和各类重大科研或者工程项目立项论证，应当将人才发展作为重要内容。</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第五条 </w:t>
      </w:r>
      <w:r>
        <w:rPr>
          <w:rFonts w:hint="eastAsia" w:ascii="宋体" w:hAnsi="宋体"/>
          <w:szCs w:val="32"/>
        </w:rPr>
        <w:t xml:space="preserve"> 省、市、县（市、区）人才工作综合主管部门负责本行政区域内人才工作和人才队伍建设的统筹协调、宏观指导和督促检查，组织实施重大人才政策和人才工程。</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省、市、县（市、区）人民政府有关部门按照各自职责，加强</w:t>
      </w:r>
      <w:r>
        <w:rPr>
          <w:rFonts w:ascii="宋体" w:hAnsi="宋体"/>
          <w:szCs w:val="32"/>
        </w:rPr>
        <w:t>人才服务保障，</w:t>
      </w:r>
      <w:r>
        <w:rPr>
          <w:rFonts w:hint="eastAsia" w:ascii="宋体" w:hAnsi="宋体"/>
          <w:szCs w:val="32"/>
        </w:rPr>
        <w:t>做好有关人才工作和本行业系统内的人才队伍建设。</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第六条</w:t>
      </w:r>
      <w:r>
        <w:rPr>
          <w:rFonts w:hint="eastAsia" w:ascii="宋体" w:hAnsi="宋体"/>
          <w:szCs w:val="32"/>
        </w:rPr>
        <w:t xml:space="preserve">  工会、共</w:t>
      </w:r>
      <w:r>
        <w:rPr>
          <w:rFonts w:hint="eastAsia" w:ascii="宋体" w:hAnsi="宋体"/>
          <w:iCs/>
          <w:szCs w:val="32"/>
        </w:rPr>
        <w:t>产主义</w:t>
      </w:r>
      <w:r>
        <w:rPr>
          <w:rFonts w:hint="eastAsia" w:ascii="宋体" w:hAnsi="宋体"/>
          <w:szCs w:val="32"/>
        </w:rPr>
        <w:t>青</w:t>
      </w:r>
      <w:r>
        <w:rPr>
          <w:rFonts w:hint="eastAsia" w:ascii="宋体" w:hAnsi="宋体"/>
          <w:iCs/>
          <w:szCs w:val="32"/>
        </w:rPr>
        <w:t>年</w:t>
      </w:r>
      <w:r>
        <w:rPr>
          <w:rFonts w:hint="eastAsia" w:ascii="宋体" w:hAnsi="宋体"/>
          <w:szCs w:val="32"/>
        </w:rPr>
        <w:t>团、妇</w:t>
      </w:r>
      <w:r>
        <w:rPr>
          <w:rFonts w:hint="eastAsia" w:ascii="宋体" w:hAnsi="宋体"/>
          <w:iCs/>
          <w:szCs w:val="32"/>
        </w:rPr>
        <w:t>女</w:t>
      </w:r>
      <w:r>
        <w:rPr>
          <w:rFonts w:hint="eastAsia" w:ascii="宋体" w:hAnsi="宋体"/>
          <w:szCs w:val="32"/>
        </w:rPr>
        <w:t>联</w:t>
      </w:r>
      <w:r>
        <w:rPr>
          <w:rFonts w:hint="eastAsia" w:ascii="宋体" w:hAnsi="宋体"/>
          <w:iCs/>
          <w:szCs w:val="32"/>
        </w:rPr>
        <w:t>合会</w:t>
      </w:r>
      <w:r>
        <w:rPr>
          <w:rFonts w:hint="eastAsia" w:ascii="宋体" w:hAnsi="宋体"/>
          <w:szCs w:val="32"/>
        </w:rPr>
        <w:t>、工商</w:t>
      </w:r>
      <w:r>
        <w:rPr>
          <w:rFonts w:hint="eastAsia" w:ascii="宋体" w:hAnsi="宋体"/>
          <w:iCs/>
          <w:szCs w:val="32"/>
        </w:rPr>
        <w:t>业</w:t>
      </w:r>
      <w:r>
        <w:rPr>
          <w:rFonts w:hint="eastAsia" w:ascii="宋体" w:hAnsi="宋体"/>
          <w:szCs w:val="32"/>
        </w:rPr>
        <w:t>联</w:t>
      </w:r>
      <w:r>
        <w:rPr>
          <w:rFonts w:hint="eastAsia" w:ascii="宋体" w:hAnsi="宋体"/>
          <w:iCs/>
          <w:szCs w:val="32"/>
        </w:rPr>
        <w:t>合会</w:t>
      </w:r>
      <w:r>
        <w:rPr>
          <w:rFonts w:hint="eastAsia" w:ascii="宋体" w:hAnsi="宋体"/>
          <w:szCs w:val="32"/>
        </w:rPr>
        <w:t>、科</w:t>
      </w:r>
      <w:r>
        <w:rPr>
          <w:rFonts w:hint="eastAsia" w:ascii="宋体" w:hAnsi="宋体"/>
          <w:iCs/>
          <w:szCs w:val="32"/>
        </w:rPr>
        <w:t>学技术</w:t>
      </w:r>
      <w:r>
        <w:rPr>
          <w:rFonts w:hint="eastAsia" w:ascii="宋体" w:hAnsi="宋体"/>
          <w:szCs w:val="32"/>
        </w:rPr>
        <w:t>协会、社会科学界联合会、文学艺术界联合会等人民团体应当发挥自身优势，联系服务各类人才，开展相关领域的人才工作。</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鼓励支持各类人才培训机构、中介机构以及从事国际人才交流的民间机构等社会组织，为人才提供个性化和多样化服务。</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第七条 </w:t>
      </w:r>
      <w:r>
        <w:rPr>
          <w:rFonts w:hint="eastAsia" w:ascii="宋体" w:hAnsi="宋体"/>
          <w:szCs w:val="32"/>
        </w:rPr>
        <w:t xml:space="preserve"> 县级以上人民政府应当将人才发展资金纳入本级财政预算，用于促进人才发展。</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第八条 </w:t>
      </w:r>
      <w:r>
        <w:rPr>
          <w:rFonts w:hint="eastAsia" w:ascii="宋体" w:hAnsi="宋体"/>
          <w:szCs w:val="32"/>
        </w:rPr>
        <w:t xml:space="preserve"> 支持广州南沙新区、深圳前海合作区、珠海横琴新区作为全国人才管理改革试验区先行先试，创造可复制推广的经验。</w:t>
      </w:r>
    </w:p>
    <w:p>
      <w:pPr>
        <w:keepNext w:val="0"/>
        <w:keepLines w:val="0"/>
        <w:pageBreakBefore w:val="0"/>
        <w:widowControl w:val="0"/>
        <w:kinsoku/>
        <w:overflowPunct/>
        <w:topLinePunct w:val="0"/>
        <w:bidi w:val="0"/>
        <w:spacing w:line="590" w:lineRule="exact"/>
        <w:ind w:firstLine="200"/>
        <w:jc w:val="center"/>
        <w:textAlignment w:val="auto"/>
        <w:outlineLvl w:val="9"/>
        <w:rPr>
          <w:rFonts w:ascii="宋体" w:hAnsi="宋体"/>
          <w:szCs w:val="32"/>
        </w:rPr>
      </w:pPr>
    </w:p>
    <w:p>
      <w:pPr>
        <w:keepNext w:val="0"/>
        <w:keepLines w:val="0"/>
        <w:pageBreakBefore w:val="0"/>
        <w:widowControl w:val="0"/>
        <w:kinsoku/>
        <w:overflowPunct/>
        <w:topLinePunct w:val="0"/>
        <w:bidi w:val="0"/>
        <w:spacing w:line="590" w:lineRule="exact"/>
        <w:jc w:val="center"/>
        <w:textAlignment w:val="auto"/>
        <w:outlineLvl w:val="9"/>
        <w:rPr>
          <w:rFonts w:ascii="宋体" w:hAnsi="宋体" w:eastAsia="黑体" w:cs="黑体"/>
          <w:color w:val="000000"/>
          <w:szCs w:val="21"/>
        </w:rPr>
      </w:pPr>
      <w:r>
        <w:rPr>
          <w:rFonts w:hint="eastAsia" w:ascii="宋体" w:hAnsi="宋体" w:eastAsia="黑体" w:cs="黑体"/>
          <w:color w:val="000000"/>
          <w:szCs w:val="21"/>
        </w:rPr>
        <w:t>第二章  人才培养开发</w:t>
      </w:r>
    </w:p>
    <w:p>
      <w:pPr>
        <w:keepNext w:val="0"/>
        <w:keepLines w:val="0"/>
        <w:pageBreakBefore w:val="0"/>
        <w:widowControl w:val="0"/>
        <w:kinsoku/>
        <w:overflowPunct/>
        <w:topLinePunct w:val="0"/>
        <w:bidi w:val="0"/>
        <w:spacing w:line="590" w:lineRule="exact"/>
        <w:ind w:firstLine="200"/>
        <w:jc w:val="center"/>
        <w:textAlignment w:val="auto"/>
        <w:outlineLvl w:val="9"/>
        <w:rPr>
          <w:rFonts w:ascii="宋体" w:hAnsi="宋体"/>
          <w:szCs w:val="32"/>
        </w:rPr>
      </w:pP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第九条</w:t>
      </w:r>
      <w:r>
        <w:rPr>
          <w:rFonts w:hint="eastAsia" w:ascii="宋体" w:hAnsi="宋体"/>
          <w:szCs w:val="32"/>
        </w:rPr>
        <w:t xml:space="preserve">  人才培养开发应当遵循人才成长规律，坚持德才兼备，培养科学精神，提升综合素质，提高技术技能水平和创新创业能力。</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第十条 </w:t>
      </w:r>
      <w:r>
        <w:rPr>
          <w:rFonts w:hint="eastAsia" w:ascii="宋体" w:hAnsi="宋体"/>
          <w:szCs w:val="32"/>
        </w:rPr>
        <w:t xml:space="preserve"> 县级以上人民政府应当发展教育事业，提高教育水平，培养德智体美劳全面发展的社会主义建设者和接班人。</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中小学校应当注重激发学生的科学兴趣和创新意识，加强科学方法的训练，培养学生的创新能力。</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支持高等学校分类发展，实施高等学校提升计划，加强一流大学和一流学科建设，构建高水平人才培养体系。</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鼓励社会力量以独资、合资、合作等方式，依法举办职业学校和技工学校。</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鼓励国内外优质教育资源依法在本省合作建设特色学科、学校和研究平台。</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第十一条</w:t>
      </w:r>
      <w:r>
        <w:rPr>
          <w:rFonts w:hint="eastAsia" w:ascii="宋体" w:hAnsi="宋体"/>
          <w:szCs w:val="32"/>
        </w:rPr>
        <w:t xml:space="preserve">  鼓励本省高等学校建立教育人才共享机制，在保留人事关系的基础上，选派优秀教育人才对口支持粤东粤西粤北地区高等学校发展建设。</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第十二条</w:t>
      </w:r>
      <w:r>
        <w:rPr>
          <w:rFonts w:hint="eastAsia" w:ascii="宋体" w:hAnsi="宋体"/>
          <w:szCs w:val="32"/>
        </w:rPr>
        <w:t xml:space="preserve">  县级以上人民政府应当支持科研平台建设，促进科技人才培养。</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支持有条件的地区建设重大科技基础设施，形成大科学装置集群。鼓励科研设施和仪器设备等创新资源开放共享。</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支持高等学校、科研机构以及其他企业事业组织</w:t>
      </w:r>
      <w:r>
        <w:rPr>
          <w:rFonts w:hint="eastAsia" w:ascii="宋体" w:hAnsi="宋体"/>
          <w:kern w:val="0"/>
          <w:szCs w:val="32"/>
        </w:rPr>
        <w:t>建设国家</w:t>
      </w:r>
      <w:r>
        <w:rPr>
          <w:rFonts w:hint="eastAsia" w:ascii="宋体" w:hAnsi="宋体"/>
          <w:szCs w:val="32"/>
        </w:rPr>
        <w:t>实验室</w:t>
      </w:r>
      <w:r>
        <w:rPr>
          <w:rFonts w:hint="eastAsia" w:ascii="宋体" w:hAnsi="宋体"/>
          <w:kern w:val="0"/>
          <w:szCs w:val="32"/>
        </w:rPr>
        <w:t>、</w:t>
      </w:r>
      <w:r>
        <w:rPr>
          <w:rFonts w:hint="eastAsia" w:ascii="宋体" w:hAnsi="宋体"/>
          <w:szCs w:val="32"/>
        </w:rPr>
        <w:t>国家重点实验室和</w:t>
      </w:r>
      <w:r>
        <w:rPr>
          <w:rFonts w:hint="eastAsia" w:ascii="宋体" w:hAnsi="宋体"/>
          <w:kern w:val="0"/>
          <w:szCs w:val="32"/>
        </w:rPr>
        <w:t>省实验室，</w:t>
      </w:r>
      <w:r>
        <w:rPr>
          <w:rFonts w:hint="eastAsia" w:ascii="宋体" w:hAnsi="宋体"/>
          <w:szCs w:val="32"/>
        </w:rPr>
        <w:t>设立院士专家工作站、工程技术研究中心等科研平台。</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支持企业与高等学校、科研机构共同建设创新联盟、企业工程技术中心、科技成果转化和技术孵化基地，共同承担国家重大项目、开展科研攻关、培养科研人才。</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高等学校、科研院所以及其他企业事业组织可以依法享受进口科技研发设备、教学科研用品免税政策。</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第十三条</w:t>
      </w:r>
      <w:r>
        <w:rPr>
          <w:rFonts w:hint="eastAsia" w:ascii="宋体" w:hAnsi="宋体"/>
          <w:szCs w:val="32"/>
        </w:rPr>
        <w:t xml:space="preserve">  实施高层次人才特殊支持计划，培养开发自然科学、工程技术和哲学社会科学等领域的杰出人才、领军人才和青年拔尖人才。</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第十四条  </w:t>
      </w:r>
      <w:r>
        <w:rPr>
          <w:rFonts w:hint="eastAsia" w:ascii="宋体" w:hAnsi="宋体"/>
          <w:szCs w:val="32"/>
        </w:rPr>
        <w:t>县级以上人民政府应当加强产业人才需求预测，统筹产业发展和人才培养开发，加强重点行业、重要领域、战略性新兴产业人才培养开发。</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第十五条</w:t>
      </w:r>
      <w:r>
        <w:rPr>
          <w:rFonts w:hint="eastAsia" w:ascii="宋体" w:hAnsi="宋体"/>
          <w:szCs w:val="32"/>
        </w:rPr>
        <w:t xml:space="preserve">  鼓励高等学校、科研机构以及其他企业事业组织培养科技人才和创新团队。</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对从事基础研究、前沿技术研究的优秀人才，省人民政府应当给予长期稳定支持。</w:t>
      </w:r>
    </w:p>
    <w:p>
      <w:pPr>
        <w:keepNext w:val="0"/>
        <w:keepLines w:val="0"/>
        <w:pageBreakBefore w:val="0"/>
        <w:widowControl w:val="0"/>
        <w:kinsoku/>
        <w:overflowPunct/>
        <w:topLinePunct w:val="0"/>
        <w:autoSpaceDE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第十六条</w:t>
      </w:r>
      <w:r>
        <w:rPr>
          <w:rFonts w:hint="eastAsia" w:ascii="宋体" w:hAnsi="宋体"/>
          <w:szCs w:val="32"/>
        </w:rPr>
        <w:t xml:space="preserve">  县级以上人民政府应当建立常态化的企业经营管理人才培训机制，培养优秀企业家和职业经理人。</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第十七条</w:t>
      </w:r>
      <w:r>
        <w:rPr>
          <w:rFonts w:hint="eastAsia" w:ascii="宋体" w:hAnsi="宋体"/>
          <w:szCs w:val="32"/>
        </w:rPr>
        <w:t xml:space="preserve">  支持设立技能大师工作室、技师工作站、劳模和工匠人才创新工作室等技能人才培养平台，支持职业学校、技工学校与企业联合培养技术技能人才。</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开展南粤技术能手奖评选表彰，鼓励支持企业事业组织开展技术技能类竞赛、交流等活动，促进技术技能人才培养开发。</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第十八条</w:t>
      </w:r>
      <w:r>
        <w:rPr>
          <w:rFonts w:hint="eastAsia" w:ascii="宋体" w:hAnsi="宋体"/>
          <w:szCs w:val="32"/>
        </w:rPr>
        <w:t xml:space="preserve">  县级以上人民政府应当建立健全农村实用人才培训体系，培养开发服务农村经济社会发展的科技、教育、文化、卫生等方面的人才和农民企业家、农村基层管理人才、种养能手等农村实用人才。</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鼓励高等学校、科研机构与市、县共建培训基地，与农业企业共建研究院，开展各类新型职业农民培训。</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第十九条 </w:t>
      </w:r>
      <w:r>
        <w:rPr>
          <w:rFonts w:hint="eastAsia" w:ascii="宋体" w:hAnsi="宋体"/>
          <w:szCs w:val="32"/>
        </w:rPr>
        <w:t xml:space="preserve"> 县级以上人民政府应当加强教育、卫生健康、社会工作、法治、知识产权、金融、应急管理、宣传思想文化等领域的人才培养开发。</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第二十条 </w:t>
      </w:r>
      <w:r>
        <w:rPr>
          <w:rFonts w:hint="eastAsia" w:ascii="宋体" w:hAnsi="宋体"/>
          <w:szCs w:val="32"/>
        </w:rPr>
        <w:t xml:space="preserve"> 县级以上人民政府实施的各类人才工程应当安排一定比例名额，用于支持青年人才培养开发。</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实施青年博士普惠性支持政策，支持博士后科研流动站、科研工作站、创新实践基地和博士工作站建设，资助优秀青年博士到境外开展博士后研究、短期培训、学术交流、访问进修、合作研究等活动。</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第二十一条 </w:t>
      </w:r>
      <w:r>
        <w:rPr>
          <w:rFonts w:hint="eastAsia" w:ascii="宋体" w:hAnsi="宋体"/>
          <w:szCs w:val="32"/>
        </w:rPr>
        <w:t xml:space="preserve"> 省人民政府和珠江三角洲地级以上市人民政府应当加强对粤东粤西粤北地区各类人才培养开发的支持和帮扶，通过短期业务培训、中长期专业培训、定向培养、继续教育、访问进修、跟班学习、实践训练、挂职锻炼等多种形式，提升粤东粤西粤北地区人才专业知识和技术技能水平。</w:t>
      </w:r>
    </w:p>
    <w:p>
      <w:pPr>
        <w:keepNext w:val="0"/>
        <w:keepLines w:val="0"/>
        <w:pageBreakBefore w:val="0"/>
        <w:widowControl w:val="0"/>
        <w:kinsoku/>
        <w:overflowPunct/>
        <w:topLinePunct w:val="0"/>
        <w:bidi w:val="0"/>
        <w:spacing w:line="590" w:lineRule="exact"/>
        <w:jc w:val="center"/>
        <w:textAlignment w:val="auto"/>
        <w:outlineLvl w:val="9"/>
        <w:rPr>
          <w:rFonts w:ascii="宋体" w:hAnsi="宋体" w:cs="黑体"/>
          <w:szCs w:val="32"/>
        </w:rPr>
      </w:pPr>
    </w:p>
    <w:p>
      <w:pPr>
        <w:keepNext w:val="0"/>
        <w:keepLines w:val="0"/>
        <w:pageBreakBefore w:val="0"/>
        <w:widowControl w:val="0"/>
        <w:kinsoku/>
        <w:overflowPunct/>
        <w:topLinePunct w:val="0"/>
        <w:bidi w:val="0"/>
        <w:spacing w:line="590" w:lineRule="exact"/>
        <w:jc w:val="center"/>
        <w:textAlignment w:val="auto"/>
        <w:outlineLvl w:val="9"/>
        <w:rPr>
          <w:rFonts w:ascii="宋体" w:hAnsi="宋体" w:eastAsia="黑体" w:cs="黑体"/>
          <w:szCs w:val="32"/>
        </w:rPr>
      </w:pPr>
      <w:r>
        <w:rPr>
          <w:rFonts w:hint="eastAsia" w:ascii="宋体" w:hAnsi="宋体" w:eastAsia="黑体" w:cs="黑体"/>
          <w:szCs w:val="32"/>
        </w:rPr>
        <w:t>第三章</w:t>
      </w:r>
      <w:r>
        <w:rPr>
          <w:rFonts w:ascii="宋体" w:hAnsi="宋体" w:eastAsia="黑体" w:cs="黑体"/>
          <w:szCs w:val="32"/>
        </w:rPr>
        <w:t xml:space="preserve">  </w:t>
      </w:r>
      <w:r>
        <w:rPr>
          <w:rFonts w:hint="eastAsia" w:ascii="宋体" w:hAnsi="宋体" w:eastAsia="黑体" w:cs="黑体"/>
          <w:szCs w:val="32"/>
        </w:rPr>
        <w:t>人才引进与流动</w:t>
      </w:r>
    </w:p>
    <w:p>
      <w:pPr>
        <w:keepNext w:val="0"/>
        <w:keepLines w:val="0"/>
        <w:pageBreakBefore w:val="0"/>
        <w:widowControl w:val="0"/>
        <w:kinsoku/>
        <w:overflowPunct/>
        <w:topLinePunct w:val="0"/>
        <w:bidi w:val="0"/>
        <w:spacing w:line="590" w:lineRule="exact"/>
        <w:ind w:firstLine="200"/>
        <w:textAlignment w:val="auto"/>
        <w:outlineLvl w:val="9"/>
        <w:rPr>
          <w:rFonts w:ascii="宋体" w:hAnsi="宋体"/>
          <w:szCs w:val="32"/>
        </w:rPr>
      </w:pP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第二十二条</w:t>
      </w:r>
      <w:r>
        <w:rPr>
          <w:rFonts w:hint="eastAsia" w:ascii="宋体" w:hAnsi="宋体"/>
          <w:szCs w:val="32"/>
        </w:rPr>
        <w:t xml:space="preserve">  人才引进应当以经济社会发展需求为导向，优先引进高层次创新型科技人才和紧缺急需人才。</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人才流动应当破除所有制、地域、行业等制约，促进人才资源有效配置，提高人才使用效益。</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第二十三条</w:t>
      </w:r>
      <w:r>
        <w:rPr>
          <w:rFonts w:hint="eastAsia" w:ascii="宋体" w:hAnsi="宋体"/>
          <w:szCs w:val="32"/>
        </w:rPr>
        <w:t xml:space="preserve">  县级以上人民政府应当结合当地发展需求，开展人才引进工作。</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实施珠江人才计划，引进高水平创新创业团队、战略科学家、科技领军人才、企业经营管理人才、金融人才、青年拔尖人才以及其他紧缺急需人才。</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对引进战略科学家和具有颠覆性技术的创新创业团队，可以在引进程序和支持政策等方面一事一议，给予支持。</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支持用人单位引进中华技能大奖、全国技术能手、世界技能大赛优胜奖以上获得者，以及紧缺急需的高级技师、技师。</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第二十四条</w:t>
      </w:r>
      <w:r>
        <w:rPr>
          <w:rFonts w:hint="eastAsia" w:ascii="宋体" w:hAnsi="宋体"/>
          <w:szCs w:val="32"/>
        </w:rPr>
        <w:t xml:space="preserve">  鼓励社会力量通过举办各类国际人才交流会和高新技术成果交易会等形式参与人才引进。鼓励人才中介服务机构举荐人才。</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kern w:val="0"/>
          <w:szCs w:val="32"/>
        </w:rPr>
      </w:pPr>
      <w:r>
        <w:rPr>
          <w:rFonts w:hint="eastAsia" w:ascii="宋体" w:hAnsi="宋体" w:eastAsia="黑体" w:cs="黑体"/>
          <w:color w:val="000000"/>
          <w:szCs w:val="21"/>
        </w:rPr>
        <w:t>第二十五条</w:t>
      </w:r>
      <w:r>
        <w:rPr>
          <w:rFonts w:hint="eastAsia" w:ascii="宋体" w:hAnsi="宋体"/>
          <w:szCs w:val="32"/>
        </w:rPr>
        <w:t xml:space="preserve">  县级以上人民政府应当支</w:t>
      </w:r>
      <w:r>
        <w:rPr>
          <w:rFonts w:hint="eastAsia" w:ascii="宋体" w:hAnsi="宋体"/>
          <w:kern w:val="0"/>
          <w:szCs w:val="32"/>
        </w:rPr>
        <w:t>持高层次人才来粤短期工作服务。</w:t>
      </w:r>
      <w:r>
        <w:rPr>
          <w:rFonts w:hint="eastAsia" w:ascii="宋体" w:hAnsi="宋体"/>
          <w:szCs w:val="32"/>
        </w:rPr>
        <w:t>外国专家</w:t>
      </w:r>
      <w:r>
        <w:rPr>
          <w:rFonts w:hint="eastAsia" w:ascii="宋体" w:hAnsi="宋体"/>
          <w:kern w:val="0"/>
          <w:szCs w:val="32"/>
        </w:rPr>
        <w:t>短期来粤工作的，</w:t>
      </w:r>
      <w:r>
        <w:rPr>
          <w:rFonts w:hint="eastAsia" w:ascii="宋体" w:hAnsi="宋体"/>
          <w:szCs w:val="32"/>
        </w:rPr>
        <w:t>按照有关规定可以</w:t>
      </w:r>
      <w:r>
        <w:rPr>
          <w:rFonts w:hint="eastAsia" w:ascii="宋体" w:hAnsi="宋体"/>
          <w:kern w:val="0"/>
          <w:szCs w:val="32"/>
        </w:rPr>
        <w:t>免办工作许可手续。</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kern w:val="0"/>
          <w:szCs w:val="32"/>
        </w:rPr>
      </w:pPr>
      <w:r>
        <w:rPr>
          <w:rFonts w:hint="eastAsia" w:ascii="宋体" w:hAnsi="宋体"/>
          <w:szCs w:val="32"/>
        </w:rPr>
        <w:t>鼓励高等学校、科研机构以及其他企业事业组织</w:t>
      </w:r>
      <w:r>
        <w:rPr>
          <w:rFonts w:hint="eastAsia" w:ascii="宋体" w:hAnsi="宋体"/>
          <w:kern w:val="0"/>
          <w:szCs w:val="32"/>
        </w:rPr>
        <w:t>面向全球有奖征集原创思想和</w:t>
      </w:r>
      <w:r>
        <w:rPr>
          <w:rFonts w:hint="eastAsia" w:ascii="宋体" w:hAnsi="宋体"/>
          <w:szCs w:val="32"/>
        </w:rPr>
        <w:t>技术</w:t>
      </w:r>
      <w:r>
        <w:rPr>
          <w:rFonts w:hint="eastAsia" w:ascii="宋体" w:hAnsi="宋体"/>
          <w:kern w:val="0"/>
          <w:szCs w:val="32"/>
        </w:rPr>
        <w:t>方案。</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kern w:val="0"/>
          <w:szCs w:val="32"/>
        </w:rPr>
        <w:t>支持企业在境外设立研发中心、分支</w:t>
      </w:r>
      <w:r>
        <w:rPr>
          <w:rFonts w:hint="eastAsia" w:ascii="宋体" w:hAnsi="宋体"/>
          <w:szCs w:val="32"/>
        </w:rPr>
        <w:t>机构，鼓励有条件的地区建立境外人才离岸创新创业基地。</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第二十六条</w:t>
      </w:r>
      <w:r>
        <w:rPr>
          <w:rFonts w:hint="eastAsia" w:ascii="宋体" w:hAnsi="宋体"/>
          <w:szCs w:val="32"/>
        </w:rPr>
        <w:t xml:space="preserve">  出入境管理部门应当对符合条件的外籍高层次人才和高技能人才，在申请永久居留、办理人才签证、聘雇外籍家政服务人员等方面提供便利。</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第二十七条</w:t>
      </w:r>
      <w:r>
        <w:rPr>
          <w:rFonts w:hint="eastAsia" w:ascii="宋体" w:hAnsi="宋体"/>
          <w:szCs w:val="32"/>
        </w:rPr>
        <w:t xml:space="preserve">  地级以上市人民政府应当推进人事档案管理服务信息化建设，健全社会保险关系转移接续办法，优化高层次人才、高技能人才、紧缺急需人才及其家属落户程序，为人才跨地区、跨行业流动提供便利。</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第二十八条 </w:t>
      </w:r>
      <w:r>
        <w:rPr>
          <w:rFonts w:hint="eastAsia" w:ascii="宋体" w:hAnsi="宋体"/>
          <w:szCs w:val="32"/>
        </w:rPr>
        <w:t xml:space="preserve"> 县级以上人民政府可以按照有关规定，制定具体措施，吸引非公有制经济组织和社会组织中的优秀人才进入国家机关、国有企业事业单位。</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kern w:val="0"/>
          <w:szCs w:val="32"/>
        </w:rPr>
      </w:pPr>
      <w:r>
        <w:rPr>
          <w:rFonts w:hint="eastAsia" w:ascii="宋体" w:hAnsi="宋体" w:eastAsia="黑体" w:cs="黑体"/>
          <w:color w:val="000000"/>
          <w:szCs w:val="21"/>
        </w:rPr>
        <w:t>第二十九条</w:t>
      </w:r>
      <w:r>
        <w:rPr>
          <w:rFonts w:hint="eastAsia" w:ascii="宋体" w:hAnsi="宋体"/>
          <w:szCs w:val="32"/>
        </w:rPr>
        <w:t xml:space="preserve">  高等学校、科研机构的科技人员</w:t>
      </w:r>
      <w:r>
        <w:rPr>
          <w:rFonts w:hint="eastAsia" w:ascii="宋体" w:hAnsi="宋体"/>
          <w:kern w:val="0"/>
          <w:szCs w:val="32"/>
        </w:rPr>
        <w:t>可以按照有关规定，由本人提出书面申请，</w:t>
      </w:r>
      <w:r>
        <w:rPr>
          <w:rFonts w:hint="eastAsia" w:ascii="宋体" w:hAnsi="宋体"/>
          <w:szCs w:val="32"/>
        </w:rPr>
        <w:t>经所在单位同意，在规定期限内离岗或者兼职创办科技型企业</w:t>
      </w:r>
      <w:r>
        <w:rPr>
          <w:rFonts w:hint="eastAsia" w:ascii="宋体" w:hAnsi="宋体"/>
          <w:kern w:val="0"/>
          <w:szCs w:val="32"/>
        </w:rPr>
        <w:t>，离岗期间保留人事关系。</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kern w:val="0"/>
          <w:szCs w:val="32"/>
        </w:rPr>
      </w:pPr>
      <w:r>
        <w:rPr>
          <w:rFonts w:hint="eastAsia" w:ascii="宋体" w:hAnsi="宋体"/>
          <w:kern w:val="0"/>
          <w:szCs w:val="32"/>
        </w:rPr>
        <w:t>高等学校、科研机构的科技人员经所在单位同意，可以在科技型企业兼职并按规定获得报酬。高等学校、科研</w:t>
      </w:r>
      <w:r>
        <w:rPr>
          <w:rFonts w:hint="eastAsia" w:ascii="宋体" w:hAnsi="宋体"/>
          <w:szCs w:val="32"/>
        </w:rPr>
        <w:t>机构</w:t>
      </w:r>
      <w:r>
        <w:rPr>
          <w:rFonts w:hint="eastAsia" w:ascii="宋体" w:hAnsi="宋体"/>
          <w:kern w:val="0"/>
          <w:szCs w:val="32"/>
        </w:rPr>
        <w:t>可以聘请具有创新实践经验的企业家、科研和技术技能人才担任兼职教师或</w:t>
      </w:r>
      <w:r>
        <w:rPr>
          <w:rFonts w:hint="eastAsia" w:ascii="宋体" w:hAnsi="宋体"/>
          <w:szCs w:val="32"/>
        </w:rPr>
        <w:t>者</w:t>
      </w:r>
      <w:r>
        <w:rPr>
          <w:rFonts w:hint="eastAsia" w:ascii="宋体" w:hAnsi="宋体"/>
          <w:kern w:val="0"/>
          <w:szCs w:val="32"/>
        </w:rPr>
        <w:t>兼职研究员。</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第三十条</w:t>
      </w:r>
      <w:r>
        <w:rPr>
          <w:rFonts w:hint="eastAsia" w:ascii="宋体" w:hAnsi="宋体"/>
          <w:szCs w:val="32"/>
        </w:rPr>
        <w:t xml:space="preserve">  省人民政府应当支持粤港澳大湾区推进公共服务衔接，促进人才往来便利化和跨境交流合作。</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kern w:val="0"/>
          <w:szCs w:val="32"/>
        </w:rPr>
      </w:pPr>
      <w:r>
        <w:rPr>
          <w:rFonts w:hint="eastAsia" w:ascii="宋体" w:hAnsi="宋体"/>
          <w:szCs w:val="32"/>
        </w:rPr>
        <w:t>支持</w:t>
      </w:r>
      <w:r>
        <w:rPr>
          <w:rFonts w:hint="eastAsia" w:ascii="宋体" w:hAnsi="宋体"/>
          <w:kern w:val="0"/>
          <w:szCs w:val="32"/>
        </w:rPr>
        <w:t>粤港澳大湾区联合开展招才引智，联合</w:t>
      </w:r>
      <w:r>
        <w:rPr>
          <w:rFonts w:hint="eastAsia" w:ascii="宋体" w:hAnsi="宋体"/>
          <w:szCs w:val="32"/>
        </w:rPr>
        <w:t>建设大数据中心和国家重大创新平台，联合开展技术攻关，</w:t>
      </w:r>
      <w:r>
        <w:rPr>
          <w:rFonts w:hint="eastAsia" w:ascii="宋体" w:hAnsi="宋体"/>
          <w:kern w:val="0"/>
          <w:szCs w:val="32"/>
        </w:rPr>
        <w:t>推动科技成果转化</w:t>
      </w:r>
      <w:r>
        <w:rPr>
          <w:rFonts w:hint="eastAsia" w:ascii="宋体" w:hAnsi="宋体"/>
          <w:szCs w:val="32"/>
        </w:rPr>
        <w:t>。</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港澳高等学校、科研机构、企业等在本省设立研发机构的，可以享受各项支持创新的政策。</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具有港澳职业资格的金融、规划、设计、建筑、会计、教育、</w:t>
      </w:r>
      <w:r>
        <w:rPr>
          <w:rFonts w:hint="eastAsia" w:ascii="宋体" w:hAnsi="宋体"/>
          <w:iCs/>
          <w:szCs w:val="32"/>
        </w:rPr>
        <w:t>医疗</w:t>
      </w:r>
      <w:r>
        <w:rPr>
          <w:rFonts w:hint="eastAsia" w:ascii="宋体" w:hAnsi="宋体"/>
          <w:szCs w:val="32"/>
        </w:rPr>
        <w:t>等专业人才，可以按照有关规定在本省应聘执业，支持港澳高等学校毕业生和青年人才在本省就业创业。</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第三十一条</w:t>
      </w:r>
      <w:r>
        <w:rPr>
          <w:rFonts w:hint="eastAsia" w:ascii="宋体" w:hAnsi="宋体"/>
          <w:szCs w:val="32"/>
        </w:rPr>
        <w:t xml:space="preserve">  实施粤东粤西粤北地区人才发展帮扶计划，支持粤东粤西粤北地区培养引进高层次人才、高技能人才和</w:t>
      </w:r>
      <w:r>
        <w:rPr>
          <w:rFonts w:hint="eastAsia" w:ascii="宋体" w:hAnsi="宋体"/>
          <w:kern w:val="0"/>
          <w:szCs w:val="32"/>
        </w:rPr>
        <w:t>其他紧缺急需人才</w:t>
      </w:r>
      <w:r>
        <w:rPr>
          <w:rFonts w:hint="eastAsia" w:ascii="宋体" w:hAnsi="宋体"/>
          <w:szCs w:val="32"/>
        </w:rPr>
        <w:t>。</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省和地级以上市人民政府应当提高艰苦岗位和基层人才保障水平，引导人才向粤东粤西粤北地区、艰苦岗位和基层流动。</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p>
    <w:p>
      <w:pPr>
        <w:keepNext w:val="0"/>
        <w:keepLines w:val="0"/>
        <w:pageBreakBefore w:val="0"/>
        <w:widowControl w:val="0"/>
        <w:kinsoku/>
        <w:overflowPunct/>
        <w:topLinePunct w:val="0"/>
        <w:bidi w:val="0"/>
        <w:spacing w:line="590" w:lineRule="exact"/>
        <w:jc w:val="center"/>
        <w:textAlignment w:val="auto"/>
        <w:outlineLvl w:val="9"/>
        <w:rPr>
          <w:rFonts w:ascii="宋体" w:hAnsi="宋体" w:eastAsia="黑体" w:cs="黑体"/>
          <w:szCs w:val="32"/>
        </w:rPr>
      </w:pPr>
      <w:r>
        <w:rPr>
          <w:rFonts w:hint="eastAsia" w:ascii="宋体" w:hAnsi="宋体" w:eastAsia="黑体" w:cs="黑体"/>
          <w:szCs w:val="32"/>
        </w:rPr>
        <w:t>第四章  人才评价与激励</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第三十二条 </w:t>
      </w:r>
      <w:r>
        <w:rPr>
          <w:rFonts w:hint="eastAsia" w:ascii="宋体" w:hAnsi="宋体"/>
          <w:szCs w:val="32"/>
        </w:rPr>
        <w:t xml:space="preserve"> 人才评价应当突出品德、能力、业绩导向，注重标志性成果的质量、贡献、影响，不唯论文、职称、学历、奖项，发挥政府、用人单位、行业协会等评价主体作用，分类建立人才评价机制。</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kern w:val="0"/>
          <w:szCs w:val="32"/>
        </w:rPr>
        <w:t>人才激励应当实行精神激励和物质激励相结合，最大限度激发和释放人才创新创业活力，尊重</w:t>
      </w:r>
      <w:r>
        <w:rPr>
          <w:rFonts w:hint="eastAsia" w:ascii="宋体" w:hAnsi="宋体"/>
          <w:szCs w:val="32"/>
        </w:rPr>
        <w:t>和实现人才价值。</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第三十三条</w:t>
      </w:r>
      <w:r>
        <w:rPr>
          <w:rFonts w:hint="eastAsia" w:ascii="宋体" w:hAnsi="宋体"/>
          <w:szCs w:val="32"/>
        </w:rPr>
        <w:t xml:space="preserve">  人才评价应当科学设置评价考核周期，注重过程评价和结果评价、短期评价和长期评价相结合，适当延长基础研究人才、青年人才等人才评价考核周期，对于个别成果产出周期较长的，可以采用后评估的方式，在聘期结束一段时间后进行评估。</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第三十四条</w:t>
      </w:r>
      <w:r>
        <w:rPr>
          <w:rFonts w:hint="eastAsia" w:ascii="宋体" w:hAnsi="宋体"/>
          <w:szCs w:val="32"/>
        </w:rPr>
        <w:t xml:space="preserve">  各级人才工作相关主管部门制定人才认定标准时，应当将同行评价、市场评价和社会评价等纳入评价要素。</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对现有人才认定标准未涵盖的人才，可以组织专家进行评审认定。</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kern w:val="0"/>
          <w:szCs w:val="32"/>
        </w:rPr>
      </w:pPr>
      <w:r>
        <w:rPr>
          <w:rFonts w:hint="eastAsia" w:ascii="宋体" w:hAnsi="宋体" w:eastAsia="黑体" w:cs="黑体"/>
          <w:color w:val="000000"/>
          <w:szCs w:val="21"/>
        </w:rPr>
        <w:t xml:space="preserve">第三十五条 </w:t>
      </w:r>
      <w:r>
        <w:rPr>
          <w:rFonts w:hint="eastAsia" w:ascii="宋体" w:hAnsi="宋体"/>
          <w:szCs w:val="32"/>
        </w:rPr>
        <w:t xml:space="preserve"> </w:t>
      </w:r>
      <w:r>
        <w:rPr>
          <w:rFonts w:hint="eastAsia" w:ascii="宋体" w:hAnsi="宋体" w:cs="黑体"/>
          <w:szCs w:val="32"/>
        </w:rPr>
        <w:t>符合条件的</w:t>
      </w:r>
      <w:r>
        <w:rPr>
          <w:rFonts w:hint="eastAsia" w:ascii="宋体" w:hAnsi="宋体"/>
          <w:szCs w:val="32"/>
        </w:rPr>
        <w:t>高等学校、科研机构、医院、新型研发机构、国有企业、高新技术企业、大型骨干企业可以自主制定职称评审标准、组建评审机构及评审专家库、开展职称评审</w:t>
      </w:r>
      <w:r>
        <w:rPr>
          <w:rFonts w:hint="eastAsia" w:ascii="宋体" w:hAnsi="宋体"/>
          <w:kern w:val="0"/>
          <w:szCs w:val="32"/>
        </w:rPr>
        <w:t>。</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kern w:val="0"/>
          <w:szCs w:val="32"/>
        </w:rPr>
      </w:pPr>
      <w:r>
        <w:rPr>
          <w:rFonts w:hint="eastAsia" w:ascii="宋体" w:hAnsi="宋体"/>
          <w:kern w:val="0"/>
          <w:szCs w:val="32"/>
        </w:rPr>
        <w:t>省</w:t>
      </w:r>
      <w:r>
        <w:rPr>
          <w:rFonts w:hint="eastAsia" w:ascii="宋体" w:hAnsi="宋体"/>
          <w:szCs w:val="32"/>
        </w:rPr>
        <w:t>人民政府</w:t>
      </w:r>
      <w:r>
        <w:rPr>
          <w:rFonts w:hint="eastAsia" w:ascii="宋体" w:hAnsi="宋体"/>
          <w:kern w:val="0"/>
          <w:szCs w:val="32"/>
        </w:rPr>
        <w:t>人力资源社会保障部门应当建立</w:t>
      </w:r>
      <w:r>
        <w:rPr>
          <w:rFonts w:hint="eastAsia" w:ascii="宋体" w:hAnsi="宋体"/>
          <w:szCs w:val="32"/>
        </w:rPr>
        <w:t>健全</w:t>
      </w:r>
      <w:r>
        <w:rPr>
          <w:rFonts w:hint="eastAsia" w:ascii="宋体" w:hAnsi="宋体"/>
          <w:kern w:val="0"/>
          <w:szCs w:val="32"/>
        </w:rPr>
        <w:t>对外籍人才、港澳台人才、引进的高层次人才和紧缺急需人才的职称评审办法。</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第三十六条</w:t>
      </w:r>
      <w:r>
        <w:rPr>
          <w:rFonts w:hint="eastAsia" w:ascii="宋体" w:hAnsi="宋体"/>
          <w:szCs w:val="32"/>
        </w:rPr>
        <w:t xml:space="preserve">  省人民政府人力资源社会保障部门及相关职能部门应当推进水平评价类职业资格社会化管理，推进职业资格与职称制度衔接、技能人才与专业技术人才职业资格互通。</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第三十七条 </w:t>
      </w:r>
      <w:r>
        <w:rPr>
          <w:rFonts w:hint="eastAsia" w:ascii="宋体" w:hAnsi="宋体"/>
          <w:szCs w:val="32"/>
        </w:rPr>
        <w:t xml:space="preserve"> 组织实施人才工程项目的部门应当健全评选机制，注重分类评价，建立人才动态考评调控机制。</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人才工程项目评审认定工作可以引入第三方机构参与人才评价。</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第三十八条</w:t>
      </w:r>
      <w:r>
        <w:rPr>
          <w:rFonts w:hint="eastAsia" w:ascii="宋体" w:hAnsi="宋体"/>
          <w:szCs w:val="32"/>
        </w:rPr>
        <w:t xml:space="preserve">  开展南粤突出贡献和创新奖评选表彰。县级以上人民政府按照有关规定经报批可以制定人才荣誉和奖励政策，对有突出贡献的人才授予荣誉称号、给予奖励。</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第三十九条</w:t>
      </w:r>
      <w:r>
        <w:rPr>
          <w:rFonts w:hint="eastAsia" w:ascii="宋体" w:hAnsi="宋体"/>
          <w:szCs w:val="32"/>
        </w:rPr>
        <w:t xml:space="preserve">  利用财政性资金设立的科研项目，承担项目人员的人力资源成本费用可以从项目经费中支出。劳务费预算不单设比例限制，由项目承担单位和科研人员据实编制。科研人员绩效支出不单设比例限制，不纳入单位绩效工资总量调控管理。</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科研项目承担单位在总预算不变的情况下可以调剂直接费用部分预算。</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鼓励实行哲学社会科学研究成果后期资助和事后奖励制度。</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第四十条</w:t>
      </w:r>
      <w:r>
        <w:rPr>
          <w:rFonts w:hint="eastAsia" w:ascii="宋体" w:hAnsi="宋体"/>
          <w:szCs w:val="32"/>
        </w:rPr>
        <w:t xml:space="preserve">  鼓励企业、高等学校、科研机构通过股权、期权、分红等激励方式，激发人才创新创业活力。</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国有企业事业单位可以采用年薪制、协议工资制等方式引进高层次人才</w:t>
      </w:r>
      <w:r>
        <w:rPr>
          <w:rFonts w:hint="eastAsia" w:ascii="宋体" w:hAnsi="宋体" w:cs="黑体"/>
          <w:szCs w:val="32"/>
        </w:rPr>
        <w:t>和高技能人才</w:t>
      </w:r>
      <w:r>
        <w:rPr>
          <w:rFonts w:hint="eastAsia" w:ascii="宋体" w:hAnsi="宋体"/>
          <w:szCs w:val="32"/>
        </w:rPr>
        <w:t>。</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第四十一条</w:t>
      </w:r>
      <w:r>
        <w:rPr>
          <w:rFonts w:hint="eastAsia" w:ascii="宋体" w:hAnsi="宋体"/>
          <w:szCs w:val="32"/>
        </w:rPr>
        <w:t xml:space="preserve">  除涉及国防、国家安全、国家利益、重大社会公共利益外，高等学校、科研机构可以自主决定科技成果的使用、处置和收益管理，行政主管部门不再审批或者备案。</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科技成果可以通过协议定价、技术市场挂牌交易、拍卖等方式转让转化。</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科研机构、高等学校转化职务科技成果以股份或者出资比例等股权形式给予科研人员个人奖励，符合规定条件的，可以待分红或者转让时缴纳个人所得税。</w:t>
      </w:r>
    </w:p>
    <w:p>
      <w:pPr>
        <w:keepNext w:val="0"/>
        <w:keepLines w:val="0"/>
        <w:pageBreakBefore w:val="0"/>
        <w:widowControl w:val="0"/>
        <w:kinsoku/>
        <w:overflowPunct/>
        <w:topLinePunct w:val="0"/>
        <w:bidi w:val="0"/>
        <w:spacing w:line="590" w:lineRule="exact"/>
        <w:ind w:firstLine="200"/>
        <w:jc w:val="center"/>
        <w:textAlignment w:val="auto"/>
        <w:outlineLvl w:val="9"/>
        <w:rPr>
          <w:rFonts w:ascii="宋体" w:hAnsi="宋体"/>
          <w:szCs w:val="32"/>
        </w:rPr>
      </w:pPr>
    </w:p>
    <w:p>
      <w:pPr>
        <w:keepNext w:val="0"/>
        <w:keepLines w:val="0"/>
        <w:pageBreakBefore w:val="0"/>
        <w:widowControl w:val="0"/>
        <w:kinsoku/>
        <w:overflowPunct/>
        <w:topLinePunct w:val="0"/>
        <w:bidi w:val="0"/>
        <w:spacing w:line="590" w:lineRule="exact"/>
        <w:jc w:val="center"/>
        <w:textAlignment w:val="auto"/>
        <w:outlineLvl w:val="9"/>
        <w:rPr>
          <w:rFonts w:ascii="宋体" w:hAnsi="宋体" w:eastAsia="黑体" w:cs="黑体"/>
          <w:szCs w:val="32"/>
        </w:rPr>
      </w:pPr>
      <w:r>
        <w:rPr>
          <w:rFonts w:hint="eastAsia" w:ascii="宋体" w:hAnsi="宋体" w:eastAsia="黑体" w:cs="黑体"/>
          <w:szCs w:val="32"/>
        </w:rPr>
        <w:t>第五章  人才服务与保障</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第四十二条</w:t>
      </w:r>
      <w:r>
        <w:rPr>
          <w:rFonts w:hint="eastAsia" w:ascii="宋体" w:hAnsi="宋体"/>
          <w:szCs w:val="32"/>
        </w:rPr>
        <w:t xml:space="preserve">  县级以上人民政府应当建立健全人才综合服务保障体系，推动市场有序承接政府转移的人才服务职能，完善</w:t>
      </w:r>
      <w:r>
        <w:rPr>
          <w:rFonts w:ascii="宋体" w:hAnsi="宋体"/>
          <w:szCs w:val="32"/>
        </w:rPr>
        <w:t>人才诉求表达机制，</w:t>
      </w:r>
      <w:r>
        <w:rPr>
          <w:rFonts w:hint="eastAsia" w:ascii="宋体" w:hAnsi="宋体"/>
          <w:szCs w:val="32"/>
        </w:rPr>
        <w:t>提高人才服务水平，营造有利于人才发展的社会环境。</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第四十三条</w:t>
      </w:r>
      <w:r>
        <w:rPr>
          <w:rFonts w:hint="eastAsia" w:ascii="宋体" w:hAnsi="宋体"/>
          <w:szCs w:val="32"/>
        </w:rPr>
        <w:t xml:space="preserve">  县级以上人民政府应当建设人才综合服务平台，为人才和用人单位提供便捷服务。</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县级以上人民政府可以制定具体办法，为人才入户、子女教育、配偶就业、医疗保障、法律咨询等提供服务。</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第四十四条</w:t>
      </w:r>
      <w:r>
        <w:rPr>
          <w:rFonts w:hint="eastAsia" w:ascii="宋体" w:hAnsi="宋体"/>
          <w:szCs w:val="32"/>
        </w:rPr>
        <w:t xml:space="preserve">  经省人才工作</w:t>
      </w:r>
      <w:r>
        <w:rPr>
          <w:rFonts w:hint="eastAsia" w:ascii="宋体" w:hAnsi="宋体" w:cs="黑体"/>
          <w:szCs w:val="32"/>
        </w:rPr>
        <w:t>相关</w:t>
      </w:r>
      <w:r>
        <w:rPr>
          <w:rFonts w:hint="eastAsia" w:ascii="宋体" w:hAnsi="宋体"/>
          <w:szCs w:val="32"/>
        </w:rPr>
        <w:t>主管部门认定的高层次人才，可以按照有关规定在社会保障、购房购车、职称评定等方面与工作所在地居民享受同等待遇，在落户、出入境、长期居留、永久居留、医疗、子女入学、配偶安置、社会保险、入住人才公寓等方面享受便利。</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第四十五条</w:t>
      </w:r>
      <w:r>
        <w:rPr>
          <w:rFonts w:hint="eastAsia" w:ascii="宋体" w:hAnsi="宋体"/>
          <w:szCs w:val="32"/>
        </w:rPr>
        <w:t xml:space="preserve">  县级以上人民政府可以通过货币补贴或者人才公寓等方式，为人才提供住房保障。</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省和地级以上市人民政府可以将高等学校和科研机构引进的高层次人才纳入人才公寓统筹范围。</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第四十六条</w:t>
      </w:r>
      <w:r>
        <w:rPr>
          <w:rFonts w:hint="eastAsia" w:ascii="宋体" w:hAnsi="宋体"/>
          <w:szCs w:val="32"/>
        </w:rPr>
        <w:t xml:space="preserve">  支持县级以上人民政府发展知识产权交易市场，建立知识产权鉴定和评议、质押融资风险补偿扶持等机制，促进知识产权交易。</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实行严格的知识产权保护制度，建立健全侵权预防、预警、应对和维权援助等机制，支持建设知识产权保护中心、快速维权中心和仲裁机构。</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第四十七条</w:t>
      </w:r>
      <w:r>
        <w:rPr>
          <w:rFonts w:hint="eastAsia" w:ascii="宋体" w:hAnsi="宋体"/>
          <w:szCs w:val="32"/>
        </w:rPr>
        <w:t xml:space="preserve">  县级以上人民政府应当支持引进知名人力资源服务机构，培育发展人力资源服务产业园和骨干企业，培养人力资源服务业人才，促进人力资源服务业发展。</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kern w:val="0"/>
          <w:szCs w:val="32"/>
        </w:rPr>
      </w:pPr>
      <w:r>
        <w:rPr>
          <w:rFonts w:hint="eastAsia" w:ascii="宋体" w:hAnsi="宋体" w:eastAsia="黑体" w:cs="黑体"/>
          <w:color w:val="000000"/>
          <w:szCs w:val="21"/>
        </w:rPr>
        <w:t xml:space="preserve">第四十八条 </w:t>
      </w:r>
      <w:r>
        <w:rPr>
          <w:rFonts w:hint="eastAsia" w:ascii="宋体" w:hAnsi="宋体"/>
          <w:szCs w:val="32"/>
        </w:rPr>
        <w:t xml:space="preserve"> 鼓励有条件的地区通过建设各类创新创业服务平台，举办创新创业大赛，提供创新创业服务等方式，吸引国内外优秀</w:t>
      </w:r>
      <w:r>
        <w:rPr>
          <w:rFonts w:hint="eastAsia" w:ascii="宋体" w:hAnsi="宋体"/>
          <w:kern w:val="0"/>
          <w:szCs w:val="32"/>
        </w:rPr>
        <w:t>项目</w:t>
      </w:r>
      <w:r>
        <w:rPr>
          <w:rFonts w:hint="eastAsia" w:ascii="宋体" w:hAnsi="宋体"/>
          <w:szCs w:val="32"/>
        </w:rPr>
        <w:t>和科技成果</w:t>
      </w:r>
      <w:r>
        <w:rPr>
          <w:rFonts w:hint="eastAsia" w:ascii="宋体" w:hAnsi="宋体"/>
          <w:kern w:val="0"/>
          <w:szCs w:val="32"/>
        </w:rPr>
        <w:t>到本省落地转化及产业化。</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kern w:val="0"/>
          <w:szCs w:val="32"/>
        </w:rPr>
      </w:pPr>
      <w:r>
        <w:rPr>
          <w:rFonts w:hint="eastAsia" w:ascii="宋体" w:hAnsi="宋体"/>
          <w:kern w:val="0"/>
          <w:szCs w:val="32"/>
        </w:rPr>
        <w:t>企业和社会资本建设创新创业服务平台，可以由政府财政性资金给予补贴。</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第四十九条</w:t>
      </w:r>
      <w:r>
        <w:rPr>
          <w:rFonts w:hint="eastAsia" w:ascii="宋体" w:hAnsi="宋体"/>
          <w:szCs w:val="32"/>
        </w:rPr>
        <w:t xml:space="preserve">  县级以上人民政府应当建立人才管理服务权力清单和责任清单，规范人才招聘、评价、流动等环节的行政审批和行政收费事项。</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第五十条 </w:t>
      </w:r>
      <w:r>
        <w:rPr>
          <w:rFonts w:hint="eastAsia" w:ascii="宋体" w:hAnsi="宋体"/>
          <w:szCs w:val="32"/>
        </w:rPr>
        <w:t xml:space="preserve"> 人才工程项目实施平台单位应当对非一次性资助的入选项目组织开展中期考核和结题验收考核。对考核不合格项目可以进行整改或者终止，收回财政资助资金，视情节轻重，可以取消用人单位一至三年申报重大人才工程项目资格。</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第五十一条</w:t>
      </w:r>
      <w:r>
        <w:rPr>
          <w:rFonts w:hint="eastAsia" w:ascii="宋体" w:hAnsi="宋体"/>
          <w:szCs w:val="32"/>
        </w:rPr>
        <w:t xml:space="preserve"> </w:t>
      </w:r>
      <w:r>
        <w:rPr>
          <w:rFonts w:hint="eastAsia" w:ascii="宋体" w:hAnsi="宋体"/>
          <w:color w:val="000000"/>
          <w:szCs w:val="32"/>
        </w:rPr>
        <w:t xml:space="preserve"> 人才工程项目实施平台单位应当对人才工程入选</w:t>
      </w:r>
      <w:r>
        <w:rPr>
          <w:rFonts w:hint="eastAsia" w:ascii="宋体" w:hAnsi="宋体"/>
          <w:szCs w:val="32"/>
        </w:rPr>
        <w:t>人才</w:t>
      </w:r>
      <w:r>
        <w:rPr>
          <w:rFonts w:hint="eastAsia" w:ascii="宋体" w:hAnsi="宋体"/>
          <w:color w:val="000000"/>
          <w:szCs w:val="32"/>
        </w:rPr>
        <w:t>或者团队实施退出管理</w:t>
      </w:r>
      <w:r>
        <w:rPr>
          <w:rFonts w:hint="eastAsia" w:ascii="宋体" w:hAnsi="宋体"/>
          <w:szCs w:val="32"/>
        </w:rPr>
        <w:t>。</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color w:val="000000"/>
          <w:szCs w:val="32"/>
        </w:rPr>
      </w:pPr>
      <w:r>
        <w:rPr>
          <w:rFonts w:hint="eastAsia" w:ascii="宋体" w:hAnsi="宋体"/>
          <w:szCs w:val="32"/>
        </w:rPr>
        <w:t>（一）人才工程入选人才</w:t>
      </w:r>
      <w:r>
        <w:rPr>
          <w:rFonts w:hint="eastAsia" w:ascii="宋体" w:hAnsi="宋体"/>
          <w:color w:val="000000"/>
          <w:szCs w:val="32"/>
        </w:rPr>
        <w:t>或</w:t>
      </w:r>
      <w:r>
        <w:rPr>
          <w:rFonts w:hint="eastAsia" w:ascii="宋体" w:hAnsi="宋体"/>
          <w:szCs w:val="32"/>
        </w:rPr>
        <w:t>者</w:t>
      </w:r>
      <w:r>
        <w:rPr>
          <w:rFonts w:hint="eastAsia" w:ascii="宋体" w:hAnsi="宋体"/>
          <w:color w:val="000000"/>
          <w:szCs w:val="32"/>
        </w:rPr>
        <w:t>团队主动提出放弃入选资格，报</w:t>
      </w:r>
      <w:r>
        <w:rPr>
          <w:rFonts w:hint="eastAsia" w:ascii="宋体" w:hAnsi="宋体"/>
          <w:szCs w:val="32"/>
        </w:rPr>
        <w:t>人才工程</w:t>
      </w:r>
      <w:r>
        <w:rPr>
          <w:rFonts w:hint="eastAsia" w:ascii="宋体" w:hAnsi="宋体"/>
          <w:color w:val="000000"/>
          <w:szCs w:val="32"/>
        </w:rPr>
        <w:t>项目</w:t>
      </w:r>
      <w:r>
        <w:rPr>
          <w:rFonts w:hint="eastAsia" w:ascii="宋体" w:hAnsi="宋体"/>
          <w:szCs w:val="32"/>
        </w:rPr>
        <w:t>实施平台单位</w:t>
      </w:r>
      <w:r>
        <w:rPr>
          <w:rFonts w:hint="eastAsia" w:ascii="宋体" w:hAnsi="宋体"/>
          <w:color w:val="000000"/>
          <w:szCs w:val="32"/>
        </w:rPr>
        <w:t>同意后，可以退出；</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color w:val="000000"/>
          <w:szCs w:val="32"/>
        </w:rPr>
      </w:pPr>
      <w:r>
        <w:rPr>
          <w:rFonts w:hint="eastAsia" w:ascii="宋体" w:hAnsi="宋体"/>
          <w:szCs w:val="32"/>
        </w:rPr>
        <w:t>（二）人才工程入选人才或者团队未能履行约定，导致人才工程项目无法继续实施或者无法完成预期目标的，人才工程</w:t>
      </w:r>
      <w:r>
        <w:rPr>
          <w:rFonts w:hint="eastAsia" w:ascii="宋体" w:hAnsi="宋体"/>
          <w:color w:val="000000"/>
          <w:szCs w:val="32"/>
        </w:rPr>
        <w:t>项目</w:t>
      </w:r>
      <w:r>
        <w:rPr>
          <w:rFonts w:hint="eastAsia" w:ascii="宋体" w:hAnsi="宋体"/>
          <w:szCs w:val="32"/>
        </w:rPr>
        <w:t>实施平台单位</w:t>
      </w:r>
      <w:r>
        <w:rPr>
          <w:rFonts w:hint="eastAsia" w:ascii="宋体" w:hAnsi="宋体"/>
          <w:color w:val="000000"/>
          <w:szCs w:val="32"/>
        </w:rPr>
        <w:t>视情节轻重，可以</w:t>
      </w:r>
      <w:r>
        <w:rPr>
          <w:rFonts w:hint="eastAsia" w:ascii="宋体" w:hAnsi="宋体"/>
          <w:szCs w:val="32"/>
        </w:rPr>
        <w:t>对其作出</w:t>
      </w:r>
      <w:r>
        <w:rPr>
          <w:rFonts w:hint="eastAsia" w:ascii="宋体" w:hAnsi="宋体"/>
          <w:color w:val="000000"/>
          <w:szCs w:val="32"/>
        </w:rPr>
        <w:t>退出</w:t>
      </w:r>
      <w:r>
        <w:rPr>
          <w:rFonts w:hint="eastAsia" w:ascii="宋体" w:hAnsi="宋体"/>
          <w:szCs w:val="32"/>
        </w:rPr>
        <w:t>决定</w:t>
      </w:r>
      <w:r>
        <w:rPr>
          <w:rFonts w:hint="eastAsia" w:ascii="宋体" w:hAnsi="宋体"/>
          <w:color w:val="000000"/>
          <w:szCs w:val="32"/>
        </w:rPr>
        <w:t>；</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color w:val="000000"/>
          <w:szCs w:val="32"/>
        </w:rPr>
      </w:pPr>
      <w:r>
        <w:rPr>
          <w:rFonts w:hint="eastAsia" w:ascii="宋体" w:hAnsi="宋体"/>
          <w:szCs w:val="32"/>
        </w:rPr>
        <w:t>（三）人才工程入选人才或者团队</w:t>
      </w:r>
      <w:r>
        <w:rPr>
          <w:rFonts w:hint="eastAsia" w:ascii="宋体" w:hAnsi="宋体"/>
          <w:color w:val="000000"/>
          <w:szCs w:val="32"/>
        </w:rPr>
        <w:t>弄虚作假骗取入选资格，或</w:t>
      </w:r>
      <w:r>
        <w:rPr>
          <w:rFonts w:hint="eastAsia" w:ascii="宋体" w:hAnsi="宋体"/>
          <w:szCs w:val="32"/>
        </w:rPr>
        <w:t>者</w:t>
      </w:r>
      <w:r>
        <w:rPr>
          <w:rFonts w:hint="eastAsia" w:ascii="宋体" w:hAnsi="宋体"/>
          <w:color w:val="000000"/>
          <w:szCs w:val="32"/>
        </w:rPr>
        <w:t>违反职业道德、学术不端造成恶劣影响，或</w:t>
      </w:r>
      <w:r>
        <w:rPr>
          <w:rFonts w:hint="eastAsia" w:ascii="宋体" w:hAnsi="宋体"/>
          <w:szCs w:val="32"/>
        </w:rPr>
        <w:t>者</w:t>
      </w:r>
      <w:r>
        <w:rPr>
          <w:rFonts w:hint="eastAsia" w:ascii="宋体" w:hAnsi="宋体"/>
          <w:color w:val="000000"/>
          <w:szCs w:val="32"/>
        </w:rPr>
        <w:t>触犯国家法律法规的，</w:t>
      </w:r>
      <w:r>
        <w:rPr>
          <w:rFonts w:hint="eastAsia" w:ascii="宋体" w:hAnsi="宋体"/>
          <w:szCs w:val="32"/>
        </w:rPr>
        <w:t>人才工程</w:t>
      </w:r>
      <w:r>
        <w:rPr>
          <w:rFonts w:hint="eastAsia" w:ascii="宋体" w:hAnsi="宋体"/>
          <w:color w:val="000000"/>
          <w:szCs w:val="32"/>
        </w:rPr>
        <w:t>项目</w:t>
      </w:r>
      <w:r>
        <w:rPr>
          <w:rFonts w:hint="eastAsia" w:ascii="宋体" w:hAnsi="宋体"/>
          <w:szCs w:val="32"/>
        </w:rPr>
        <w:t>实施平台单位应当</w:t>
      </w:r>
      <w:r>
        <w:rPr>
          <w:rFonts w:hint="eastAsia" w:ascii="宋体" w:hAnsi="宋体"/>
          <w:color w:val="000000"/>
          <w:szCs w:val="32"/>
        </w:rPr>
        <w:t>取消</w:t>
      </w:r>
      <w:r>
        <w:rPr>
          <w:rFonts w:hint="eastAsia" w:ascii="宋体" w:hAnsi="宋体"/>
          <w:szCs w:val="32"/>
        </w:rPr>
        <w:t>其</w:t>
      </w:r>
      <w:r>
        <w:rPr>
          <w:rFonts w:hint="eastAsia" w:ascii="宋体" w:hAnsi="宋体"/>
          <w:color w:val="000000"/>
          <w:szCs w:val="32"/>
        </w:rPr>
        <w:t>入选资格。</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color w:val="000000"/>
          <w:szCs w:val="32"/>
        </w:rPr>
      </w:pPr>
      <w:r>
        <w:rPr>
          <w:rFonts w:hint="eastAsia" w:ascii="宋体" w:hAnsi="宋体"/>
          <w:color w:val="000000"/>
          <w:szCs w:val="32"/>
        </w:rPr>
        <w:t>入选</w:t>
      </w:r>
      <w:r>
        <w:rPr>
          <w:rFonts w:hint="eastAsia" w:ascii="宋体" w:hAnsi="宋体"/>
          <w:szCs w:val="32"/>
        </w:rPr>
        <w:t>人才</w:t>
      </w:r>
      <w:r>
        <w:rPr>
          <w:rFonts w:hint="eastAsia" w:ascii="宋体" w:hAnsi="宋体"/>
          <w:color w:val="000000"/>
          <w:szCs w:val="32"/>
        </w:rPr>
        <w:t>或者团队退出相关人才工程后，取消相关称号，不再享受相应工作生活待遇，获得的资助应视合同履行情况部分或</w:t>
      </w:r>
      <w:r>
        <w:rPr>
          <w:rFonts w:hint="eastAsia" w:ascii="宋体" w:hAnsi="宋体"/>
          <w:szCs w:val="32"/>
        </w:rPr>
        <w:t>者</w:t>
      </w:r>
      <w:r>
        <w:rPr>
          <w:rFonts w:hint="eastAsia" w:ascii="宋体" w:hAnsi="宋体"/>
          <w:color w:val="000000"/>
          <w:szCs w:val="32"/>
        </w:rPr>
        <w:t>全部收回。</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color w:val="000000"/>
          <w:szCs w:val="32"/>
        </w:rPr>
      </w:pPr>
      <w:r>
        <w:rPr>
          <w:rFonts w:hint="eastAsia" w:ascii="宋体" w:hAnsi="宋体"/>
          <w:szCs w:val="32"/>
        </w:rPr>
        <w:t>对退出决定有异议的人才</w:t>
      </w:r>
      <w:r>
        <w:rPr>
          <w:rFonts w:hint="eastAsia" w:ascii="宋体" w:hAnsi="宋体"/>
          <w:color w:val="000000"/>
          <w:szCs w:val="32"/>
        </w:rPr>
        <w:t>或</w:t>
      </w:r>
      <w:r>
        <w:rPr>
          <w:rFonts w:hint="eastAsia" w:ascii="宋体" w:hAnsi="宋体"/>
          <w:szCs w:val="32"/>
        </w:rPr>
        <w:t>者</w:t>
      </w:r>
      <w:r>
        <w:rPr>
          <w:rFonts w:hint="eastAsia" w:ascii="宋体" w:hAnsi="宋体"/>
          <w:color w:val="000000"/>
          <w:szCs w:val="32"/>
        </w:rPr>
        <w:t>团队可以</w:t>
      </w:r>
      <w:r>
        <w:rPr>
          <w:rFonts w:hint="eastAsia" w:ascii="宋体" w:hAnsi="宋体"/>
          <w:szCs w:val="32"/>
        </w:rPr>
        <w:t>向</w:t>
      </w:r>
      <w:r>
        <w:rPr>
          <w:rFonts w:ascii="宋体" w:hAnsi="宋体"/>
          <w:szCs w:val="32"/>
        </w:rPr>
        <w:t>人才工程项目实施平台单位申请复核或者申诉</w:t>
      </w:r>
      <w:r>
        <w:rPr>
          <w:rFonts w:hint="eastAsia" w:ascii="宋体" w:hAnsi="宋体"/>
          <w:color w:val="000000"/>
          <w:szCs w:val="32"/>
        </w:rPr>
        <w:t>。</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第五十二条</w:t>
      </w:r>
      <w:r>
        <w:rPr>
          <w:rFonts w:hint="eastAsia" w:ascii="宋体" w:hAnsi="宋体"/>
          <w:szCs w:val="32"/>
        </w:rPr>
        <w:t xml:space="preserve">  省和地级以上市人民政府应当建立高层次人才失信惩戒机制，对有严重失信行为记录的责任主体，可以在一定期限和范围内禁止其获得政府奖励和申报人才项目。</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第五十三条 </w:t>
      </w:r>
      <w:r>
        <w:rPr>
          <w:rFonts w:hint="eastAsia" w:ascii="宋体" w:hAnsi="宋体"/>
          <w:szCs w:val="32"/>
        </w:rPr>
        <w:t xml:space="preserve"> 省和地级以上市人民政府应当建立支持创新创业容错免责机制，鼓励创新、宽容失败。</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szCs w:val="32"/>
        </w:rPr>
        <w:t>财政资金支持的人才发展相关项目，未取得预期成效，用人单位、人才工程入选人才或者团队已经尽到诚信和勤勉义务的，经主管部门组织专家评审后，可以终止该项目，免于追究实施主体相关责任。</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 xml:space="preserve">第五十四条 </w:t>
      </w:r>
      <w:r>
        <w:rPr>
          <w:rFonts w:hint="eastAsia" w:ascii="宋体" w:hAnsi="宋体"/>
          <w:szCs w:val="32"/>
        </w:rPr>
        <w:t xml:space="preserve"> 在推进人才发展体制机制改革未能实现预期目标，但是符合国家确定的改革方向，决策程序符合法律、法规规定，未牟取私利或者未恶意串通损害公共利益的，对有关单位和个人不作负面评价，免于追究相关责任。</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r>
        <w:rPr>
          <w:rFonts w:hint="eastAsia" w:ascii="宋体" w:hAnsi="宋体" w:eastAsia="黑体" w:cs="黑体"/>
          <w:color w:val="000000"/>
          <w:szCs w:val="21"/>
        </w:rPr>
        <w:t>第五十五条</w:t>
      </w:r>
      <w:r>
        <w:rPr>
          <w:rFonts w:hint="eastAsia" w:ascii="宋体" w:hAnsi="宋体"/>
          <w:szCs w:val="32"/>
        </w:rPr>
        <w:t xml:space="preserve">  单位或者个人</w:t>
      </w:r>
      <w:r>
        <w:rPr>
          <w:rFonts w:hint="eastAsia" w:ascii="宋体" w:hAnsi="宋体" w:cs="黑体"/>
          <w:szCs w:val="32"/>
        </w:rPr>
        <w:t>对</w:t>
      </w:r>
      <w:r>
        <w:rPr>
          <w:rFonts w:hint="eastAsia" w:ascii="宋体" w:hAnsi="宋体"/>
          <w:szCs w:val="32"/>
        </w:rPr>
        <w:t>责任追究</w:t>
      </w:r>
      <w:r>
        <w:rPr>
          <w:rFonts w:hint="eastAsia" w:ascii="宋体" w:hAnsi="宋体" w:cs="黑体"/>
          <w:szCs w:val="32"/>
        </w:rPr>
        <w:t>、</w:t>
      </w:r>
      <w:r>
        <w:rPr>
          <w:rFonts w:hint="eastAsia" w:ascii="宋体" w:hAnsi="宋体"/>
          <w:szCs w:val="32"/>
        </w:rPr>
        <w:t>负面评价决定</w:t>
      </w:r>
      <w:r>
        <w:rPr>
          <w:rFonts w:hint="eastAsia" w:ascii="宋体" w:hAnsi="宋体" w:cs="黑体"/>
          <w:szCs w:val="32"/>
        </w:rPr>
        <w:t>不服</w:t>
      </w:r>
      <w:r>
        <w:rPr>
          <w:rFonts w:hint="eastAsia" w:ascii="宋体" w:hAnsi="宋体"/>
          <w:iCs/>
          <w:szCs w:val="32"/>
        </w:rPr>
        <w:t>，</w:t>
      </w:r>
      <w:r>
        <w:rPr>
          <w:rFonts w:hint="eastAsia" w:ascii="宋体" w:hAnsi="宋体" w:cs="黑体"/>
          <w:szCs w:val="32"/>
        </w:rPr>
        <w:t>或者</w:t>
      </w:r>
      <w:r>
        <w:rPr>
          <w:rFonts w:hint="eastAsia" w:ascii="宋体" w:hAnsi="宋体"/>
          <w:szCs w:val="32"/>
        </w:rPr>
        <w:t>认为按照本条例应当免责的，可以向</w:t>
      </w:r>
      <w:r>
        <w:rPr>
          <w:rFonts w:hint="eastAsia" w:ascii="宋体" w:hAnsi="宋体" w:cs="黑体"/>
          <w:szCs w:val="32"/>
        </w:rPr>
        <w:t>作出责任追究、负面评价的</w:t>
      </w:r>
      <w:r>
        <w:rPr>
          <w:rFonts w:hint="eastAsia" w:ascii="宋体" w:hAnsi="宋体"/>
          <w:szCs w:val="32"/>
        </w:rPr>
        <w:t>决定机关、申诉处理机关提出申辩、申请复核或者申诉。有关机关应当受理，</w:t>
      </w:r>
      <w:r>
        <w:rPr>
          <w:rFonts w:hint="eastAsia" w:ascii="宋体" w:hAnsi="宋体" w:cs="黑体"/>
          <w:szCs w:val="32"/>
        </w:rPr>
        <w:t>决定存在错误的，应当</w:t>
      </w:r>
      <w:r>
        <w:rPr>
          <w:rFonts w:hint="eastAsia" w:ascii="宋体" w:hAnsi="宋体"/>
          <w:szCs w:val="32"/>
        </w:rPr>
        <w:t>及时</w:t>
      </w:r>
      <w:r>
        <w:rPr>
          <w:rFonts w:hint="eastAsia" w:ascii="宋体" w:hAnsi="宋体" w:cs="黑体"/>
          <w:szCs w:val="32"/>
        </w:rPr>
        <w:t>纠正；</w:t>
      </w:r>
      <w:r>
        <w:rPr>
          <w:rFonts w:hint="eastAsia" w:ascii="宋体" w:hAnsi="宋体"/>
          <w:szCs w:val="32"/>
        </w:rPr>
        <w:t>符合本条例免责规定的，</w:t>
      </w:r>
      <w:r>
        <w:rPr>
          <w:rFonts w:hint="eastAsia" w:ascii="宋体" w:hAnsi="宋体" w:cs="黑体"/>
          <w:szCs w:val="32"/>
        </w:rPr>
        <w:t>应当</w:t>
      </w:r>
      <w:r>
        <w:rPr>
          <w:rFonts w:hint="eastAsia" w:ascii="宋体" w:hAnsi="宋体"/>
          <w:szCs w:val="32"/>
        </w:rPr>
        <w:t>及时撤销。</w:t>
      </w:r>
    </w:p>
    <w:p>
      <w:pPr>
        <w:keepNext w:val="0"/>
        <w:keepLines w:val="0"/>
        <w:pageBreakBefore w:val="0"/>
        <w:widowControl w:val="0"/>
        <w:kinsoku/>
        <w:overflowPunct/>
        <w:topLinePunct w:val="0"/>
        <w:bidi w:val="0"/>
        <w:spacing w:line="590" w:lineRule="exact"/>
        <w:jc w:val="center"/>
        <w:textAlignment w:val="auto"/>
        <w:outlineLvl w:val="9"/>
        <w:rPr>
          <w:rFonts w:ascii="宋体" w:hAnsi="宋体" w:cs="黑体"/>
          <w:szCs w:val="32"/>
        </w:rPr>
      </w:pPr>
      <w:r>
        <w:rPr>
          <w:rFonts w:hint="eastAsia" w:ascii="宋体" w:hAnsi="宋体" w:eastAsia="楷体_GB2312"/>
          <w:szCs w:val="32"/>
        </w:rPr>
        <w:t xml:space="preserve"> </w:t>
      </w:r>
    </w:p>
    <w:p>
      <w:pPr>
        <w:keepNext w:val="0"/>
        <w:keepLines w:val="0"/>
        <w:pageBreakBefore w:val="0"/>
        <w:widowControl w:val="0"/>
        <w:kinsoku/>
        <w:overflowPunct/>
        <w:topLinePunct w:val="0"/>
        <w:bidi w:val="0"/>
        <w:spacing w:line="590" w:lineRule="exact"/>
        <w:jc w:val="center"/>
        <w:textAlignment w:val="auto"/>
        <w:outlineLvl w:val="9"/>
        <w:rPr>
          <w:rFonts w:ascii="宋体" w:hAnsi="宋体" w:eastAsia="黑体" w:cs="黑体"/>
          <w:szCs w:val="32"/>
        </w:rPr>
      </w:pPr>
      <w:r>
        <w:rPr>
          <w:rFonts w:hint="eastAsia" w:ascii="宋体" w:hAnsi="宋体" w:eastAsia="黑体" w:cs="黑体"/>
          <w:szCs w:val="32"/>
        </w:rPr>
        <w:t>第六章  附则</w:t>
      </w:r>
    </w:p>
    <w:p>
      <w:pPr>
        <w:keepNext w:val="0"/>
        <w:keepLines w:val="0"/>
        <w:pageBreakBefore w:val="0"/>
        <w:widowControl w:val="0"/>
        <w:kinsoku/>
        <w:overflowPunct/>
        <w:topLinePunct w:val="0"/>
        <w:bidi w:val="0"/>
        <w:spacing w:line="590" w:lineRule="exact"/>
        <w:ind w:firstLine="632" w:firstLineChars="200"/>
        <w:textAlignment w:val="auto"/>
        <w:outlineLvl w:val="9"/>
        <w:rPr>
          <w:rFonts w:ascii="宋体" w:hAnsi="宋体"/>
          <w:szCs w:val="32"/>
        </w:rPr>
      </w:pPr>
    </w:p>
    <w:p>
      <w:pPr>
        <w:keepNext w:val="0"/>
        <w:keepLines w:val="0"/>
        <w:pageBreakBefore w:val="0"/>
        <w:widowControl w:val="0"/>
        <w:kinsoku/>
        <w:overflowPunct/>
        <w:topLinePunct w:val="0"/>
        <w:bidi w:val="0"/>
        <w:spacing w:line="590" w:lineRule="exact"/>
        <w:ind w:firstLine="632" w:firstLineChars="200"/>
        <w:textAlignment w:val="auto"/>
        <w:outlineLvl w:val="9"/>
        <w:rPr>
          <w:rFonts w:hint="eastAsia" w:ascii="宋体" w:hAnsi="宋体"/>
          <w:color w:val="000000"/>
        </w:rPr>
      </w:pPr>
      <w:r>
        <w:rPr>
          <w:rFonts w:hint="eastAsia" w:ascii="宋体" w:hAnsi="宋体" w:eastAsia="黑体" w:cs="黑体"/>
          <w:color w:val="000000"/>
          <w:szCs w:val="21"/>
        </w:rPr>
        <w:t>第五十六条</w:t>
      </w:r>
      <w:r>
        <w:rPr>
          <w:rFonts w:hint="eastAsia" w:ascii="宋体" w:hAnsi="宋体"/>
          <w:spacing w:val="-8"/>
          <w:szCs w:val="32"/>
        </w:rPr>
        <w:t xml:space="preserve">  本条例自</w:t>
      </w:r>
      <w:r>
        <w:rPr>
          <w:rFonts w:hint="eastAsia" w:ascii="宋体" w:hAnsi="宋体" w:eastAsia="黑体"/>
          <w:spacing w:val="-8"/>
          <w:szCs w:val="32"/>
        </w:rPr>
        <w:t>20</w:t>
      </w:r>
      <w:r>
        <w:rPr>
          <w:rFonts w:ascii="宋体" w:hAnsi="宋体" w:eastAsia="黑体"/>
          <w:spacing w:val="-8"/>
          <w:szCs w:val="32"/>
        </w:rPr>
        <w:t>19</w:t>
      </w:r>
      <w:r>
        <w:rPr>
          <w:rFonts w:hint="eastAsia" w:ascii="宋体" w:hAnsi="宋体"/>
          <w:spacing w:val="-8"/>
          <w:szCs w:val="32"/>
        </w:rPr>
        <w:t>年</w:t>
      </w:r>
      <w:r>
        <w:rPr>
          <w:rFonts w:ascii="宋体" w:hAnsi="宋体" w:eastAsia="黑体"/>
          <w:spacing w:val="-8"/>
          <w:szCs w:val="32"/>
        </w:rPr>
        <w:t>1</w:t>
      </w:r>
      <w:r>
        <w:rPr>
          <w:rFonts w:hint="eastAsia" w:ascii="宋体" w:hAnsi="宋体"/>
          <w:spacing w:val="-8"/>
          <w:szCs w:val="32"/>
        </w:rPr>
        <w:t>月</w:t>
      </w:r>
      <w:r>
        <w:rPr>
          <w:rFonts w:ascii="宋体" w:hAnsi="宋体" w:eastAsia="黑体"/>
          <w:spacing w:val="-8"/>
          <w:szCs w:val="32"/>
        </w:rPr>
        <w:t>1</w:t>
      </w:r>
      <w:r>
        <w:rPr>
          <w:rFonts w:hint="eastAsia" w:ascii="宋体" w:hAnsi="宋体"/>
          <w:spacing w:val="-8"/>
          <w:szCs w:val="32"/>
        </w:rPr>
        <w:t>日施行。</w:t>
      </w:r>
      <w:bookmarkStart w:id="0" w:name="_GoBack"/>
      <w:bookmarkEnd w:id="0"/>
    </w:p>
    <w:sectPr>
      <w:footerReference r:id="rId3" w:type="default"/>
      <w:footerReference r:id="rId4" w:type="even"/>
      <w:pgSz w:w="11907" w:h="16840"/>
      <w:pgMar w:top="1984" w:right="1531" w:bottom="1871" w:left="1531" w:header="0" w:footer="1361" w:gutter="0"/>
      <w:pgNumType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Align="top"/>
      <w:pBdr>
        <w:between w:val="none" w:color="auto" w:sz="0" w:space="0"/>
      </w:pBdr>
      <w:ind w:right="320" w:rightChars="100" w:firstLine="360"/>
      <w:rPr>
        <w:rFonts w:hint="eastAsia"/>
        <w:sz w:val="28"/>
      </w:rPr>
    </w:pPr>
    <w:r>
      <w:rPr>
        <w:rFonts w:hint="eastAsia"/>
        <w:sz w:val="28"/>
      </w:rPr>
      <w:tab/>
    </w:r>
    <w:r>
      <w:rPr>
        <w:rFonts w:hint="eastAsia"/>
        <w:sz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sz w:val="28"/>
        <w:szCs w:val="28"/>
      </w:rPr>
      <w:t>1</w:t>
    </w:r>
    <w:r>
      <w:rPr>
        <w:rFonts w:hint="eastAsia" w:ascii="宋体" w:hAnsi="宋体" w:eastAsia="宋体" w:cs="宋体"/>
        <w:sz w:val="28"/>
        <w:szCs w:val="28"/>
      </w:rPr>
      <w:fldChar w:fldCharType="end"/>
    </w:r>
    <w:r>
      <w:rPr>
        <w:rFonts w:hint="eastAsia"/>
        <w:sz w:val="28"/>
      </w:rPr>
      <w:t xml:space="preserve"> —</w:t>
    </w:r>
  </w:p>
  <w:p>
    <w:pPr>
      <w:ind w:right="320" w:rightChars="10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inside" w:yAlign="top"/>
      <w:pBdr>
        <w:between w:val="none" w:color="auto" w:sz="0" w:space="0"/>
      </w:pBdr>
      <w:rPr>
        <w:sz w:val="28"/>
      </w:rPr>
    </w:pPr>
  </w:p>
  <w:p>
    <w:pPr>
      <w:pStyle w:val="10"/>
      <w:ind w:left="320" w:leftChars="100" w:right="360"/>
      <w:jc w:val="both"/>
      <w:rPr>
        <w:rFonts w:hint="eastAsia"/>
        <w:sz w:val="28"/>
      </w:rPr>
    </w:pPr>
    <w:r>
      <w:rPr>
        <w:rFonts w:hint="eastAsia"/>
        <w:sz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sz w:val="28"/>
        <w:szCs w:val="28"/>
      </w:rPr>
      <w:t>4</w:t>
    </w:r>
    <w:r>
      <w:rPr>
        <w:rFonts w:hint="eastAsia" w:ascii="宋体" w:hAnsi="宋体" w:eastAsia="宋体" w:cs="宋体"/>
        <w:sz w:val="28"/>
        <w:szCs w:val="28"/>
      </w:rPr>
      <w:fldChar w:fldCharType="end"/>
    </w:r>
    <w:r>
      <w:rPr>
        <w:rFonts w:hint="eastAsia"/>
        <w:sz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630"/>
  <w:hyphenationZone w:val="360"/>
  <w:evenAndOddHeaders w:val="1"/>
  <w:drawingGridVerticalSpacing w:val="156"/>
  <w:displayHorizontalDrawingGridEvery w:val="2"/>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C34E3"/>
    <w:rsid w:val="0000781D"/>
    <w:rsid w:val="0002097A"/>
    <w:rsid w:val="000244AF"/>
    <w:rsid w:val="000266FD"/>
    <w:rsid w:val="0002779A"/>
    <w:rsid w:val="00030FB6"/>
    <w:rsid w:val="00037C9F"/>
    <w:rsid w:val="00050409"/>
    <w:rsid w:val="0006273D"/>
    <w:rsid w:val="00065469"/>
    <w:rsid w:val="00066DE3"/>
    <w:rsid w:val="00075260"/>
    <w:rsid w:val="00077B8E"/>
    <w:rsid w:val="00080991"/>
    <w:rsid w:val="0008316E"/>
    <w:rsid w:val="00091AFB"/>
    <w:rsid w:val="00094AFC"/>
    <w:rsid w:val="000B1AF6"/>
    <w:rsid w:val="000D1C8F"/>
    <w:rsid w:val="000D387F"/>
    <w:rsid w:val="000D5426"/>
    <w:rsid w:val="000E5FDA"/>
    <w:rsid w:val="000F1E9D"/>
    <w:rsid w:val="000F66DF"/>
    <w:rsid w:val="00116102"/>
    <w:rsid w:val="00116EB0"/>
    <w:rsid w:val="00121B75"/>
    <w:rsid w:val="00124938"/>
    <w:rsid w:val="00125CF0"/>
    <w:rsid w:val="00130411"/>
    <w:rsid w:val="0014117A"/>
    <w:rsid w:val="00141816"/>
    <w:rsid w:val="00166F68"/>
    <w:rsid w:val="001711A3"/>
    <w:rsid w:val="00171434"/>
    <w:rsid w:val="00173037"/>
    <w:rsid w:val="00181560"/>
    <w:rsid w:val="00181EF5"/>
    <w:rsid w:val="001822CA"/>
    <w:rsid w:val="00185D40"/>
    <w:rsid w:val="00190F37"/>
    <w:rsid w:val="00195B65"/>
    <w:rsid w:val="00196F35"/>
    <w:rsid w:val="001A04F7"/>
    <w:rsid w:val="001A04FD"/>
    <w:rsid w:val="001A094B"/>
    <w:rsid w:val="001A0961"/>
    <w:rsid w:val="001A6B2A"/>
    <w:rsid w:val="001B5548"/>
    <w:rsid w:val="001C7C9E"/>
    <w:rsid w:val="001C7DFE"/>
    <w:rsid w:val="001D13A1"/>
    <w:rsid w:val="001E6697"/>
    <w:rsid w:val="001E7867"/>
    <w:rsid w:val="001F0F93"/>
    <w:rsid w:val="001F19FE"/>
    <w:rsid w:val="001F6EFE"/>
    <w:rsid w:val="001F7F92"/>
    <w:rsid w:val="00201691"/>
    <w:rsid w:val="00212913"/>
    <w:rsid w:val="00232A35"/>
    <w:rsid w:val="002518F4"/>
    <w:rsid w:val="00253275"/>
    <w:rsid w:val="00274A15"/>
    <w:rsid w:val="00277164"/>
    <w:rsid w:val="0028063F"/>
    <w:rsid w:val="00285638"/>
    <w:rsid w:val="002A4916"/>
    <w:rsid w:val="002A7251"/>
    <w:rsid w:val="002B3E54"/>
    <w:rsid w:val="002B628B"/>
    <w:rsid w:val="002C35BE"/>
    <w:rsid w:val="002C522F"/>
    <w:rsid w:val="002D05FF"/>
    <w:rsid w:val="002E4C83"/>
    <w:rsid w:val="002E539B"/>
    <w:rsid w:val="00302483"/>
    <w:rsid w:val="0030688F"/>
    <w:rsid w:val="0031282B"/>
    <w:rsid w:val="00315D62"/>
    <w:rsid w:val="00327417"/>
    <w:rsid w:val="0034362F"/>
    <w:rsid w:val="003439F2"/>
    <w:rsid w:val="00344644"/>
    <w:rsid w:val="00360CCB"/>
    <w:rsid w:val="00362A7F"/>
    <w:rsid w:val="0037372C"/>
    <w:rsid w:val="00377D68"/>
    <w:rsid w:val="00380ED2"/>
    <w:rsid w:val="003848E9"/>
    <w:rsid w:val="00390E28"/>
    <w:rsid w:val="003B1709"/>
    <w:rsid w:val="003B1A02"/>
    <w:rsid w:val="003B2315"/>
    <w:rsid w:val="003D18CD"/>
    <w:rsid w:val="003D5338"/>
    <w:rsid w:val="003F0280"/>
    <w:rsid w:val="003F1E00"/>
    <w:rsid w:val="003F2B70"/>
    <w:rsid w:val="003F41F1"/>
    <w:rsid w:val="0040164E"/>
    <w:rsid w:val="00402FDF"/>
    <w:rsid w:val="00437388"/>
    <w:rsid w:val="00440FDD"/>
    <w:rsid w:val="004422D3"/>
    <w:rsid w:val="00442386"/>
    <w:rsid w:val="00442990"/>
    <w:rsid w:val="00452E43"/>
    <w:rsid w:val="00457193"/>
    <w:rsid w:val="004708EB"/>
    <w:rsid w:val="0048055D"/>
    <w:rsid w:val="00485879"/>
    <w:rsid w:val="00487C78"/>
    <w:rsid w:val="00490FE3"/>
    <w:rsid w:val="00491767"/>
    <w:rsid w:val="00497D52"/>
    <w:rsid w:val="004A44E5"/>
    <w:rsid w:val="004E3ECB"/>
    <w:rsid w:val="004F5A38"/>
    <w:rsid w:val="00506A16"/>
    <w:rsid w:val="005107B2"/>
    <w:rsid w:val="00515EFB"/>
    <w:rsid w:val="005178C8"/>
    <w:rsid w:val="00517E11"/>
    <w:rsid w:val="00522607"/>
    <w:rsid w:val="00522E4E"/>
    <w:rsid w:val="00532A4E"/>
    <w:rsid w:val="00542281"/>
    <w:rsid w:val="00544A07"/>
    <w:rsid w:val="005534B2"/>
    <w:rsid w:val="005714B6"/>
    <w:rsid w:val="005732C9"/>
    <w:rsid w:val="0059243F"/>
    <w:rsid w:val="005A1614"/>
    <w:rsid w:val="005A2983"/>
    <w:rsid w:val="005B2DB2"/>
    <w:rsid w:val="005B593E"/>
    <w:rsid w:val="005C2265"/>
    <w:rsid w:val="005C277A"/>
    <w:rsid w:val="005C38F8"/>
    <w:rsid w:val="005D6DC9"/>
    <w:rsid w:val="005E074D"/>
    <w:rsid w:val="005E291C"/>
    <w:rsid w:val="005E2DAA"/>
    <w:rsid w:val="005F0806"/>
    <w:rsid w:val="005F6525"/>
    <w:rsid w:val="005F6FF6"/>
    <w:rsid w:val="00607403"/>
    <w:rsid w:val="006107CA"/>
    <w:rsid w:val="006200D1"/>
    <w:rsid w:val="00623580"/>
    <w:rsid w:val="00624515"/>
    <w:rsid w:val="00641C7A"/>
    <w:rsid w:val="006458ED"/>
    <w:rsid w:val="006521A4"/>
    <w:rsid w:val="00655E7C"/>
    <w:rsid w:val="00670B50"/>
    <w:rsid w:val="00672BD8"/>
    <w:rsid w:val="00681E6B"/>
    <w:rsid w:val="00682E86"/>
    <w:rsid w:val="006860FF"/>
    <w:rsid w:val="0068679E"/>
    <w:rsid w:val="006935EF"/>
    <w:rsid w:val="006A0C6E"/>
    <w:rsid w:val="006A598F"/>
    <w:rsid w:val="006B4B4C"/>
    <w:rsid w:val="006C1505"/>
    <w:rsid w:val="006C2589"/>
    <w:rsid w:val="006C54D4"/>
    <w:rsid w:val="006C7A4D"/>
    <w:rsid w:val="006D060C"/>
    <w:rsid w:val="006D2EF6"/>
    <w:rsid w:val="006E4DD3"/>
    <w:rsid w:val="006E5583"/>
    <w:rsid w:val="00704263"/>
    <w:rsid w:val="007069DB"/>
    <w:rsid w:val="00710A9A"/>
    <w:rsid w:val="007145A1"/>
    <w:rsid w:val="00726714"/>
    <w:rsid w:val="00731293"/>
    <w:rsid w:val="007356F8"/>
    <w:rsid w:val="00735D31"/>
    <w:rsid w:val="00740EB5"/>
    <w:rsid w:val="007470CC"/>
    <w:rsid w:val="00751CFA"/>
    <w:rsid w:val="00763F2D"/>
    <w:rsid w:val="00765AAA"/>
    <w:rsid w:val="00782A25"/>
    <w:rsid w:val="00784B41"/>
    <w:rsid w:val="00786252"/>
    <w:rsid w:val="00787FCF"/>
    <w:rsid w:val="00794B05"/>
    <w:rsid w:val="007B4FBB"/>
    <w:rsid w:val="007D1463"/>
    <w:rsid w:val="007D49E9"/>
    <w:rsid w:val="007E0098"/>
    <w:rsid w:val="007F5429"/>
    <w:rsid w:val="007F76E6"/>
    <w:rsid w:val="0084169E"/>
    <w:rsid w:val="00846102"/>
    <w:rsid w:val="00863653"/>
    <w:rsid w:val="00871634"/>
    <w:rsid w:val="008814A3"/>
    <w:rsid w:val="008815F0"/>
    <w:rsid w:val="00882359"/>
    <w:rsid w:val="008965D8"/>
    <w:rsid w:val="008B02FD"/>
    <w:rsid w:val="008C26F3"/>
    <w:rsid w:val="008D3BC2"/>
    <w:rsid w:val="008D56CC"/>
    <w:rsid w:val="008D5B9F"/>
    <w:rsid w:val="008E425C"/>
    <w:rsid w:val="008F122F"/>
    <w:rsid w:val="008F1A20"/>
    <w:rsid w:val="008F2BEE"/>
    <w:rsid w:val="008F54A7"/>
    <w:rsid w:val="00900FCC"/>
    <w:rsid w:val="0092191D"/>
    <w:rsid w:val="00930123"/>
    <w:rsid w:val="00934E3E"/>
    <w:rsid w:val="00961449"/>
    <w:rsid w:val="0098463C"/>
    <w:rsid w:val="00984FC2"/>
    <w:rsid w:val="00991F13"/>
    <w:rsid w:val="009A06E4"/>
    <w:rsid w:val="009B62CF"/>
    <w:rsid w:val="009D1216"/>
    <w:rsid w:val="009E08DA"/>
    <w:rsid w:val="009F6E1B"/>
    <w:rsid w:val="00A15541"/>
    <w:rsid w:val="00A21138"/>
    <w:rsid w:val="00A21939"/>
    <w:rsid w:val="00A2263A"/>
    <w:rsid w:val="00A363F7"/>
    <w:rsid w:val="00A62D60"/>
    <w:rsid w:val="00A63298"/>
    <w:rsid w:val="00A652A9"/>
    <w:rsid w:val="00A703C9"/>
    <w:rsid w:val="00A72D19"/>
    <w:rsid w:val="00A75776"/>
    <w:rsid w:val="00A90D4B"/>
    <w:rsid w:val="00A945A4"/>
    <w:rsid w:val="00A96579"/>
    <w:rsid w:val="00AA0518"/>
    <w:rsid w:val="00AB76EF"/>
    <w:rsid w:val="00AC1C74"/>
    <w:rsid w:val="00B01092"/>
    <w:rsid w:val="00B02229"/>
    <w:rsid w:val="00B31AC2"/>
    <w:rsid w:val="00B31D9F"/>
    <w:rsid w:val="00B33A43"/>
    <w:rsid w:val="00B42C47"/>
    <w:rsid w:val="00B451D8"/>
    <w:rsid w:val="00B479D3"/>
    <w:rsid w:val="00B53D11"/>
    <w:rsid w:val="00B6358A"/>
    <w:rsid w:val="00B64D82"/>
    <w:rsid w:val="00B95F2B"/>
    <w:rsid w:val="00BA1189"/>
    <w:rsid w:val="00BB3E86"/>
    <w:rsid w:val="00BB77C9"/>
    <w:rsid w:val="00BC3CC2"/>
    <w:rsid w:val="00BC4554"/>
    <w:rsid w:val="00BD0829"/>
    <w:rsid w:val="00BD17C0"/>
    <w:rsid w:val="00BD65A8"/>
    <w:rsid w:val="00BE6D36"/>
    <w:rsid w:val="00BE7FED"/>
    <w:rsid w:val="00C05AD5"/>
    <w:rsid w:val="00C05D5D"/>
    <w:rsid w:val="00C127CB"/>
    <w:rsid w:val="00C13D0A"/>
    <w:rsid w:val="00C14104"/>
    <w:rsid w:val="00C16274"/>
    <w:rsid w:val="00C47530"/>
    <w:rsid w:val="00C5070B"/>
    <w:rsid w:val="00C56B88"/>
    <w:rsid w:val="00C7174C"/>
    <w:rsid w:val="00C76847"/>
    <w:rsid w:val="00C77223"/>
    <w:rsid w:val="00C87E50"/>
    <w:rsid w:val="00CA352A"/>
    <w:rsid w:val="00CC542D"/>
    <w:rsid w:val="00CD0842"/>
    <w:rsid w:val="00CD26E7"/>
    <w:rsid w:val="00CE2ACC"/>
    <w:rsid w:val="00CF1373"/>
    <w:rsid w:val="00CF452D"/>
    <w:rsid w:val="00D013FC"/>
    <w:rsid w:val="00D156BB"/>
    <w:rsid w:val="00D23B99"/>
    <w:rsid w:val="00D463B5"/>
    <w:rsid w:val="00D502BF"/>
    <w:rsid w:val="00D630D6"/>
    <w:rsid w:val="00D822E4"/>
    <w:rsid w:val="00D82DF3"/>
    <w:rsid w:val="00D85B59"/>
    <w:rsid w:val="00D92B85"/>
    <w:rsid w:val="00D94238"/>
    <w:rsid w:val="00DA0265"/>
    <w:rsid w:val="00DB36C4"/>
    <w:rsid w:val="00DB3A25"/>
    <w:rsid w:val="00DB5F21"/>
    <w:rsid w:val="00DB7936"/>
    <w:rsid w:val="00DC2FBB"/>
    <w:rsid w:val="00DD6EEC"/>
    <w:rsid w:val="00DE2C16"/>
    <w:rsid w:val="00DE497F"/>
    <w:rsid w:val="00DF2B2B"/>
    <w:rsid w:val="00E02160"/>
    <w:rsid w:val="00E02E09"/>
    <w:rsid w:val="00E320B0"/>
    <w:rsid w:val="00E37CD1"/>
    <w:rsid w:val="00E5139A"/>
    <w:rsid w:val="00E5234F"/>
    <w:rsid w:val="00E52581"/>
    <w:rsid w:val="00E603D9"/>
    <w:rsid w:val="00E63748"/>
    <w:rsid w:val="00E77781"/>
    <w:rsid w:val="00E87221"/>
    <w:rsid w:val="00E87290"/>
    <w:rsid w:val="00E911C9"/>
    <w:rsid w:val="00E978DB"/>
    <w:rsid w:val="00EA33F1"/>
    <w:rsid w:val="00EB1E9C"/>
    <w:rsid w:val="00EB5B57"/>
    <w:rsid w:val="00ED09E3"/>
    <w:rsid w:val="00ED3E04"/>
    <w:rsid w:val="00ED400B"/>
    <w:rsid w:val="00ED5E1F"/>
    <w:rsid w:val="00ED61BC"/>
    <w:rsid w:val="00EE478C"/>
    <w:rsid w:val="00EF162D"/>
    <w:rsid w:val="00EF1CCC"/>
    <w:rsid w:val="00EF2AFC"/>
    <w:rsid w:val="00F076BD"/>
    <w:rsid w:val="00F14C56"/>
    <w:rsid w:val="00F21DC5"/>
    <w:rsid w:val="00F228EC"/>
    <w:rsid w:val="00F2525B"/>
    <w:rsid w:val="00F30E8D"/>
    <w:rsid w:val="00F30F94"/>
    <w:rsid w:val="00F36D0A"/>
    <w:rsid w:val="00F417CA"/>
    <w:rsid w:val="00F47982"/>
    <w:rsid w:val="00F540D6"/>
    <w:rsid w:val="00F642AF"/>
    <w:rsid w:val="00F72A97"/>
    <w:rsid w:val="00F8041A"/>
    <w:rsid w:val="00F879B8"/>
    <w:rsid w:val="00F94656"/>
    <w:rsid w:val="00FA1192"/>
    <w:rsid w:val="00FA1209"/>
    <w:rsid w:val="00FB0B76"/>
    <w:rsid w:val="00FB3CFA"/>
    <w:rsid w:val="00FC28AC"/>
    <w:rsid w:val="00FD0A16"/>
    <w:rsid w:val="00FD7C0F"/>
    <w:rsid w:val="00FF1139"/>
    <w:rsid w:val="00FF3A04"/>
    <w:rsid w:val="00FF7582"/>
    <w:rsid w:val="01137ECF"/>
    <w:rsid w:val="011639C3"/>
    <w:rsid w:val="019F779D"/>
    <w:rsid w:val="01B64655"/>
    <w:rsid w:val="01BD0368"/>
    <w:rsid w:val="01BF166D"/>
    <w:rsid w:val="021315FF"/>
    <w:rsid w:val="021A71DE"/>
    <w:rsid w:val="021F298B"/>
    <w:rsid w:val="022A0D1C"/>
    <w:rsid w:val="02306FE6"/>
    <w:rsid w:val="02646578"/>
    <w:rsid w:val="027D2346"/>
    <w:rsid w:val="02A44C36"/>
    <w:rsid w:val="02BD6C25"/>
    <w:rsid w:val="02D53F30"/>
    <w:rsid w:val="02DA783B"/>
    <w:rsid w:val="02ED2034"/>
    <w:rsid w:val="02F900F0"/>
    <w:rsid w:val="03600DF2"/>
    <w:rsid w:val="03C31846"/>
    <w:rsid w:val="03C377B9"/>
    <w:rsid w:val="03C474B5"/>
    <w:rsid w:val="03FA5714"/>
    <w:rsid w:val="03FA7913"/>
    <w:rsid w:val="04074A2A"/>
    <w:rsid w:val="040856CE"/>
    <w:rsid w:val="04752A51"/>
    <w:rsid w:val="04F27EAB"/>
    <w:rsid w:val="052A0BBF"/>
    <w:rsid w:val="053F372F"/>
    <w:rsid w:val="05567BCF"/>
    <w:rsid w:val="058A4BA6"/>
    <w:rsid w:val="059F706B"/>
    <w:rsid w:val="05B74771"/>
    <w:rsid w:val="05E929C1"/>
    <w:rsid w:val="05EB7CB6"/>
    <w:rsid w:val="05EF0CE5"/>
    <w:rsid w:val="062E1CA6"/>
    <w:rsid w:val="06701DA5"/>
    <w:rsid w:val="06CD64B7"/>
    <w:rsid w:val="06FD7006"/>
    <w:rsid w:val="0715212E"/>
    <w:rsid w:val="07264E1D"/>
    <w:rsid w:val="0729334D"/>
    <w:rsid w:val="075C6B62"/>
    <w:rsid w:val="077144DA"/>
    <w:rsid w:val="078739CD"/>
    <w:rsid w:val="079600FE"/>
    <w:rsid w:val="07B25830"/>
    <w:rsid w:val="07BF12C2"/>
    <w:rsid w:val="07E12AFC"/>
    <w:rsid w:val="085F7B47"/>
    <w:rsid w:val="08A615C0"/>
    <w:rsid w:val="08AB4169"/>
    <w:rsid w:val="08BF0E65"/>
    <w:rsid w:val="08F116F0"/>
    <w:rsid w:val="098147A7"/>
    <w:rsid w:val="0983373F"/>
    <w:rsid w:val="099524B3"/>
    <w:rsid w:val="099C0784"/>
    <w:rsid w:val="09C629FE"/>
    <w:rsid w:val="09DC163D"/>
    <w:rsid w:val="0A39168B"/>
    <w:rsid w:val="0AB40A68"/>
    <w:rsid w:val="0ACD3DD8"/>
    <w:rsid w:val="0B130E21"/>
    <w:rsid w:val="0B4479E3"/>
    <w:rsid w:val="0C360518"/>
    <w:rsid w:val="0C385C19"/>
    <w:rsid w:val="0C465EB4"/>
    <w:rsid w:val="0C5B4ED4"/>
    <w:rsid w:val="0C686768"/>
    <w:rsid w:val="0C6A76ED"/>
    <w:rsid w:val="0C811890"/>
    <w:rsid w:val="0CB06B5C"/>
    <w:rsid w:val="0CBD35C0"/>
    <w:rsid w:val="0CF3519C"/>
    <w:rsid w:val="0D0C34E3"/>
    <w:rsid w:val="0D5D3EDC"/>
    <w:rsid w:val="0D6C0594"/>
    <w:rsid w:val="0D86333C"/>
    <w:rsid w:val="0D8F61CA"/>
    <w:rsid w:val="0D9848DC"/>
    <w:rsid w:val="0D9A5869"/>
    <w:rsid w:val="0DAB426D"/>
    <w:rsid w:val="0DB31E30"/>
    <w:rsid w:val="0DC25DB0"/>
    <w:rsid w:val="0DD322BA"/>
    <w:rsid w:val="0E207D44"/>
    <w:rsid w:val="0E2D4DCF"/>
    <w:rsid w:val="0E2F4D34"/>
    <w:rsid w:val="0E3522D8"/>
    <w:rsid w:val="0EA40222"/>
    <w:rsid w:val="0ECC0A37"/>
    <w:rsid w:val="0ED0794F"/>
    <w:rsid w:val="0ED46862"/>
    <w:rsid w:val="0F0855C5"/>
    <w:rsid w:val="0F183AD3"/>
    <w:rsid w:val="0F1C09E9"/>
    <w:rsid w:val="0F2B7270"/>
    <w:rsid w:val="0F5C7A3F"/>
    <w:rsid w:val="0F8D3214"/>
    <w:rsid w:val="0F8E0EFD"/>
    <w:rsid w:val="0FA7762E"/>
    <w:rsid w:val="0FAA29A5"/>
    <w:rsid w:val="0FD06173"/>
    <w:rsid w:val="1029250B"/>
    <w:rsid w:val="105B1C29"/>
    <w:rsid w:val="107739DC"/>
    <w:rsid w:val="10DD1FF8"/>
    <w:rsid w:val="11134B92"/>
    <w:rsid w:val="11352B49"/>
    <w:rsid w:val="11566901"/>
    <w:rsid w:val="11967894"/>
    <w:rsid w:val="11DD425B"/>
    <w:rsid w:val="11E30B19"/>
    <w:rsid w:val="11F8610A"/>
    <w:rsid w:val="120309ED"/>
    <w:rsid w:val="12126CB4"/>
    <w:rsid w:val="124B2A19"/>
    <w:rsid w:val="12EC1DF4"/>
    <w:rsid w:val="12FC46B3"/>
    <w:rsid w:val="13453BAE"/>
    <w:rsid w:val="13B0545B"/>
    <w:rsid w:val="13B41C63"/>
    <w:rsid w:val="13F75554"/>
    <w:rsid w:val="145D0DF7"/>
    <w:rsid w:val="145D677A"/>
    <w:rsid w:val="147C16AC"/>
    <w:rsid w:val="151E5632"/>
    <w:rsid w:val="15353059"/>
    <w:rsid w:val="15433673"/>
    <w:rsid w:val="154645F8"/>
    <w:rsid w:val="154B6F12"/>
    <w:rsid w:val="1579522C"/>
    <w:rsid w:val="15894CE1"/>
    <w:rsid w:val="15A26D13"/>
    <w:rsid w:val="15D43E5C"/>
    <w:rsid w:val="15E82AFC"/>
    <w:rsid w:val="160D0B3E"/>
    <w:rsid w:val="16296DE9"/>
    <w:rsid w:val="164C4486"/>
    <w:rsid w:val="16A05B2E"/>
    <w:rsid w:val="16F72CB9"/>
    <w:rsid w:val="16FC5700"/>
    <w:rsid w:val="170B2145"/>
    <w:rsid w:val="170B61EC"/>
    <w:rsid w:val="17135849"/>
    <w:rsid w:val="17177DC5"/>
    <w:rsid w:val="171F2FCC"/>
    <w:rsid w:val="17263809"/>
    <w:rsid w:val="17683053"/>
    <w:rsid w:val="178F2F32"/>
    <w:rsid w:val="17974DC1"/>
    <w:rsid w:val="179C1230"/>
    <w:rsid w:val="17D058B2"/>
    <w:rsid w:val="17D50129"/>
    <w:rsid w:val="17FD49F5"/>
    <w:rsid w:val="182E2C8D"/>
    <w:rsid w:val="18725A17"/>
    <w:rsid w:val="187A1089"/>
    <w:rsid w:val="18985C69"/>
    <w:rsid w:val="18CA3EB9"/>
    <w:rsid w:val="19224548"/>
    <w:rsid w:val="196A36C3"/>
    <w:rsid w:val="19C169D0"/>
    <w:rsid w:val="19C47954"/>
    <w:rsid w:val="19C7635B"/>
    <w:rsid w:val="19C80559"/>
    <w:rsid w:val="19CF2274"/>
    <w:rsid w:val="19DB61F7"/>
    <w:rsid w:val="19DC71FA"/>
    <w:rsid w:val="19E90A8E"/>
    <w:rsid w:val="19EB7814"/>
    <w:rsid w:val="1A0D17B3"/>
    <w:rsid w:val="1A1254D5"/>
    <w:rsid w:val="1A63733A"/>
    <w:rsid w:val="1A6755E2"/>
    <w:rsid w:val="1AD913D3"/>
    <w:rsid w:val="1B684DCA"/>
    <w:rsid w:val="1B97445D"/>
    <w:rsid w:val="1BC4709A"/>
    <w:rsid w:val="1BD50639"/>
    <w:rsid w:val="1BF75592"/>
    <w:rsid w:val="1C1B38F9"/>
    <w:rsid w:val="1C3016E4"/>
    <w:rsid w:val="1C7104B7"/>
    <w:rsid w:val="1C816553"/>
    <w:rsid w:val="1C9A167C"/>
    <w:rsid w:val="1CB966AD"/>
    <w:rsid w:val="1CBE19CC"/>
    <w:rsid w:val="1CE86E80"/>
    <w:rsid w:val="1CFF6E22"/>
    <w:rsid w:val="1D183AB5"/>
    <w:rsid w:val="1D2F1B6F"/>
    <w:rsid w:val="1D465018"/>
    <w:rsid w:val="1D8B4811"/>
    <w:rsid w:val="1DE90F9E"/>
    <w:rsid w:val="1E192DF2"/>
    <w:rsid w:val="1E4800BE"/>
    <w:rsid w:val="1E7159FF"/>
    <w:rsid w:val="1E774B5B"/>
    <w:rsid w:val="1E9C42C4"/>
    <w:rsid w:val="1ED43525"/>
    <w:rsid w:val="1EE36A36"/>
    <w:rsid w:val="1EE6343F"/>
    <w:rsid w:val="1EEF08F5"/>
    <w:rsid w:val="1EFC2879"/>
    <w:rsid w:val="1F15070B"/>
    <w:rsid w:val="1F3931EA"/>
    <w:rsid w:val="1F3D76D1"/>
    <w:rsid w:val="1F4202D5"/>
    <w:rsid w:val="1F8905FA"/>
    <w:rsid w:val="1FA26CA8"/>
    <w:rsid w:val="1FE717BD"/>
    <w:rsid w:val="1FF22678"/>
    <w:rsid w:val="1FFB3D26"/>
    <w:rsid w:val="200D199F"/>
    <w:rsid w:val="200E1FA8"/>
    <w:rsid w:val="207A3855"/>
    <w:rsid w:val="20921553"/>
    <w:rsid w:val="20A943A5"/>
    <w:rsid w:val="21004DB3"/>
    <w:rsid w:val="210437B9"/>
    <w:rsid w:val="214A3A42"/>
    <w:rsid w:val="21D3730A"/>
    <w:rsid w:val="21FC1F0C"/>
    <w:rsid w:val="222E41A0"/>
    <w:rsid w:val="22446344"/>
    <w:rsid w:val="22523C18"/>
    <w:rsid w:val="22734C95"/>
    <w:rsid w:val="22CD0827"/>
    <w:rsid w:val="22DC1591"/>
    <w:rsid w:val="22FE6580"/>
    <w:rsid w:val="230A04DB"/>
    <w:rsid w:val="231175DE"/>
    <w:rsid w:val="23181B9F"/>
    <w:rsid w:val="233F30E4"/>
    <w:rsid w:val="235C138F"/>
    <w:rsid w:val="235F4E0C"/>
    <w:rsid w:val="236A19AA"/>
    <w:rsid w:val="23815D4C"/>
    <w:rsid w:val="23A21B04"/>
    <w:rsid w:val="23ED1709"/>
    <w:rsid w:val="23F70EE6"/>
    <w:rsid w:val="2417620D"/>
    <w:rsid w:val="242023D2"/>
    <w:rsid w:val="24493596"/>
    <w:rsid w:val="24A713B1"/>
    <w:rsid w:val="250C41AE"/>
    <w:rsid w:val="25544D4D"/>
    <w:rsid w:val="25581762"/>
    <w:rsid w:val="258A19A4"/>
    <w:rsid w:val="259C09C5"/>
    <w:rsid w:val="25D21D98"/>
    <w:rsid w:val="261E4416"/>
    <w:rsid w:val="26621687"/>
    <w:rsid w:val="266A6A94"/>
    <w:rsid w:val="26731922"/>
    <w:rsid w:val="268A0249"/>
    <w:rsid w:val="26B87A9E"/>
    <w:rsid w:val="26C02A53"/>
    <w:rsid w:val="26D519C6"/>
    <w:rsid w:val="270D4FC9"/>
    <w:rsid w:val="272956F5"/>
    <w:rsid w:val="27347C8D"/>
    <w:rsid w:val="27515FE4"/>
    <w:rsid w:val="275B657C"/>
    <w:rsid w:val="27A56365"/>
    <w:rsid w:val="27A82E43"/>
    <w:rsid w:val="27E84D06"/>
    <w:rsid w:val="28187A54"/>
    <w:rsid w:val="282D39EB"/>
    <w:rsid w:val="28385D8A"/>
    <w:rsid w:val="2855533A"/>
    <w:rsid w:val="28780D78"/>
    <w:rsid w:val="288B0888"/>
    <w:rsid w:val="28B27C52"/>
    <w:rsid w:val="28B424C6"/>
    <w:rsid w:val="291908FB"/>
    <w:rsid w:val="29371BD0"/>
    <w:rsid w:val="29484EBC"/>
    <w:rsid w:val="29547C84"/>
    <w:rsid w:val="29A42A5E"/>
    <w:rsid w:val="29A61581"/>
    <w:rsid w:val="29AA01EA"/>
    <w:rsid w:val="29AD116F"/>
    <w:rsid w:val="29E2123D"/>
    <w:rsid w:val="2A024BB9"/>
    <w:rsid w:val="2A0D10FC"/>
    <w:rsid w:val="2A1A16D0"/>
    <w:rsid w:val="2A1E4926"/>
    <w:rsid w:val="2A2158AB"/>
    <w:rsid w:val="2A331048"/>
    <w:rsid w:val="2A407CA6"/>
    <w:rsid w:val="2A472320"/>
    <w:rsid w:val="2A8B2D5C"/>
    <w:rsid w:val="2B09362A"/>
    <w:rsid w:val="2B424A89"/>
    <w:rsid w:val="2B472286"/>
    <w:rsid w:val="2B5910F4"/>
    <w:rsid w:val="2B652F86"/>
    <w:rsid w:val="2B8104B9"/>
    <w:rsid w:val="2BA32ABA"/>
    <w:rsid w:val="2BB824C9"/>
    <w:rsid w:val="2BCF1C07"/>
    <w:rsid w:val="2BDD3602"/>
    <w:rsid w:val="2BFF06BF"/>
    <w:rsid w:val="2C283A81"/>
    <w:rsid w:val="2C3C6E9F"/>
    <w:rsid w:val="2C3D673C"/>
    <w:rsid w:val="2C40663D"/>
    <w:rsid w:val="2C543D8B"/>
    <w:rsid w:val="2C647B62"/>
    <w:rsid w:val="2C8679DC"/>
    <w:rsid w:val="2C940BB2"/>
    <w:rsid w:val="2CA27EC8"/>
    <w:rsid w:val="2CBF6B5D"/>
    <w:rsid w:val="2CFC1117"/>
    <w:rsid w:val="2D085778"/>
    <w:rsid w:val="2DAC5DFC"/>
    <w:rsid w:val="2DC10320"/>
    <w:rsid w:val="2DC54EEE"/>
    <w:rsid w:val="2DD34A42"/>
    <w:rsid w:val="2E234457"/>
    <w:rsid w:val="2EA86ABA"/>
    <w:rsid w:val="2EC06F84"/>
    <w:rsid w:val="2EDC7DC6"/>
    <w:rsid w:val="2F1653CE"/>
    <w:rsid w:val="2F4A6B22"/>
    <w:rsid w:val="2F77416E"/>
    <w:rsid w:val="2F8551C4"/>
    <w:rsid w:val="2F91565A"/>
    <w:rsid w:val="2FD00080"/>
    <w:rsid w:val="2FDB2F3F"/>
    <w:rsid w:val="2FF276DA"/>
    <w:rsid w:val="2FF86BBA"/>
    <w:rsid w:val="30085C5B"/>
    <w:rsid w:val="303C2C32"/>
    <w:rsid w:val="305F666A"/>
    <w:rsid w:val="307933D5"/>
    <w:rsid w:val="30850AA8"/>
    <w:rsid w:val="30BE1F06"/>
    <w:rsid w:val="30DC335B"/>
    <w:rsid w:val="30E65649"/>
    <w:rsid w:val="314246DE"/>
    <w:rsid w:val="31534D6F"/>
    <w:rsid w:val="315D6E4F"/>
    <w:rsid w:val="316A20F1"/>
    <w:rsid w:val="316F64A7"/>
    <w:rsid w:val="31776119"/>
    <w:rsid w:val="318721BD"/>
    <w:rsid w:val="32DD7D02"/>
    <w:rsid w:val="331B1D66"/>
    <w:rsid w:val="335F2521"/>
    <w:rsid w:val="335F574A"/>
    <w:rsid w:val="336B2DEA"/>
    <w:rsid w:val="33E66B4C"/>
    <w:rsid w:val="340073C1"/>
    <w:rsid w:val="34594CAC"/>
    <w:rsid w:val="347545A1"/>
    <w:rsid w:val="349260CF"/>
    <w:rsid w:val="349E665E"/>
    <w:rsid w:val="35911BD5"/>
    <w:rsid w:val="35925C72"/>
    <w:rsid w:val="359A1CAB"/>
    <w:rsid w:val="35A517BB"/>
    <w:rsid w:val="35A54C93"/>
    <w:rsid w:val="35E86CF3"/>
    <w:rsid w:val="35ED5087"/>
    <w:rsid w:val="36417DFF"/>
    <w:rsid w:val="366E703E"/>
    <w:rsid w:val="36761F7A"/>
    <w:rsid w:val="36964DD0"/>
    <w:rsid w:val="36B32364"/>
    <w:rsid w:val="36B85A54"/>
    <w:rsid w:val="36C00580"/>
    <w:rsid w:val="36D83D8B"/>
    <w:rsid w:val="36DA3D27"/>
    <w:rsid w:val="3712625D"/>
    <w:rsid w:val="37196D72"/>
    <w:rsid w:val="371C5779"/>
    <w:rsid w:val="372D35C1"/>
    <w:rsid w:val="37471E40"/>
    <w:rsid w:val="375E2333"/>
    <w:rsid w:val="37A137D4"/>
    <w:rsid w:val="37B640D0"/>
    <w:rsid w:val="37CD530C"/>
    <w:rsid w:val="37D529A9"/>
    <w:rsid w:val="37F479DA"/>
    <w:rsid w:val="38234099"/>
    <w:rsid w:val="38373852"/>
    <w:rsid w:val="387C0934"/>
    <w:rsid w:val="3886244D"/>
    <w:rsid w:val="39060B1C"/>
    <w:rsid w:val="39095546"/>
    <w:rsid w:val="39266592"/>
    <w:rsid w:val="39740AAA"/>
    <w:rsid w:val="397D0382"/>
    <w:rsid w:val="39AF5AB2"/>
    <w:rsid w:val="39C656D7"/>
    <w:rsid w:val="39CC6280"/>
    <w:rsid w:val="39EE051E"/>
    <w:rsid w:val="39FB0130"/>
    <w:rsid w:val="3A0B03CA"/>
    <w:rsid w:val="3A130032"/>
    <w:rsid w:val="3A204AEC"/>
    <w:rsid w:val="3A916017"/>
    <w:rsid w:val="3AE3482A"/>
    <w:rsid w:val="3B067077"/>
    <w:rsid w:val="3B0D50EF"/>
    <w:rsid w:val="3BA77DEB"/>
    <w:rsid w:val="3BA91DF7"/>
    <w:rsid w:val="3BBE0EFC"/>
    <w:rsid w:val="3BC33E98"/>
    <w:rsid w:val="3BFE07FA"/>
    <w:rsid w:val="3C216AB0"/>
    <w:rsid w:val="3C810DD3"/>
    <w:rsid w:val="3CC22027"/>
    <w:rsid w:val="3CD817E2"/>
    <w:rsid w:val="3CEC4BFF"/>
    <w:rsid w:val="3D19224B"/>
    <w:rsid w:val="3D2930EE"/>
    <w:rsid w:val="3D3534B2"/>
    <w:rsid w:val="3D390652"/>
    <w:rsid w:val="3D4A40BD"/>
    <w:rsid w:val="3D6447BB"/>
    <w:rsid w:val="3D651046"/>
    <w:rsid w:val="3D7726F6"/>
    <w:rsid w:val="3D8A7087"/>
    <w:rsid w:val="3DA6413D"/>
    <w:rsid w:val="3DA85743"/>
    <w:rsid w:val="3DB21145"/>
    <w:rsid w:val="3DBF450D"/>
    <w:rsid w:val="3DF17D30"/>
    <w:rsid w:val="3E263682"/>
    <w:rsid w:val="3E2A7B0A"/>
    <w:rsid w:val="3E780C45"/>
    <w:rsid w:val="3E8C212D"/>
    <w:rsid w:val="3F0222A2"/>
    <w:rsid w:val="3F3228BB"/>
    <w:rsid w:val="3F3F4228"/>
    <w:rsid w:val="3F464DDE"/>
    <w:rsid w:val="3F7C4AE2"/>
    <w:rsid w:val="3F990630"/>
    <w:rsid w:val="40CD4BD7"/>
    <w:rsid w:val="40D666C4"/>
    <w:rsid w:val="40D827CB"/>
    <w:rsid w:val="40E47D03"/>
    <w:rsid w:val="40F24A9A"/>
    <w:rsid w:val="40F9243B"/>
    <w:rsid w:val="40FB61D4"/>
    <w:rsid w:val="411F0076"/>
    <w:rsid w:val="412255E9"/>
    <w:rsid w:val="413F6062"/>
    <w:rsid w:val="41487A27"/>
    <w:rsid w:val="415625C0"/>
    <w:rsid w:val="416702DC"/>
    <w:rsid w:val="419655A8"/>
    <w:rsid w:val="41BE0CEB"/>
    <w:rsid w:val="41E4438C"/>
    <w:rsid w:val="42924546"/>
    <w:rsid w:val="429F2F44"/>
    <w:rsid w:val="43150160"/>
    <w:rsid w:val="432066CD"/>
    <w:rsid w:val="435F4B93"/>
    <w:rsid w:val="43620B27"/>
    <w:rsid w:val="43733C91"/>
    <w:rsid w:val="43D60430"/>
    <w:rsid w:val="43EF36FC"/>
    <w:rsid w:val="44052C25"/>
    <w:rsid w:val="44181DC4"/>
    <w:rsid w:val="44213DE3"/>
    <w:rsid w:val="446D72CF"/>
    <w:rsid w:val="44F9752D"/>
    <w:rsid w:val="44FE5E76"/>
    <w:rsid w:val="450F60B2"/>
    <w:rsid w:val="45302890"/>
    <w:rsid w:val="454F0A90"/>
    <w:rsid w:val="457F5E93"/>
    <w:rsid w:val="45A03E35"/>
    <w:rsid w:val="45AD34DF"/>
    <w:rsid w:val="45F81D8B"/>
    <w:rsid w:val="46054696"/>
    <w:rsid w:val="46500C83"/>
    <w:rsid w:val="46547170"/>
    <w:rsid w:val="46810F38"/>
    <w:rsid w:val="469F050C"/>
    <w:rsid w:val="46C94223"/>
    <w:rsid w:val="46EF156C"/>
    <w:rsid w:val="4703600F"/>
    <w:rsid w:val="47100880"/>
    <w:rsid w:val="47342061"/>
    <w:rsid w:val="47ED7291"/>
    <w:rsid w:val="47F25B4F"/>
    <w:rsid w:val="48023CF2"/>
    <w:rsid w:val="4815134F"/>
    <w:rsid w:val="48274AEC"/>
    <w:rsid w:val="488F192B"/>
    <w:rsid w:val="48A616D9"/>
    <w:rsid w:val="48AC2067"/>
    <w:rsid w:val="48D3628A"/>
    <w:rsid w:val="48E155A0"/>
    <w:rsid w:val="49333D25"/>
    <w:rsid w:val="494E576F"/>
    <w:rsid w:val="495942C4"/>
    <w:rsid w:val="49CE72A8"/>
    <w:rsid w:val="49D7670D"/>
    <w:rsid w:val="49E22BC4"/>
    <w:rsid w:val="49EF1EDA"/>
    <w:rsid w:val="4A004AE6"/>
    <w:rsid w:val="4A1B0549"/>
    <w:rsid w:val="4A295537"/>
    <w:rsid w:val="4A5936EC"/>
    <w:rsid w:val="4A714A31"/>
    <w:rsid w:val="4A7B031A"/>
    <w:rsid w:val="4AAE28F8"/>
    <w:rsid w:val="4ABC2DD5"/>
    <w:rsid w:val="4AE51424"/>
    <w:rsid w:val="4AF76E89"/>
    <w:rsid w:val="4B0F275F"/>
    <w:rsid w:val="4B2C5164"/>
    <w:rsid w:val="4B3B1EFC"/>
    <w:rsid w:val="4B8C0A01"/>
    <w:rsid w:val="4BCF17BB"/>
    <w:rsid w:val="4BE25B8D"/>
    <w:rsid w:val="4BFA6AB7"/>
    <w:rsid w:val="4BFD7A3B"/>
    <w:rsid w:val="4C2A1804"/>
    <w:rsid w:val="4C7E128E"/>
    <w:rsid w:val="4D0A0E72"/>
    <w:rsid w:val="4D1B62AD"/>
    <w:rsid w:val="4D1C7E93"/>
    <w:rsid w:val="4D5D6089"/>
    <w:rsid w:val="4DE74FDD"/>
    <w:rsid w:val="4E0D199A"/>
    <w:rsid w:val="4E1F5137"/>
    <w:rsid w:val="4EC067C9"/>
    <w:rsid w:val="4EDE6519"/>
    <w:rsid w:val="4EE0021E"/>
    <w:rsid w:val="4EE64F00"/>
    <w:rsid w:val="4F121076"/>
    <w:rsid w:val="4F26376B"/>
    <w:rsid w:val="4F3F6893"/>
    <w:rsid w:val="4F4A13A1"/>
    <w:rsid w:val="4F5167AE"/>
    <w:rsid w:val="4F5A54D7"/>
    <w:rsid w:val="4F5F6CE9"/>
    <w:rsid w:val="4F61484A"/>
    <w:rsid w:val="4F86384B"/>
    <w:rsid w:val="4F917597"/>
    <w:rsid w:val="4FB92726"/>
    <w:rsid w:val="501442ED"/>
    <w:rsid w:val="50327120"/>
    <w:rsid w:val="50394BBE"/>
    <w:rsid w:val="505E3468"/>
    <w:rsid w:val="506006FE"/>
    <w:rsid w:val="50633173"/>
    <w:rsid w:val="507D2F0C"/>
    <w:rsid w:val="50FB388D"/>
    <w:rsid w:val="51162C16"/>
    <w:rsid w:val="5122249B"/>
    <w:rsid w:val="512A3E35"/>
    <w:rsid w:val="51390B95"/>
    <w:rsid w:val="514A4C42"/>
    <w:rsid w:val="51756715"/>
    <w:rsid w:val="51AC310A"/>
    <w:rsid w:val="51B45F98"/>
    <w:rsid w:val="521F0ECA"/>
    <w:rsid w:val="52336D61"/>
    <w:rsid w:val="524F1A19"/>
    <w:rsid w:val="52655DBB"/>
    <w:rsid w:val="52A45810"/>
    <w:rsid w:val="52BF774F"/>
    <w:rsid w:val="531F0A6D"/>
    <w:rsid w:val="535F565B"/>
    <w:rsid w:val="537E3467"/>
    <w:rsid w:val="53801D8B"/>
    <w:rsid w:val="53994EB3"/>
    <w:rsid w:val="539A61B8"/>
    <w:rsid w:val="539C77A9"/>
    <w:rsid w:val="53E52DB4"/>
    <w:rsid w:val="53FA74D7"/>
    <w:rsid w:val="54A07C64"/>
    <w:rsid w:val="54EC18C2"/>
    <w:rsid w:val="55170BA8"/>
    <w:rsid w:val="551E6BFA"/>
    <w:rsid w:val="558962B9"/>
    <w:rsid w:val="55A22D0A"/>
    <w:rsid w:val="55A64F94"/>
    <w:rsid w:val="56134EFB"/>
    <w:rsid w:val="56466302"/>
    <w:rsid w:val="567F4C77"/>
    <w:rsid w:val="56A60C01"/>
    <w:rsid w:val="56C712CC"/>
    <w:rsid w:val="56CA7B7C"/>
    <w:rsid w:val="56D57C04"/>
    <w:rsid w:val="571B0378"/>
    <w:rsid w:val="57792652"/>
    <w:rsid w:val="57916D3E"/>
    <w:rsid w:val="57A56C58"/>
    <w:rsid w:val="57B51470"/>
    <w:rsid w:val="580C7901"/>
    <w:rsid w:val="58171E8A"/>
    <w:rsid w:val="585D7C79"/>
    <w:rsid w:val="58754118"/>
    <w:rsid w:val="58A65901"/>
    <w:rsid w:val="58F925C7"/>
    <w:rsid w:val="593B5DF4"/>
    <w:rsid w:val="59456704"/>
    <w:rsid w:val="599B1691"/>
    <w:rsid w:val="59B5223B"/>
    <w:rsid w:val="59D779B4"/>
    <w:rsid w:val="5A016AB7"/>
    <w:rsid w:val="5A10384E"/>
    <w:rsid w:val="5A4B3A33"/>
    <w:rsid w:val="5A547718"/>
    <w:rsid w:val="5A66425D"/>
    <w:rsid w:val="5A72006F"/>
    <w:rsid w:val="5A81068A"/>
    <w:rsid w:val="5AAE5CD6"/>
    <w:rsid w:val="5AC6337D"/>
    <w:rsid w:val="5AD50114"/>
    <w:rsid w:val="5AE44B19"/>
    <w:rsid w:val="5B1D324D"/>
    <w:rsid w:val="5B3E64BE"/>
    <w:rsid w:val="5B654180"/>
    <w:rsid w:val="5B8F2DC6"/>
    <w:rsid w:val="5BA91727"/>
    <w:rsid w:val="5BD570CB"/>
    <w:rsid w:val="5C2A03DE"/>
    <w:rsid w:val="5C507600"/>
    <w:rsid w:val="5C586BDA"/>
    <w:rsid w:val="5C8D0751"/>
    <w:rsid w:val="5CAF0C9F"/>
    <w:rsid w:val="5CED3758"/>
    <w:rsid w:val="5CF43F08"/>
    <w:rsid w:val="5D0C16C2"/>
    <w:rsid w:val="5D1237B2"/>
    <w:rsid w:val="5D204456"/>
    <w:rsid w:val="5D543CBF"/>
    <w:rsid w:val="5DD917B8"/>
    <w:rsid w:val="5DF04B2E"/>
    <w:rsid w:val="5E047F4B"/>
    <w:rsid w:val="5E24007C"/>
    <w:rsid w:val="5E731884"/>
    <w:rsid w:val="5ED84B85"/>
    <w:rsid w:val="5EFA5E11"/>
    <w:rsid w:val="5F6A2046"/>
    <w:rsid w:val="5F730C64"/>
    <w:rsid w:val="5F8E5854"/>
    <w:rsid w:val="5FA669B1"/>
    <w:rsid w:val="5FFD5D04"/>
    <w:rsid w:val="601621B0"/>
    <w:rsid w:val="605368DB"/>
    <w:rsid w:val="607B41D8"/>
    <w:rsid w:val="60941FF5"/>
    <w:rsid w:val="60A61D92"/>
    <w:rsid w:val="60B81ABE"/>
    <w:rsid w:val="60E86286"/>
    <w:rsid w:val="60FB7FA9"/>
    <w:rsid w:val="617949C1"/>
    <w:rsid w:val="618D6B67"/>
    <w:rsid w:val="619E0AB7"/>
    <w:rsid w:val="61E55A44"/>
    <w:rsid w:val="61E801CD"/>
    <w:rsid w:val="61F120B8"/>
    <w:rsid w:val="62304BE0"/>
    <w:rsid w:val="62505D4D"/>
    <w:rsid w:val="629676CC"/>
    <w:rsid w:val="629F584D"/>
    <w:rsid w:val="62B71584"/>
    <w:rsid w:val="62C245D5"/>
    <w:rsid w:val="62D068AA"/>
    <w:rsid w:val="62FC2368"/>
    <w:rsid w:val="63236909"/>
    <w:rsid w:val="63524D99"/>
    <w:rsid w:val="635A4E30"/>
    <w:rsid w:val="63711DF2"/>
    <w:rsid w:val="638E0996"/>
    <w:rsid w:val="63B05F18"/>
    <w:rsid w:val="63B20C80"/>
    <w:rsid w:val="640D33BE"/>
    <w:rsid w:val="64105038"/>
    <w:rsid w:val="641649C3"/>
    <w:rsid w:val="641F7851"/>
    <w:rsid w:val="64415807"/>
    <w:rsid w:val="645657AD"/>
    <w:rsid w:val="64857EBC"/>
    <w:rsid w:val="64C55A61"/>
    <w:rsid w:val="653C47A6"/>
    <w:rsid w:val="65473CFE"/>
    <w:rsid w:val="65D5369F"/>
    <w:rsid w:val="65F26305"/>
    <w:rsid w:val="660C3695"/>
    <w:rsid w:val="662326A9"/>
    <w:rsid w:val="66444579"/>
    <w:rsid w:val="664839DE"/>
    <w:rsid w:val="664B3A7B"/>
    <w:rsid w:val="667444A2"/>
    <w:rsid w:val="669F5166"/>
    <w:rsid w:val="669F5FC1"/>
    <w:rsid w:val="66AB108B"/>
    <w:rsid w:val="66C258A6"/>
    <w:rsid w:val="66C84A9A"/>
    <w:rsid w:val="66E11326"/>
    <w:rsid w:val="66EE5AAE"/>
    <w:rsid w:val="67004F04"/>
    <w:rsid w:val="67077294"/>
    <w:rsid w:val="673631FB"/>
    <w:rsid w:val="673F31A7"/>
    <w:rsid w:val="67686034"/>
    <w:rsid w:val="68105548"/>
    <w:rsid w:val="682A60F2"/>
    <w:rsid w:val="6838670D"/>
    <w:rsid w:val="685933BE"/>
    <w:rsid w:val="68881B44"/>
    <w:rsid w:val="68D15606"/>
    <w:rsid w:val="68F8748F"/>
    <w:rsid w:val="68FC52DD"/>
    <w:rsid w:val="690B331A"/>
    <w:rsid w:val="69270594"/>
    <w:rsid w:val="693B7234"/>
    <w:rsid w:val="694559B2"/>
    <w:rsid w:val="695E22D4"/>
    <w:rsid w:val="697D0D22"/>
    <w:rsid w:val="699467F3"/>
    <w:rsid w:val="69A668E3"/>
    <w:rsid w:val="69AE3CF0"/>
    <w:rsid w:val="69CE5697"/>
    <w:rsid w:val="6A4C7071"/>
    <w:rsid w:val="6A526B72"/>
    <w:rsid w:val="6A527855"/>
    <w:rsid w:val="6A54747E"/>
    <w:rsid w:val="6A611108"/>
    <w:rsid w:val="6A7774A8"/>
    <w:rsid w:val="6A9D13FA"/>
    <w:rsid w:val="6AC94C32"/>
    <w:rsid w:val="6ADD43E2"/>
    <w:rsid w:val="6AF13082"/>
    <w:rsid w:val="6B03473E"/>
    <w:rsid w:val="6B0A3FAC"/>
    <w:rsid w:val="6B28355C"/>
    <w:rsid w:val="6B364A70"/>
    <w:rsid w:val="6B3A3476"/>
    <w:rsid w:val="6B7454C1"/>
    <w:rsid w:val="6B7A01B6"/>
    <w:rsid w:val="6BB56643"/>
    <w:rsid w:val="6BCE641F"/>
    <w:rsid w:val="6BED5AD7"/>
    <w:rsid w:val="6C444C2E"/>
    <w:rsid w:val="6C643B21"/>
    <w:rsid w:val="6C7034F3"/>
    <w:rsid w:val="6C786381"/>
    <w:rsid w:val="6D22165F"/>
    <w:rsid w:val="6D23209D"/>
    <w:rsid w:val="6D2555A0"/>
    <w:rsid w:val="6D2E4BAB"/>
    <w:rsid w:val="6D8D0393"/>
    <w:rsid w:val="6D927873"/>
    <w:rsid w:val="6D997ADE"/>
    <w:rsid w:val="6DA344A7"/>
    <w:rsid w:val="6DBA1745"/>
    <w:rsid w:val="6DCF3651"/>
    <w:rsid w:val="6DF66A0F"/>
    <w:rsid w:val="6E2A6ADD"/>
    <w:rsid w:val="6E34575E"/>
    <w:rsid w:val="6E735645"/>
    <w:rsid w:val="6E7D35D3"/>
    <w:rsid w:val="6E893DA4"/>
    <w:rsid w:val="6E97417D"/>
    <w:rsid w:val="6EC07540"/>
    <w:rsid w:val="6EE97E6C"/>
    <w:rsid w:val="6F397B33"/>
    <w:rsid w:val="6F8B6AB5"/>
    <w:rsid w:val="6F924CCE"/>
    <w:rsid w:val="6F9250EC"/>
    <w:rsid w:val="6FC62671"/>
    <w:rsid w:val="6FF156B3"/>
    <w:rsid w:val="70095B80"/>
    <w:rsid w:val="701423F0"/>
    <w:rsid w:val="706651B6"/>
    <w:rsid w:val="706A78A9"/>
    <w:rsid w:val="70C87915"/>
    <w:rsid w:val="70CF01A6"/>
    <w:rsid w:val="70D54A2C"/>
    <w:rsid w:val="710B0712"/>
    <w:rsid w:val="71516185"/>
    <w:rsid w:val="7152430F"/>
    <w:rsid w:val="71932861"/>
    <w:rsid w:val="71C80B3D"/>
    <w:rsid w:val="71F1067C"/>
    <w:rsid w:val="71FD7D12"/>
    <w:rsid w:val="724C7A91"/>
    <w:rsid w:val="724F4AA4"/>
    <w:rsid w:val="72645C8A"/>
    <w:rsid w:val="726873C1"/>
    <w:rsid w:val="726A75CE"/>
    <w:rsid w:val="727C0E0C"/>
    <w:rsid w:val="72AC168D"/>
    <w:rsid w:val="72BF7DD0"/>
    <w:rsid w:val="72C4297C"/>
    <w:rsid w:val="72F13953"/>
    <w:rsid w:val="730E33D2"/>
    <w:rsid w:val="73231CF3"/>
    <w:rsid w:val="73A81F4C"/>
    <w:rsid w:val="73EC08C8"/>
    <w:rsid w:val="73EF26C0"/>
    <w:rsid w:val="743D3AC4"/>
    <w:rsid w:val="749A30F3"/>
    <w:rsid w:val="74A878F0"/>
    <w:rsid w:val="74F75F33"/>
    <w:rsid w:val="74FA76FB"/>
    <w:rsid w:val="750769F3"/>
    <w:rsid w:val="75080C0F"/>
    <w:rsid w:val="750C7615"/>
    <w:rsid w:val="7523399A"/>
    <w:rsid w:val="75400A4B"/>
    <w:rsid w:val="75581C92"/>
    <w:rsid w:val="75963CF6"/>
    <w:rsid w:val="75A75295"/>
    <w:rsid w:val="75B64636"/>
    <w:rsid w:val="75C238C0"/>
    <w:rsid w:val="75E462B6"/>
    <w:rsid w:val="75E80725"/>
    <w:rsid w:val="75ED63C7"/>
    <w:rsid w:val="760A7538"/>
    <w:rsid w:val="76276E68"/>
    <w:rsid w:val="763F670D"/>
    <w:rsid w:val="766765CC"/>
    <w:rsid w:val="76CF2E70"/>
    <w:rsid w:val="76D16073"/>
    <w:rsid w:val="76D75987"/>
    <w:rsid w:val="76DE0F8F"/>
    <w:rsid w:val="76F507BA"/>
    <w:rsid w:val="771741F2"/>
    <w:rsid w:val="7723009A"/>
    <w:rsid w:val="7738567D"/>
    <w:rsid w:val="773B56E6"/>
    <w:rsid w:val="77683FAA"/>
    <w:rsid w:val="77883D0B"/>
    <w:rsid w:val="77C67377"/>
    <w:rsid w:val="78555DF8"/>
    <w:rsid w:val="79296BF9"/>
    <w:rsid w:val="79392EBA"/>
    <w:rsid w:val="796E28FE"/>
    <w:rsid w:val="797E23E2"/>
    <w:rsid w:val="79847ACD"/>
    <w:rsid w:val="79BD7948"/>
    <w:rsid w:val="7A211BEB"/>
    <w:rsid w:val="7A2405F1"/>
    <w:rsid w:val="7A3A4EEB"/>
    <w:rsid w:val="7A3E6F9D"/>
    <w:rsid w:val="7A4724BF"/>
    <w:rsid w:val="7A623EA8"/>
    <w:rsid w:val="7A7A24F7"/>
    <w:rsid w:val="7A820F52"/>
    <w:rsid w:val="7AFA2FD6"/>
    <w:rsid w:val="7AFF705B"/>
    <w:rsid w:val="7B280D42"/>
    <w:rsid w:val="7B402043"/>
    <w:rsid w:val="7B667D04"/>
    <w:rsid w:val="7B821819"/>
    <w:rsid w:val="7B824AA4"/>
    <w:rsid w:val="7B990540"/>
    <w:rsid w:val="7BA41D67"/>
    <w:rsid w:val="7C0C6E54"/>
    <w:rsid w:val="7C3B3670"/>
    <w:rsid w:val="7C4A7F77"/>
    <w:rsid w:val="7C595B00"/>
    <w:rsid w:val="7C8F0A6B"/>
    <w:rsid w:val="7C970076"/>
    <w:rsid w:val="7C9F068D"/>
    <w:rsid w:val="7CC678C0"/>
    <w:rsid w:val="7CDD389D"/>
    <w:rsid w:val="7D0054F0"/>
    <w:rsid w:val="7D0719AF"/>
    <w:rsid w:val="7D240F5F"/>
    <w:rsid w:val="7D264705"/>
    <w:rsid w:val="7D2B08E9"/>
    <w:rsid w:val="7D336D95"/>
    <w:rsid w:val="7D5933B8"/>
    <w:rsid w:val="7DA6595A"/>
    <w:rsid w:val="7DE07113"/>
    <w:rsid w:val="7DF11C17"/>
    <w:rsid w:val="7DF30332"/>
    <w:rsid w:val="7E580057"/>
    <w:rsid w:val="7E9755BD"/>
    <w:rsid w:val="7EA61CE3"/>
    <w:rsid w:val="7EAC1CDF"/>
    <w:rsid w:val="7EE004F2"/>
    <w:rsid w:val="7EFB5089"/>
    <w:rsid w:val="7F2351A1"/>
    <w:rsid w:val="7F354AE5"/>
    <w:rsid w:val="7F3E43E0"/>
    <w:rsid w:val="7F45445C"/>
    <w:rsid w:val="7F531A41"/>
    <w:rsid w:val="7F7052A0"/>
    <w:rsid w:val="7F8242C1"/>
    <w:rsid w:val="7F9554E0"/>
    <w:rsid w:val="7F962F62"/>
    <w:rsid w:val="7FAA4181"/>
    <w:rsid w:val="7FBA441B"/>
    <w:rsid w:val="7FD9294D"/>
    <w:rsid w:val="7FE83C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link w:val="75"/>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cs="Times New Roman"/>
      <w:kern w:val="44"/>
      <w:sz w:val="44"/>
      <w:szCs w:val="32"/>
      <w:lang w:bidi="ar-SA"/>
    </w:rPr>
  </w:style>
  <w:style w:type="paragraph" w:styleId="3">
    <w:name w:val="heading 2"/>
    <w:basedOn w:val="1"/>
    <w:next w:val="1"/>
    <w:link w:val="74"/>
    <w:qFormat/>
    <w:uiPriority w:val="0"/>
    <w:pPr>
      <w:keepNext/>
      <w:keepLines/>
      <w:spacing w:before="0" w:beforeLines="0" w:beforeAutospacing="0" w:after="0" w:afterLines="0" w:afterAutospacing="0" w:line="240" w:lineRule="auto"/>
      <w:jc w:val="left"/>
      <w:outlineLvl w:val="1"/>
    </w:pPr>
    <w:rPr>
      <w:rFonts w:ascii="Arial" w:hAnsi="Arial" w:eastAsia="宋体" w:cs="Times New Roman"/>
      <w:b/>
      <w:sz w:val="28"/>
    </w:rPr>
  </w:style>
  <w:style w:type="paragraph" w:styleId="4">
    <w:name w:val="heading 3"/>
    <w:basedOn w:val="1"/>
    <w:next w:val="1"/>
    <w:link w:val="67"/>
    <w:qFormat/>
    <w:uiPriority w:val="0"/>
    <w:pPr>
      <w:keepNext/>
      <w:keepLines/>
      <w:spacing w:before="0" w:beforeLines="0" w:beforeAutospacing="0" w:after="0" w:afterLines="0" w:afterAutospacing="0" w:line="360" w:lineRule="auto"/>
      <w:jc w:val="left"/>
      <w:outlineLvl w:val="2"/>
    </w:pPr>
    <w:rPr>
      <w:rFonts w:ascii="Times New Roman" w:hAnsi="Times New Roman" w:eastAsia="宋体" w:cs="Times New Roman"/>
      <w:b/>
      <w:sz w:val="24"/>
    </w:rPr>
  </w:style>
  <w:style w:type="character" w:default="1" w:styleId="14">
    <w:name w:val="Default Paragraph Font"/>
    <w:link w:val="15"/>
    <w:qFormat/>
    <w:uiPriority w:val="0"/>
    <w:rPr>
      <w:rFonts w:ascii="Verdana" w:hAnsi="Verdana"/>
      <w:kern w:val="0"/>
      <w:sz w:val="20"/>
      <w:szCs w:val="20"/>
      <w:lang w:eastAsia="en-US"/>
    </w:rPr>
  </w:style>
  <w:style w:type="table" w:default="1" w:styleId="20">
    <w:name w:val="Normal Table"/>
    <w:uiPriority w:val="0"/>
    <w:rPr>
      <w:rFonts w:ascii="Times New Roman" w:hAnsi="Times New Roman" w:eastAsia="宋体" w:cs="Times New Roman"/>
    </w:rPr>
    <w:tblPr>
      <w:tblLayout w:type="fixed"/>
      <w:tblCellMar>
        <w:top w:w="0" w:type="dxa"/>
        <w:left w:w="108" w:type="dxa"/>
        <w:bottom w:w="0" w:type="dxa"/>
        <w:right w:w="108" w:type="dxa"/>
      </w:tblCellMar>
    </w:tblPr>
    <w:tcPr>
      <w:textDirection w:val="lrTb"/>
    </w:tcPr>
  </w:style>
  <w:style w:type="paragraph" w:styleId="5">
    <w:name w:val="Normal Indent"/>
    <w:basedOn w:val="1"/>
    <w:qFormat/>
    <w:uiPriority w:val="0"/>
    <w:pPr>
      <w:ind w:firstLine="420" w:firstLineChars="200"/>
    </w:pPr>
    <w:rPr>
      <w:rFonts w:eastAsia="宋体"/>
      <w:sz w:val="21"/>
      <w:szCs w:val="24"/>
    </w:rPr>
  </w:style>
  <w:style w:type="paragraph" w:styleId="6">
    <w:name w:val="Body Text"/>
    <w:basedOn w:val="1"/>
    <w:uiPriority w:val="0"/>
    <w:rPr>
      <w:rFonts w:eastAsia="宋体"/>
      <w:sz w:val="44"/>
      <w:szCs w:val="24"/>
    </w:rPr>
  </w:style>
  <w:style w:type="paragraph" w:styleId="7">
    <w:name w:val="Body Text Indent"/>
    <w:basedOn w:val="1"/>
    <w:link w:val="65"/>
    <w:qFormat/>
    <w:uiPriority w:val="0"/>
    <w:pPr>
      <w:spacing w:after="120"/>
      <w:ind w:left="420" w:leftChars="200"/>
    </w:pPr>
  </w:style>
  <w:style w:type="paragraph" w:styleId="8">
    <w:name w:val="Plain Text"/>
    <w:basedOn w:val="1"/>
    <w:link w:val="62"/>
    <w:qFormat/>
    <w:uiPriority w:val="0"/>
    <w:rPr>
      <w:rFonts w:ascii="宋体" w:hAnsi="Courier New" w:eastAsia="宋体" w:cs="Courier New"/>
      <w:sz w:val="21"/>
      <w:szCs w:val="21"/>
    </w:rPr>
  </w:style>
  <w:style w:type="paragraph" w:styleId="9">
    <w:name w:val="Balloon Text"/>
    <w:basedOn w:val="1"/>
    <w:link w:val="73"/>
    <w:unhideWhenUsed/>
    <w:uiPriority w:val="0"/>
    <w:rPr>
      <w:sz w:val="18"/>
      <w:szCs w:val="18"/>
    </w:rPr>
  </w:style>
  <w:style w:type="paragraph" w:styleId="10">
    <w:name w:val="footer"/>
    <w:basedOn w:val="1"/>
    <w:link w:val="68"/>
    <w:uiPriority w:val="99"/>
    <w:pPr>
      <w:widowControl w:val="0"/>
      <w:tabs>
        <w:tab w:val="center" w:pos="4140"/>
        <w:tab w:val="right" w:pos="8300"/>
      </w:tabs>
      <w:snapToGrid w:val="0"/>
      <w:spacing w:after="0"/>
      <w:jc w:val="left"/>
    </w:pPr>
    <w:rPr>
      <w:rFonts w:ascii="Times New Roman" w:hAnsi="Times New Roman" w:eastAsia="仿宋_GB2312" w:cs="Times New Roman"/>
      <w:kern w:val="2"/>
      <w:sz w:val="18"/>
      <w:lang w:val="en-US" w:eastAsia="zh-CN"/>
    </w:rPr>
  </w:style>
  <w:style w:type="paragraph" w:styleId="11">
    <w:name w:val="header"/>
    <w:basedOn w:val="1"/>
    <w:link w:val="72"/>
    <w:qFormat/>
    <w:uiPriority w:val="0"/>
    <w:pPr>
      <w:widowControl w:val="0"/>
      <w:tabs>
        <w:tab w:val="center" w:pos="4140"/>
        <w:tab w:val="right" w:pos="8300"/>
      </w:tabs>
      <w:snapToGrid w:val="0"/>
      <w:spacing w:after="0" w:line="240" w:lineRule="auto"/>
      <w:jc w:val="both"/>
      <w:outlineLvl w:val="9"/>
    </w:pPr>
    <w:rPr>
      <w:rFonts w:ascii="Times New Roman" w:hAnsi="Times New Roman" w:eastAsia="仿宋_GB2312" w:cs="Times New Roman"/>
      <w:kern w:val="2"/>
      <w:sz w:val="18"/>
      <w:lang w:val="en-US" w:eastAsia="zh-CN"/>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styleId="13">
    <w:name w:val="Title"/>
    <w:basedOn w:val="1"/>
    <w:next w:val="1"/>
    <w:qFormat/>
    <w:uiPriority w:val="10"/>
    <w:pPr>
      <w:spacing w:before="240" w:beforeLines="0" w:after="60" w:afterLines="0"/>
      <w:jc w:val="center"/>
      <w:outlineLvl w:val="0"/>
    </w:pPr>
    <w:rPr>
      <w:rFonts w:hint="default" w:ascii="Cambria" w:hAnsi="Cambria" w:eastAsia="宋体" w:cs="Times New Roman"/>
      <w:b/>
      <w:kern w:val="28"/>
      <w:sz w:val="32"/>
    </w:rPr>
  </w:style>
  <w:style w:type="paragraph" w:customStyle="1" w:styleId="15">
    <w:name w:val=" Char"/>
    <w:basedOn w:val="1"/>
    <w:link w:val="14"/>
    <w:qFormat/>
    <w:uiPriority w:val="0"/>
    <w:pPr>
      <w:widowControl/>
      <w:spacing w:after="160" w:afterLines="0" w:line="240" w:lineRule="exact"/>
      <w:jc w:val="left"/>
    </w:pPr>
    <w:rPr>
      <w:rFonts w:ascii="Verdana" w:hAnsi="Verdana"/>
      <w:kern w:val="0"/>
      <w:sz w:val="20"/>
      <w:szCs w:val="20"/>
      <w:lang w:eastAsia="en-US"/>
    </w:rPr>
  </w:style>
  <w:style w:type="character" w:styleId="16">
    <w:name w:val="Strong"/>
    <w:qFormat/>
    <w:uiPriority w:val="0"/>
    <w:rPr>
      <w:rFonts w:ascii="Times New Roman" w:hAnsi="Times New Roman" w:eastAsia="宋体" w:cs="Times New Roman"/>
      <w:b/>
      <w:bCs/>
    </w:rPr>
  </w:style>
  <w:style w:type="character" w:styleId="17">
    <w:name w:val="page number"/>
    <w:basedOn w:val="14"/>
    <w:uiPriority w:val="0"/>
    <w:rPr>
      <w:rFonts w:ascii="Times New Roman" w:hAnsi="Times New Roman" w:eastAsia="宋体" w:cs="Times New Roman"/>
      <w:kern w:val="0"/>
      <w:sz w:val="20"/>
      <w:szCs w:val="20"/>
      <w:lang w:eastAsia="en-US"/>
    </w:rPr>
  </w:style>
  <w:style w:type="character" w:styleId="18">
    <w:name w:val="FollowedHyperlink"/>
    <w:uiPriority w:val="0"/>
    <w:rPr>
      <w:color w:val="0066CC"/>
      <w:u w:val="single"/>
    </w:rPr>
  </w:style>
  <w:style w:type="character" w:styleId="19">
    <w:name w:val="Hyperlink"/>
    <w:qFormat/>
    <w:uiPriority w:val="99"/>
    <w:rPr>
      <w:color w:val="0066CC"/>
      <w:u w:val="singl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2">
    <w:name w:val="Char1 Char Char Char"/>
    <w:basedOn w:val="1"/>
    <w:qFormat/>
    <w:uiPriority w:val="0"/>
    <w:pPr>
      <w:widowControl/>
      <w:spacing w:after="160" w:line="240" w:lineRule="exact"/>
      <w:jc w:val="left"/>
    </w:pPr>
    <w:rPr>
      <w:rFonts w:eastAsia="宋体"/>
      <w:sz w:val="21"/>
    </w:rPr>
  </w:style>
  <w:style w:type="paragraph" w:customStyle="1" w:styleId="23">
    <w:name w:val="p0"/>
    <w:basedOn w:val="24"/>
    <w:qFormat/>
    <w:uiPriority w:val="0"/>
    <w:rPr>
      <w:rFonts w:ascii="Calibri" w:hAnsi="Calibri" w:cs="Calibri"/>
      <w:sz w:val="32"/>
      <w:szCs w:val="32"/>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color w:val="000000"/>
      <w:kern w:val="1"/>
      <w:sz w:val="21"/>
      <w:lang w:val="en-US" w:eastAsia="zh-CN" w:bidi="ar-SA"/>
    </w:rPr>
  </w:style>
  <w:style w:type="paragraph" w:customStyle="1" w:styleId="25">
    <w:name w:val=" Char1 Char Char Char"/>
    <w:basedOn w:val="1"/>
    <w:qFormat/>
    <w:uiPriority w:val="0"/>
  </w:style>
  <w:style w:type="paragraph" w:customStyle="1" w:styleId="26">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7">
    <w:name w:val="样式2"/>
    <w:basedOn w:val="2"/>
    <w:link w:val="66"/>
    <w:qFormat/>
    <w:uiPriority w:val="0"/>
    <w:pPr>
      <w:adjustRightInd w:val="0"/>
      <w:spacing w:before="0" w:beforeLines="0" w:after="0" w:afterLines="0" w:line="590" w:lineRule="exact"/>
    </w:pPr>
    <w:rPr>
      <w:rFonts w:ascii="Times New Roman" w:hAnsi="Times New Roman" w:eastAsia="方正小标宋简体" w:cs="Times New Roman"/>
    </w:rPr>
  </w:style>
  <w:style w:type="paragraph" w:customStyle="1" w:styleId="28">
    <w:name w:val="书籍目标题"/>
    <w:basedOn w:val="1"/>
    <w:next w:val="5"/>
    <w:qFormat/>
    <w:uiPriority w:val="0"/>
    <w:pPr>
      <w:spacing w:before="160" w:after="160"/>
      <w:ind w:firstLine="420"/>
      <w:outlineLvl w:val="2"/>
    </w:pPr>
    <w:rPr>
      <w:rFonts w:ascii="黑体" w:eastAsia="黑体"/>
      <w:bCs/>
      <w:kern w:val="0"/>
      <w:sz w:val="21"/>
    </w:rPr>
  </w:style>
  <w:style w:type="paragraph" w:customStyle="1" w:styleId="29">
    <w:name w:val="_Style 24"/>
    <w:basedOn w:val="1"/>
    <w:qFormat/>
    <w:uiPriority w:val="0"/>
    <w:rPr>
      <w:rFonts w:ascii="Times New Roman" w:hAnsi="Times New Roman" w:eastAsia="宋体" w:cs="Times New Roman"/>
      <w:szCs w:val="24"/>
    </w:rPr>
  </w:style>
  <w:style w:type="paragraph" w:customStyle="1" w:styleId="30">
    <w:name w:val="标题 1 New"/>
    <w:basedOn w:val="24"/>
    <w:qFormat/>
    <w:uiPriority w:val="2"/>
    <w:pPr>
      <w:widowControl/>
      <w:spacing w:before="100" w:beforeAutospacing="1" w:after="100" w:afterAutospacing="1"/>
      <w:jc w:val="left"/>
      <w:outlineLvl w:val="0"/>
    </w:pPr>
    <w:rPr>
      <w:rFonts w:ascii="宋体" w:hAnsi="宋体" w:eastAsia="宋体" w:cs="宋体"/>
      <w:b/>
      <w:color w:val="000000"/>
      <w:sz w:val="48"/>
      <w:szCs w:val="48"/>
    </w:rPr>
  </w:style>
  <w:style w:type="paragraph" w:customStyle="1" w:styleId="31">
    <w:name w:val="正文 New"/>
    <w:qFormat/>
    <w:uiPriority w:val="0"/>
    <w:pPr>
      <w:widowControl w:val="0"/>
      <w:ind w:firstLine="629"/>
      <w:jc w:val="both"/>
    </w:pPr>
    <w:rPr>
      <w:rFonts w:ascii="Times New Roman" w:hAnsi="Times New Roman" w:eastAsia="仿宋_GB2312" w:cs="Times New Roman"/>
      <w:kern w:val="2"/>
      <w:sz w:val="32"/>
      <w:szCs w:val="24"/>
      <w:lang w:val="en-US" w:eastAsia="zh-CN" w:bidi="ar-SA"/>
    </w:rPr>
  </w:style>
  <w:style w:type="paragraph" w:customStyle="1" w:styleId="32">
    <w:name w:val="_Style 31"/>
    <w:basedOn w:val="1"/>
    <w:qFormat/>
    <w:uiPriority w:val="0"/>
    <w:pPr>
      <w:spacing w:line="560" w:lineRule="exact"/>
      <w:ind w:firstLine="420" w:firstLineChars="200"/>
    </w:pPr>
  </w:style>
  <w:style w:type="paragraph" w:customStyle="1" w:styleId="33">
    <w:name w:val="纯文本 New"/>
    <w:basedOn w:val="31"/>
    <w:qFormat/>
    <w:uiPriority w:val="0"/>
    <w:pPr>
      <w:adjustRightInd w:val="0"/>
      <w:spacing w:line="360" w:lineRule="atLeast"/>
      <w:ind w:firstLine="0"/>
    </w:pPr>
    <w:rPr>
      <w:rFonts w:ascii="宋体" w:hAnsi="Courier New" w:eastAsia="宋体"/>
      <w:sz w:val="21"/>
      <w:szCs w:val="20"/>
    </w:rPr>
  </w:style>
  <w:style w:type="paragraph" w:customStyle="1" w:styleId="34">
    <w:name w:val="正文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35">
    <w:name w:val="页眉 New"/>
    <w:basedOn w:val="3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customStyle="1" w:styleId="38">
    <w:name w:val="Char"/>
    <w:basedOn w:val="1"/>
    <w:qFormat/>
    <w:uiPriority w:val="0"/>
    <w:rPr>
      <w:rFonts w:ascii="Times New Roman" w:hAnsi="Times New Roman" w:eastAsia="宋体" w:cs="Times New Roman"/>
    </w:rPr>
  </w:style>
  <w:style w:type="paragraph" w:customStyle="1" w:styleId="39">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样式3"/>
    <w:basedOn w:val="1"/>
    <w:link w:val="61"/>
    <w:qFormat/>
    <w:uiPriority w:val="0"/>
    <w:pPr>
      <w:snapToGrid w:val="0"/>
      <w:spacing w:line="620" w:lineRule="exact"/>
      <w:ind w:firstLine="683" w:firstLineChars="200"/>
    </w:pPr>
    <w:rPr>
      <w:b/>
      <w:bCs/>
      <w:kern w:val="0"/>
      <w:sz w:val="34"/>
      <w:szCs w:val="34"/>
    </w:rPr>
  </w:style>
  <w:style w:type="paragraph" w:customStyle="1" w:styleId="42">
    <w:name w:val="p15"/>
    <w:basedOn w:val="43"/>
    <w:qFormat/>
    <w:uiPriority w:val="3"/>
    <w:pPr>
      <w:widowControl/>
      <w:ind w:firstLine="420"/>
    </w:pPr>
    <w:rPr>
      <w:rFonts w:ascii="仿宋_GB2312" w:hAnsi="仿宋_GB2312" w:eastAsia="仿宋_GB2312" w:cs="仿宋_GB2312"/>
      <w:kern w:val="0"/>
      <w:sz w:val="32"/>
      <w:szCs w:val="32"/>
    </w:rPr>
  </w:style>
  <w:style w:type="paragraph" w:customStyle="1" w:styleId="43">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44">
    <w:name w:val="页脚 New"/>
    <w:basedOn w:val="3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customStyle="1" w:styleId="45">
    <w:name w:val=" Char Char3 Char Char Char Char"/>
    <w:basedOn w:val="1"/>
    <w:qFormat/>
    <w:uiPriority w:val="0"/>
    <w:pPr>
      <w:widowControl/>
      <w:spacing w:after="160" w:line="240" w:lineRule="exact"/>
      <w:ind w:firstLine="200" w:firstLineChars="200"/>
      <w:jc w:val="left"/>
    </w:pPr>
  </w:style>
  <w:style w:type="paragraph" w:customStyle="1" w:styleId="46">
    <w:name w:val="List Paragraph"/>
    <w:qFormat/>
    <w:uiPriority w:val="0"/>
    <w:pPr>
      <w:ind w:firstLine="420" w:firstLineChars="200"/>
    </w:pPr>
    <w:rPr>
      <w:rFonts w:ascii="Times New Roman" w:hAnsi="Times New Roman" w:eastAsia="宋体" w:cs="Times New Roman"/>
      <w:lang w:val="en-US" w:eastAsia="zh-CN" w:bidi="ar-SA"/>
    </w:rPr>
  </w:style>
  <w:style w:type="paragraph" w:customStyle="1" w:styleId="47">
    <w:name w:val=" Char1"/>
    <w:basedOn w:val="1"/>
    <w:qFormat/>
    <w:uiPriority w:val="0"/>
  </w:style>
  <w:style w:type="paragraph" w:customStyle="1" w:styleId="48">
    <w:name w:val="书籍章标题"/>
    <w:basedOn w:val="1"/>
    <w:next w:val="5"/>
    <w:qFormat/>
    <w:uiPriority w:val="0"/>
    <w:pPr>
      <w:spacing w:before="200" w:beforeLines="200" w:after="150" w:afterLines="150" w:line="415" w:lineRule="auto"/>
      <w:jc w:val="center"/>
      <w:outlineLvl w:val="0"/>
    </w:pPr>
    <w:rPr>
      <w:rFonts w:eastAsia="宋体"/>
      <w:b/>
      <w:sz w:val="36"/>
      <w:szCs w:val="24"/>
    </w:rPr>
  </w:style>
  <w:style w:type="paragraph" w:customStyle="1" w:styleId="49">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0">
    <w:name w:val="书籍节标题"/>
    <w:basedOn w:val="5"/>
    <w:next w:val="5"/>
    <w:qFormat/>
    <w:uiPriority w:val="0"/>
    <w:pPr>
      <w:adjustRightInd w:val="0"/>
      <w:spacing w:before="100" w:beforeLines="100" w:after="100" w:afterLines="100"/>
      <w:ind w:firstLine="0" w:firstLineChars="0"/>
      <w:jc w:val="center"/>
      <w:textAlignment w:val="baseline"/>
      <w:outlineLvl w:val="1"/>
    </w:pPr>
    <w:rPr>
      <w:rFonts w:ascii="仿宋_GB2312" w:eastAsia="仿宋_GB2312"/>
      <w:b/>
      <w:sz w:val="32"/>
    </w:rPr>
  </w:style>
  <w:style w:type="paragraph" w:customStyle="1" w:styleId="5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2">
    <w:name w:val="_Style 36"/>
    <w:basedOn w:val="1"/>
    <w:next w:val="1"/>
    <w:unhideWhenUsed/>
    <w:qFormat/>
    <w:uiPriority w:val="39"/>
    <w:pPr>
      <w:spacing w:line="560" w:lineRule="exact"/>
      <w:ind w:left="2240" w:firstLine="200" w:firstLineChars="200"/>
      <w:jc w:val="left"/>
    </w:pPr>
    <w:rPr>
      <w:rFonts w:ascii="等线" w:eastAsia="等线"/>
      <w:sz w:val="20"/>
    </w:rPr>
  </w:style>
  <w:style w:type="paragraph" w:customStyle="1" w:styleId="53">
    <w:name w:val="_Style 52"/>
    <w:basedOn w:val="2"/>
    <w:next w:val="1"/>
    <w:qFormat/>
    <w:uiPriority w:val="39"/>
    <w:pPr>
      <w:widowControl/>
      <w:spacing w:before="240" w:line="259" w:lineRule="auto"/>
      <w:jc w:val="left"/>
      <w:outlineLvl w:val="9"/>
    </w:pPr>
    <w:rPr>
      <w:rFonts w:ascii="等线 Light" w:hAnsi="等线 Light" w:eastAsia="等线 Light"/>
      <w:color w:val="2F5496"/>
      <w:kern w:val="0"/>
      <w:sz w:val="32"/>
    </w:rPr>
  </w:style>
  <w:style w:type="paragraph" w:customStyle="1" w:styleId="54">
    <w:name w:val="普通(网站)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5">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6">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Calibri" w:hAnsi="Calibri" w:eastAsia="宋体" w:cs="Times New Roman"/>
      <w:kern w:val="2"/>
      <w:sz w:val="21"/>
      <w:szCs w:val="22"/>
      <w:lang w:val="en-US" w:eastAsia="zh-CN" w:bidi="ar-SA"/>
    </w:rPr>
  </w:style>
  <w:style w:type="paragraph" w:customStyle="1" w:styleId="58">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9">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61">
    <w:name w:val="样式3 Char Char"/>
    <w:link w:val="41"/>
    <w:qFormat/>
    <w:uiPriority w:val="0"/>
    <w:rPr>
      <w:rFonts w:eastAsia="仿宋_GB2312"/>
      <w:b/>
      <w:bCs/>
      <w:sz w:val="34"/>
      <w:szCs w:val="34"/>
    </w:rPr>
  </w:style>
  <w:style w:type="character" w:customStyle="1" w:styleId="62">
    <w:name w:val="纯文本 Char"/>
    <w:link w:val="8"/>
    <w:qFormat/>
    <w:uiPriority w:val="0"/>
    <w:rPr>
      <w:rFonts w:ascii="宋体" w:hAnsi="Courier New" w:cs="Courier New"/>
      <w:kern w:val="2"/>
      <w:sz w:val="21"/>
      <w:szCs w:val="21"/>
    </w:rPr>
  </w:style>
  <w:style w:type="character" w:customStyle="1" w:styleId="63">
    <w:name w:val="rec-time"/>
    <w:basedOn w:val="14"/>
    <w:uiPriority w:val="0"/>
    <w:rPr>
      <w:rFonts w:ascii="Times New Roman" w:hAnsi="Times New Roman" w:eastAsia="宋体" w:cs="Times New Roman"/>
      <w:kern w:val="0"/>
      <w:sz w:val="20"/>
      <w:szCs w:val="20"/>
    </w:rPr>
  </w:style>
  <w:style w:type="character" w:customStyle="1" w:styleId="64">
    <w:name w:val="rec-volume"/>
    <w:basedOn w:val="14"/>
    <w:qFormat/>
    <w:uiPriority w:val="0"/>
    <w:rPr>
      <w:rFonts w:ascii="Times New Roman" w:hAnsi="Times New Roman" w:eastAsia="宋体" w:cs="Times New Roman"/>
      <w:kern w:val="0"/>
      <w:sz w:val="20"/>
      <w:szCs w:val="20"/>
    </w:rPr>
  </w:style>
  <w:style w:type="character" w:customStyle="1" w:styleId="65">
    <w:name w:val="正文文本缩进 Char"/>
    <w:link w:val="7"/>
    <w:qFormat/>
    <w:uiPriority w:val="0"/>
    <w:rPr>
      <w:rFonts w:ascii="Verdana" w:hAnsi="Verdana" w:eastAsia="仿宋_GB2312"/>
      <w:kern w:val="2"/>
      <w:sz w:val="32"/>
      <w:szCs w:val="20"/>
      <w:lang w:eastAsia="en-US"/>
    </w:rPr>
  </w:style>
  <w:style w:type="character" w:customStyle="1" w:styleId="66">
    <w:name w:val="样式2 Char Char"/>
    <w:link w:val="27"/>
    <w:uiPriority w:val="0"/>
    <w:rPr>
      <w:rFonts w:eastAsia="方正小标宋简体"/>
      <w:kern w:val="44"/>
      <w:sz w:val="44"/>
      <w:szCs w:val="32"/>
    </w:rPr>
  </w:style>
  <w:style w:type="character" w:customStyle="1" w:styleId="67">
    <w:name w:val="标题 3 Char"/>
    <w:link w:val="4"/>
    <w:qFormat/>
    <w:uiPriority w:val="0"/>
    <w:rPr>
      <w:b/>
      <w:kern w:val="2"/>
      <w:sz w:val="24"/>
    </w:rPr>
  </w:style>
  <w:style w:type="character" w:customStyle="1" w:styleId="68">
    <w:name w:val="页脚 Char"/>
    <w:link w:val="10"/>
    <w:qFormat/>
    <w:uiPriority w:val="99"/>
    <w:rPr>
      <w:rFonts w:eastAsia="仿宋_GB2312"/>
      <w:kern w:val="2"/>
      <w:sz w:val="18"/>
    </w:rPr>
  </w:style>
  <w:style w:type="character" w:customStyle="1" w:styleId="69">
    <w:name w:val="页脚 字符"/>
    <w:uiPriority w:val="99"/>
    <w:rPr>
      <w:rFonts w:ascii="Times New Roman" w:hAnsi="Times New Roman"/>
      <w:kern w:val="2"/>
      <w:sz w:val="18"/>
      <w:szCs w:val="24"/>
    </w:rPr>
  </w:style>
  <w:style w:type="character" w:customStyle="1" w:styleId="70">
    <w:name w:val="纯文本 Char1"/>
    <w:semiHidden/>
    <w:qFormat/>
    <w:uiPriority w:val="99"/>
    <w:rPr>
      <w:rFonts w:ascii="宋体" w:hAnsi="Courier New" w:cs="Courier New"/>
      <w:kern w:val="2"/>
      <w:sz w:val="21"/>
      <w:szCs w:val="21"/>
      <w:lang w:eastAsia="en-US"/>
    </w:rPr>
  </w:style>
  <w:style w:type="character" w:customStyle="1" w:styleId="71">
    <w:name w:val="rec-status-desc"/>
    <w:qFormat/>
    <w:uiPriority w:val="0"/>
  </w:style>
  <w:style w:type="character" w:customStyle="1" w:styleId="72">
    <w:name w:val="页眉 Char"/>
    <w:link w:val="11"/>
    <w:uiPriority w:val="0"/>
    <w:rPr>
      <w:rFonts w:eastAsia="仿宋_GB2312"/>
      <w:kern w:val="2"/>
      <w:sz w:val="18"/>
    </w:rPr>
  </w:style>
  <w:style w:type="character" w:customStyle="1" w:styleId="73">
    <w:name w:val="批注框文本 Char"/>
    <w:link w:val="9"/>
    <w:qFormat/>
    <w:uiPriority w:val="0"/>
    <w:rPr>
      <w:rFonts w:ascii="Verdana" w:hAnsi="Verdana" w:eastAsia="仿宋_GB2312"/>
      <w:kern w:val="2"/>
      <w:sz w:val="18"/>
      <w:szCs w:val="18"/>
      <w:lang w:eastAsia="en-US"/>
    </w:rPr>
  </w:style>
  <w:style w:type="character" w:customStyle="1" w:styleId="74">
    <w:name w:val="标题 2 Char"/>
    <w:link w:val="3"/>
    <w:qFormat/>
    <w:uiPriority w:val="0"/>
    <w:rPr>
      <w:rFonts w:ascii="Arial" w:hAnsi="Arial"/>
      <w:b/>
      <w:kern w:val="2"/>
      <w:sz w:val="28"/>
    </w:rPr>
  </w:style>
  <w:style w:type="character" w:customStyle="1" w:styleId="75">
    <w:name w:val="标题 1 Char"/>
    <w:link w:val="2"/>
    <w:uiPriority w:val="0"/>
    <w:rPr>
      <w:rFonts w:eastAsia="方正小标宋简体"/>
      <w:kern w:val="44"/>
      <w:sz w:val="44"/>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018.12&#22791;&#26696;\&#24191;&#19996;&#30465;&#20154;&#25165;&#21457;&#23637;&#26465;&#2036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广东省人才发展条例.dot</Template>
  <Company>省人大常委会办公厅</Company>
  <Pages>27</Pages>
  <Words>11491</Words>
  <Characters>11578</Characters>
  <Lines>11</Lines>
  <Paragraphs>3</Paragraphs>
  <ScaleCrop>false</ScaleCrop>
  <LinksUpToDate>false</LinksUpToDate>
  <CharactersWithSpaces>11772</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2018-12-11T06:50:00Z</dcterms:created>
  <dc:creator>谢浩然</dc:creator>
  <cp:lastModifiedBy>欧阳颖戈</cp:lastModifiedBy>
  <cp:lastPrinted>2018-12-14T06:41:00Z</cp:lastPrinted>
  <dcterms:modified xsi:type="dcterms:W3CDTF">2018-12-17T01:58:38Z</dcterms:modified>
  <dc:title>省十二届人大常委会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