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tabs>
          <w:tab w:val="left" w:pos="7380"/>
          <w:tab w:val="left" w:pos="7560"/>
        </w:tabs>
        <w:wordWrap w:val="0"/>
        <w:spacing w:beforeLines="0" w:afterLines="0" w:line="590" w:lineRule="exact"/>
        <w:jc w:val="center"/>
        <w:rPr>
          <w:rFonts w:hint="eastAsia" w:ascii="宋体" w:hAnsi="宋体" w:eastAsia="宋体" w:cs="宋体"/>
          <w:sz w:val="44"/>
          <w:szCs w:val="32"/>
          <w:lang w:eastAsia="zh-CN"/>
        </w:rPr>
      </w:pPr>
      <w:r>
        <w:rPr>
          <w:rFonts w:hint="eastAsia" w:ascii="宋体" w:hAnsi="宋体" w:eastAsia="宋体" w:cs="宋体"/>
          <w:sz w:val="44"/>
          <w:szCs w:val="32"/>
          <w:lang w:eastAsia="zh-CN"/>
        </w:rPr>
        <w:t>广东省人民代表大会常务委员会</w:t>
      </w:r>
    </w:p>
    <w:p>
      <w:pPr>
        <w:tabs>
          <w:tab w:val="left" w:pos="7380"/>
          <w:tab w:val="left" w:pos="7560"/>
        </w:tabs>
        <w:wordWrap w:val="0"/>
        <w:spacing w:beforeLines="0" w:afterLines="0" w:line="590" w:lineRule="exact"/>
        <w:jc w:val="center"/>
        <w:rPr>
          <w:rFonts w:hint="eastAsia" w:ascii="宋体" w:hAnsi="宋体" w:eastAsia="宋体" w:cs="宋体"/>
          <w:sz w:val="44"/>
          <w:szCs w:val="32"/>
        </w:rPr>
      </w:pPr>
      <w:r>
        <w:rPr>
          <w:rFonts w:hint="eastAsia" w:ascii="宋体" w:hAnsi="宋体" w:eastAsia="宋体" w:cs="宋体"/>
          <w:sz w:val="44"/>
          <w:szCs w:val="32"/>
        </w:rPr>
        <w:t>关于广东省</w:t>
      </w:r>
      <w:r>
        <w:rPr>
          <w:rFonts w:hint="eastAsia" w:ascii="宋体" w:hAnsi="宋体" w:eastAsia="宋体" w:cs="宋体"/>
          <w:sz w:val="44"/>
          <w:szCs w:val="32"/>
          <w:lang w:eastAsia="zh-CN"/>
        </w:rPr>
        <w:t>契税</w:t>
      </w:r>
      <w:r>
        <w:rPr>
          <w:rFonts w:hint="eastAsia" w:ascii="宋体" w:hAnsi="宋体" w:eastAsia="宋体" w:cs="宋体"/>
          <w:sz w:val="44"/>
          <w:szCs w:val="32"/>
        </w:rPr>
        <w:t>具体适用税率等事项的决定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楷体_GB2312" w:cs="楷体_GB2312"/>
          <w:color w:val="auto"/>
        </w:rPr>
      </w:pPr>
      <w:r>
        <w:rPr>
          <w:rFonts w:hint="eastAsia" w:ascii="宋体" w:hAnsi="宋体" w:eastAsia="楷体_GB2312" w:cs="楷体_GB2312"/>
          <w:color w:val="auto"/>
        </w:rPr>
        <w:t>（20</w:t>
      </w:r>
      <w:r>
        <w:rPr>
          <w:rFonts w:hint="eastAsia" w:ascii="宋体" w:hAnsi="宋体" w:eastAsia="楷体_GB2312" w:cs="楷体_GB2312"/>
          <w:color w:val="auto"/>
          <w:lang w:val="en-US" w:eastAsia="zh-CN"/>
        </w:rPr>
        <w:t>21</w:t>
      </w:r>
      <w:r>
        <w:rPr>
          <w:rFonts w:hint="eastAsia" w:ascii="宋体" w:hAnsi="宋体" w:eastAsia="楷体_GB2312" w:cs="楷体_GB2312"/>
          <w:color w:val="auto"/>
        </w:rPr>
        <w:t>年</w:t>
      </w:r>
      <w:r>
        <w:rPr>
          <w:rFonts w:hint="eastAsia" w:ascii="宋体" w:hAnsi="宋体" w:eastAsia="楷体_GB2312" w:cs="楷体_GB2312"/>
          <w:color w:val="auto"/>
          <w:lang w:val="en-US" w:eastAsia="zh-CN"/>
        </w:rPr>
        <w:t>7</w:t>
      </w:r>
      <w:r>
        <w:rPr>
          <w:rFonts w:hint="eastAsia" w:ascii="宋体" w:hAnsi="宋体" w:eastAsia="楷体_GB2312" w:cs="楷体_GB2312"/>
          <w:color w:val="auto"/>
        </w:rPr>
        <w:t>月</w:t>
      </w:r>
      <w:r>
        <w:rPr>
          <w:rFonts w:hint="eastAsia" w:ascii="宋体" w:hAnsi="宋体" w:eastAsia="楷体_GB2312" w:cs="楷体_GB2312"/>
          <w:color w:val="auto"/>
          <w:lang w:val="en-US" w:eastAsia="zh-CN"/>
        </w:rPr>
        <w:t>30</w:t>
      </w:r>
      <w:r>
        <w:rPr>
          <w:rFonts w:hint="eastAsia" w:ascii="宋体" w:hAnsi="宋体" w:eastAsia="楷体_GB2312" w:cs="楷体_GB2312"/>
          <w:color w:val="auto"/>
        </w:rPr>
        <w:t>日广东省第十三届人民代表大会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Lines="0" w:afterLines="0"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楷体_GB2312" w:cs="楷体_GB2312"/>
          <w:color w:val="auto"/>
        </w:rPr>
      </w:pPr>
      <w:r>
        <w:rPr>
          <w:rFonts w:hint="eastAsia" w:ascii="宋体" w:hAnsi="宋体" w:eastAsia="楷体_GB2312" w:cs="楷体_GB2312"/>
          <w:color w:val="auto"/>
        </w:rPr>
        <w:t>常务委员会第</w:t>
      </w:r>
      <w:r>
        <w:rPr>
          <w:rFonts w:hint="eastAsia" w:ascii="宋体" w:hAnsi="宋体" w:eastAsia="楷体_GB2312" w:cs="楷体_GB2312"/>
          <w:color w:val="auto"/>
          <w:lang w:eastAsia="zh-CN"/>
        </w:rPr>
        <w:t>三十三</w:t>
      </w:r>
      <w:r>
        <w:rPr>
          <w:rFonts w:hint="eastAsia" w:ascii="宋体" w:hAnsi="宋体" w:eastAsia="楷体_GB2312" w:cs="楷体_GB2312"/>
          <w:color w:val="auto"/>
        </w:rPr>
        <w:t>次会议通过）</w:t>
      </w:r>
    </w:p>
    <w:p>
      <w:pPr>
        <w:pStyle w:val="2"/>
        <w:adjustRightInd w:val="0"/>
        <w:spacing w:beforeLines="0" w:afterLines="0" w:line="590" w:lineRule="exact"/>
        <w:ind w:firstLine="632"/>
        <w:rPr>
          <w:rFonts w:hint="eastAsia" w:ascii="宋体" w:hAnsi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sz w:val="32"/>
          <w:szCs w:val="32"/>
        </w:rPr>
      </w:pPr>
      <w:r>
        <w:rPr>
          <w:rFonts w:hint="eastAsia" w:ascii="宋体" w:hAnsi="宋体" w:eastAsia="仿宋_GB2312" w:cs="仿宋_GB2312"/>
          <w:sz w:val="32"/>
          <w:szCs w:val="32"/>
        </w:rPr>
        <w:t>根据《中华人民共和国</w:t>
      </w: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契税</w:t>
      </w:r>
      <w:r>
        <w:rPr>
          <w:rFonts w:hint="eastAsia" w:ascii="宋体" w:hAnsi="宋体" w:eastAsia="仿宋_GB2312" w:cs="仿宋_GB2312"/>
          <w:sz w:val="32"/>
          <w:szCs w:val="32"/>
        </w:rPr>
        <w:t>法》</w:t>
      </w: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第三条、第七条</w:t>
      </w:r>
      <w:r>
        <w:rPr>
          <w:rFonts w:hint="eastAsia" w:ascii="宋体" w:hAnsi="宋体" w:eastAsia="仿宋_GB2312" w:cs="仿宋_GB2312"/>
          <w:sz w:val="32"/>
          <w:szCs w:val="32"/>
        </w:rPr>
        <w:t>规定，</w:t>
      </w: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现对我省契税</w:t>
      </w:r>
      <w:r>
        <w:rPr>
          <w:rFonts w:hint="eastAsia" w:ascii="宋体" w:hAnsi="宋体" w:eastAsia="仿宋_GB2312" w:cs="仿宋_GB2312"/>
          <w:sz w:val="32"/>
          <w:szCs w:val="32"/>
        </w:rPr>
        <w:t>具体适用税率</w:t>
      </w: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等</w:t>
      </w:r>
      <w:r>
        <w:rPr>
          <w:rFonts w:hint="eastAsia" w:ascii="宋体" w:hAnsi="宋体" w:eastAsia="仿宋_GB2312" w:cs="仿宋_GB2312"/>
          <w:sz w:val="32"/>
          <w:szCs w:val="32"/>
        </w:rPr>
        <w:t>事项决定如下：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sz w:val="32"/>
          <w:szCs w:val="32"/>
          <w:lang w:eastAsia="zh-CN"/>
        </w:rPr>
      </w:pP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一、我省契税适用税率为百分之三。国家有免征或者减征规定的，从其规定。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sz w:val="32"/>
          <w:szCs w:val="32"/>
          <w:lang w:eastAsia="zh-CN"/>
        </w:rPr>
      </w:pP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二</w:t>
      </w:r>
      <w:r>
        <w:rPr>
          <w:rFonts w:hint="eastAsia" w:ascii="宋体" w:hAnsi="宋体" w:eastAsia="仿宋_GB2312" w:cs="仿宋_GB2312"/>
          <w:sz w:val="32"/>
          <w:szCs w:val="32"/>
        </w:rPr>
        <w:t>、土地、房屋被县级以上人民政府征收、征用</w:t>
      </w: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的</w:t>
      </w:r>
      <w:r>
        <w:rPr>
          <w:rFonts w:hint="eastAsia" w:ascii="宋体" w:hAnsi="宋体" w:eastAsia="仿宋_GB2312" w:cs="仿宋_GB2312"/>
          <w:sz w:val="32"/>
          <w:szCs w:val="32"/>
        </w:rPr>
        <w:t>，</w:t>
      </w: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适用以下规定：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sz w:val="32"/>
          <w:szCs w:val="32"/>
        </w:rPr>
      </w:pP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（一）</w:t>
      </w:r>
      <w:r>
        <w:rPr>
          <w:rFonts w:hint="eastAsia" w:ascii="宋体" w:hAnsi="宋体" w:eastAsia="仿宋_GB2312" w:cs="仿宋_GB2312"/>
          <w:sz w:val="32"/>
          <w:szCs w:val="32"/>
        </w:rPr>
        <w:t>选择货币补偿</w:t>
      </w: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后，</w:t>
      </w:r>
      <w:r>
        <w:rPr>
          <w:rFonts w:hint="eastAsia" w:ascii="宋体" w:hAnsi="宋体" w:eastAsia="仿宋_GB2312" w:cs="仿宋_GB2312"/>
          <w:sz w:val="32"/>
          <w:szCs w:val="32"/>
        </w:rPr>
        <w:t>重新承受土地、房屋权属，价格不超过货币补偿的，免征契税</w:t>
      </w: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；</w:t>
      </w:r>
      <w:r>
        <w:rPr>
          <w:rFonts w:hint="eastAsia" w:ascii="宋体" w:hAnsi="宋体" w:eastAsia="仿宋_GB2312" w:cs="仿宋_GB2312"/>
          <w:sz w:val="32"/>
          <w:szCs w:val="32"/>
        </w:rPr>
        <w:t>超出货币补偿的，对超出部分征收契税</w:t>
      </w: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sz w:val="32"/>
          <w:szCs w:val="32"/>
        </w:rPr>
      </w:pP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（二）</w:t>
      </w:r>
      <w:r>
        <w:rPr>
          <w:rFonts w:hint="eastAsia" w:ascii="宋体" w:hAnsi="宋体" w:eastAsia="仿宋_GB2312" w:cs="仿宋_GB2312"/>
          <w:sz w:val="32"/>
          <w:szCs w:val="32"/>
        </w:rPr>
        <w:t>选择房屋产权调换、土地使用权置换</w:t>
      </w: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，</w:t>
      </w:r>
      <w:r>
        <w:rPr>
          <w:rFonts w:hint="eastAsia" w:ascii="宋体" w:hAnsi="宋体" w:eastAsia="仿宋_GB2312" w:cs="仿宋_GB2312"/>
          <w:sz w:val="32"/>
          <w:szCs w:val="32"/>
        </w:rPr>
        <w:t>不支付差价的，免征契税</w:t>
      </w: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；</w:t>
      </w:r>
      <w:r>
        <w:rPr>
          <w:rFonts w:hint="eastAsia" w:ascii="宋体" w:hAnsi="宋体" w:eastAsia="仿宋_GB2312" w:cs="仿宋_GB2312"/>
          <w:sz w:val="32"/>
          <w:szCs w:val="32"/>
        </w:rPr>
        <w:t>支付差价的，对差价部分征收契税。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sz w:val="32"/>
          <w:szCs w:val="32"/>
        </w:rPr>
      </w:pP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三、</w:t>
      </w:r>
      <w:r>
        <w:rPr>
          <w:rFonts w:hint="eastAsia" w:ascii="宋体" w:hAnsi="宋体" w:eastAsia="仿宋_GB2312" w:cs="仿宋_GB2312"/>
          <w:sz w:val="32"/>
          <w:szCs w:val="32"/>
        </w:rPr>
        <w:t>因不可抗力灭失住房，重新承受住房权属</w:t>
      </w: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，不超过原面积的，免征契税；超出原面积的，对超出部分征收契税</w:t>
      </w:r>
      <w:r>
        <w:rPr>
          <w:rFonts w:hint="eastAsia" w:ascii="宋体" w:hAnsi="宋体" w:eastAsia="仿宋_GB2312" w:cs="仿宋_GB2312"/>
          <w:sz w:val="32"/>
          <w:szCs w:val="32"/>
        </w:rPr>
        <w:t>。</w:t>
      </w:r>
    </w:p>
    <w:p>
      <w:pPr>
        <w:spacing w:beforeLines="0" w:afterLines="0" w:line="590" w:lineRule="exact"/>
        <w:ind w:firstLine="632" w:firstLineChars="200"/>
        <w:rPr>
          <w:rFonts w:hint="eastAsia" w:ascii="宋体" w:hAnsi="宋体" w:eastAsia="仿宋_GB2312" w:cs="仿宋_GB2312"/>
          <w:sz w:val="32"/>
          <w:szCs w:val="32"/>
          <w:lang w:val="en-US"/>
        </w:rPr>
      </w:pPr>
      <w:r>
        <w:rPr>
          <w:rFonts w:hint="eastAsia" w:ascii="宋体" w:hAnsi="宋体" w:eastAsia="仿宋_GB2312" w:cs="仿宋_GB2312"/>
          <w:sz w:val="32"/>
          <w:szCs w:val="32"/>
          <w:lang w:eastAsia="zh-CN"/>
        </w:rPr>
        <w:t>本决定</w:t>
      </w:r>
      <w:r>
        <w:rPr>
          <w:rFonts w:hint="eastAsia" w:ascii="宋体" w:hAnsi="宋体" w:eastAsia="仿宋_GB2312" w:cs="仿宋_GB2312"/>
          <w:sz w:val="32"/>
          <w:szCs w:val="32"/>
        </w:rPr>
        <w:t>自</w:t>
      </w:r>
      <w:r>
        <w:rPr>
          <w:rFonts w:hint="eastAsia" w:ascii="宋体" w:hAnsi="宋体" w:eastAsia="宋体" w:cs="宋体"/>
          <w:sz w:val="32"/>
          <w:szCs w:val="32"/>
        </w:rPr>
        <w:t>202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1</w:t>
      </w:r>
      <w:r>
        <w:rPr>
          <w:rFonts w:hint="eastAsia" w:ascii="宋体" w:hAnsi="宋体" w:eastAsia="仿宋_GB2312" w:cs="仿宋_GB2312"/>
          <w:sz w:val="32"/>
          <w:szCs w:val="32"/>
        </w:rPr>
        <w:t>年</w:t>
      </w:r>
      <w:r>
        <w:rPr>
          <w:rFonts w:hint="eastAsia" w:ascii="宋体" w:hAnsi="宋体" w:eastAsia="宋体" w:cs="宋体"/>
          <w:sz w:val="32"/>
          <w:szCs w:val="32"/>
        </w:rPr>
        <w:t>9</w:t>
      </w:r>
      <w:r>
        <w:rPr>
          <w:rFonts w:hint="eastAsia" w:ascii="宋体" w:hAnsi="宋体" w:eastAsia="仿宋_GB2312" w:cs="仿宋_GB2312"/>
          <w:sz w:val="32"/>
          <w:szCs w:val="32"/>
        </w:rPr>
        <w:t>月</w:t>
      </w:r>
      <w:r>
        <w:rPr>
          <w:rFonts w:hint="eastAsia" w:ascii="宋体" w:hAnsi="宋体" w:eastAsia="宋体" w:cs="宋体"/>
          <w:sz w:val="32"/>
          <w:szCs w:val="32"/>
        </w:rPr>
        <w:t>1</w:t>
      </w:r>
      <w:r>
        <w:rPr>
          <w:rFonts w:hint="eastAsia" w:ascii="宋体" w:hAnsi="宋体" w:eastAsia="仿宋_GB2312" w:cs="仿宋_GB2312"/>
          <w:sz w:val="32"/>
          <w:szCs w:val="32"/>
        </w:rPr>
        <w:t>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黑体" w:cs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黑体" w:cs="黑体"/>
          <w:sz w:val="44"/>
          <w:szCs w:val="44"/>
        </w:rPr>
      </w:pPr>
      <w:bookmarkStart w:id="0" w:name="_GoBack"/>
      <w:bookmarkEnd w:id="0"/>
    </w:p>
    <w:sectPr>
      <w:footerReference r:id="rId3" w:type="default"/>
      <w:footerReference r:id="rId4" w:type="even"/>
      <w:type w:val="continuous"/>
      <w:pgSz w:w="11907" w:h="16840"/>
      <w:pgMar w:top="1984" w:right="1531" w:bottom="1871" w:left="1531" w:header="0" w:footer="1304" w:gutter="0"/>
      <w:pgNumType w:fmt="decimal"/>
      <w:cols w:space="720" w:num="1"/>
      <w:docGrid w:type="linesAndChars" w:linePitch="590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Droid San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spacing w:beforeLines="0" w:afterLines="0"/>
      <w:ind w:right="320" w:rightChars="100"/>
      <w:jc w:val="right"/>
      <w:rPr>
        <w:rFonts w:hint="eastAsia" w:eastAsia="仿宋_GB2312"/>
        <w:sz w:val="28"/>
        <w:szCs w:val="28"/>
        <w:lang w:eastAsia="zh-CN"/>
      </w:rPr>
    </w:pPr>
    <w:r>
      <w:rPr>
        <w:rFonts w:hint="eastAsia"/>
        <w:sz w:val="28"/>
        <w:szCs w:val="28"/>
        <w:lang w:eastAsia="zh-CN"/>
      </w:rPr>
      <w:tab/>
    </w:r>
    <w:r>
      <w:rPr>
        <w:rFonts w:hint="eastAsia" w:ascii="宋体" w:hAnsi="宋体" w:eastAsia="宋体" w:cs="宋体"/>
        <w:sz w:val="28"/>
        <w:szCs w:val="28"/>
        <w:lang w:eastAsia="zh-CN"/>
      </w:rPr>
      <w:t xml:space="preserve">— </w: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begin"/>
    </w:r>
    <w:r>
      <w:rPr>
        <w:rFonts w:hint="eastAsia" w:ascii="宋体" w:hAnsi="宋体" w:eastAsia="宋体" w:cs="宋体"/>
        <w:sz w:val="28"/>
        <w:szCs w:val="28"/>
        <w:lang w:eastAsia="zh-CN"/>
      </w:rPr>
      <w:instrText xml:space="preserve"> PAGE  \* MERGEFORMAT </w:instrTex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separate"/>
    </w:r>
    <w:r>
      <w:rPr>
        <w:rFonts w:hint="eastAsia" w:ascii="宋体" w:hAnsi="宋体" w:eastAsia="宋体" w:cs="宋体"/>
        <w:sz w:val="28"/>
        <w:szCs w:val="28"/>
        <w:lang w:eastAsia="zh-CN"/>
      </w:rPr>
      <w:t>3</w: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end"/>
    </w:r>
    <w:r>
      <w:rPr>
        <w:rFonts w:hint="eastAsia" w:ascii="宋体" w:hAnsi="宋体" w:eastAsia="宋体" w:cs="宋体"/>
        <w:sz w:val="28"/>
        <w:szCs w:val="28"/>
        <w:lang w:eastAsia="zh-CN"/>
      </w:rPr>
      <w:t xml:space="preserve"> 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Lines="0" w:afterLines="0"/>
      <w:ind w:left="320" w:leftChars="100"/>
      <w:jc w:val="both"/>
      <w:rPr>
        <w:rFonts w:hint="eastAsia" w:ascii="宋体" w:hAnsi="宋体" w:eastAsia="宋体" w:cs="宋体"/>
        <w:sz w:val="28"/>
        <w:szCs w:val="28"/>
        <w:lang w:eastAsia="zh-CN"/>
      </w:rPr>
    </w:pPr>
    <w:r>
      <w:rPr>
        <w:rFonts w:hint="eastAsia" w:ascii="宋体" w:hAnsi="宋体" w:eastAsia="宋体" w:cs="宋体"/>
        <w:sz w:val="28"/>
        <w:szCs w:val="28"/>
        <w:lang w:eastAsia="zh-CN"/>
      </w:rPr>
      <w:t xml:space="preserve">— </w: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begin"/>
    </w:r>
    <w:r>
      <w:rPr>
        <w:rFonts w:hint="eastAsia" w:ascii="宋体" w:hAnsi="宋体" w:eastAsia="宋体" w:cs="宋体"/>
        <w:sz w:val="28"/>
        <w:szCs w:val="28"/>
        <w:lang w:eastAsia="zh-CN"/>
      </w:rPr>
      <w:instrText xml:space="preserve"> PAGE  \* MERGEFORMAT </w:instrTex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separate"/>
    </w:r>
    <w:r>
      <w:rPr>
        <w:rFonts w:hint="eastAsia" w:ascii="宋体" w:hAnsi="宋体" w:eastAsia="宋体" w:cs="宋体"/>
        <w:sz w:val="28"/>
        <w:szCs w:val="28"/>
        <w:lang w:eastAsia="zh-CN"/>
      </w:rPr>
      <w:t>4</w:t>
    </w:r>
    <w:r>
      <w:rPr>
        <w:rFonts w:hint="eastAsia" w:ascii="宋体" w:hAnsi="宋体" w:eastAsia="宋体" w:cs="宋体"/>
        <w:sz w:val="28"/>
        <w:szCs w:val="28"/>
        <w:lang w:eastAsia="zh-CN"/>
      </w:rPr>
      <w:fldChar w:fldCharType="end"/>
    </w:r>
    <w:r>
      <w:rPr>
        <w:rFonts w:hint="eastAsia" w:ascii="宋体" w:hAnsi="宋体" w:eastAsia="宋体" w:cs="宋体"/>
        <w:sz w:val="28"/>
        <w:szCs w:val="28"/>
        <w:lang w:eastAsia="zh-CN"/>
      </w:rPr>
      <w:t xml:space="preserve"> 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25EFD"/>
    <w:rsid w:val="006F5272"/>
    <w:rsid w:val="00CD76ED"/>
    <w:rsid w:val="036D2E41"/>
    <w:rsid w:val="077817DF"/>
    <w:rsid w:val="07DB2F24"/>
    <w:rsid w:val="0BDA4915"/>
    <w:rsid w:val="12025EFD"/>
    <w:rsid w:val="154D3AD0"/>
    <w:rsid w:val="1698424F"/>
    <w:rsid w:val="174F742F"/>
    <w:rsid w:val="1D1665D4"/>
    <w:rsid w:val="1D8A1421"/>
    <w:rsid w:val="1E384267"/>
    <w:rsid w:val="1F1D28FC"/>
    <w:rsid w:val="20495114"/>
    <w:rsid w:val="23031FA6"/>
    <w:rsid w:val="26740915"/>
    <w:rsid w:val="29653D97"/>
    <w:rsid w:val="3448610D"/>
    <w:rsid w:val="367F231D"/>
    <w:rsid w:val="393D2E31"/>
    <w:rsid w:val="3B980A6E"/>
    <w:rsid w:val="3EA41867"/>
    <w:rsid w:val="43BB4B31"/>
    <w:rsid w:val="45AD5B43"/>
    <w:rsid w:val="481F2D9F"/>
    <w:rsid w:val="48CC1E27"/>
    <w:rsid w:val="49EA2717"/>
    <w:rsid w:val="4AA0346C"/>
    <w:rsid w:val="556E1B96"/>
    <w:rsid w:val="561C519E"/>
    <w:rsid w:val="56823E9F"/>
    <w:rsid w:val="60CC7E36"/>
    <w:rsid w:val="63653A5A"/>
    <w:rsid w:val="664E5037"/>
    <w:rsid w:val="6FCF53E1"/>
    <w:rsid w:val="74A05074"/>
    <w:rsid w:val="76FA7404"/>
    <w:rsid w:val="7DCE57AD"/>
    <w:rsid w:val="7DDE0E8A"/>
    <w:rsid w:val="7E7851AB"/>
    <w:rsid w:val="7FA7074B"/>
    <w:rsid w:val="7FB344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仿宋_GB2312" w:cs="Times New Roman"/>
      <w:kern w:val="2"/>
      <w:sz w:val="32"/>
      <w:szCs w:val="32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1"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styleId="3">
    <w:name w:val="Body Text"/>
    <w:basedOn w:val="1"/>
    <w:uiPriority w:val="0"/>
    <w:rPr>
      <w:rFonts w:eastAsia="宋体"/>
      <w:sz w:val="44"/>
      <w:szCs w:val="24"/>
    </w:rPr>
  </w:style>
  <w:style w:type="paragraph" w:styleId="4">
    <w:name w:val="Plain Text"/>
    <w:basedOn w:val="1"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2"/>
    <w:basedOn w:val="1"/>
    <w:next w:val="1"/>
    <w:uiPriority w:val="0"/>
    <w:pPr>
      <w:ind w:left="200" w:leftChars="200"/>
    </w:pPr>
    <w:rPr>
      <w:rFonts w:ascii="Times New Roman" w:hAnsi="Times New Roman" w:eastAsia="宋体" w:cs="Droid Sans"/>
    </w:rPr>
  </w:style>
  <w:style w:type="paragraph" w:styleId="8">
    <w:name w:val="Normal (Web)"/>
    <w:basedOn w:val="1"/>
    <w:uiPriority w:val="0"/>
    <w:pPr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paragraph" w:customStyle="1" w:styleId="11">
    <w:name w:val="p0"/>
    <w:basedOn w:val="12"/>
    <w:qFormat/>
    <w:uiPriority w:val="0"/>
    <w:pPr>
      <w:widowControl/>
    </w:pPr>
    <w:rPr>
      <w:rFonts w:hint="eastAsia" w:ascii="宋体" w:hAnsi="宋体"/>
      <w:sz w:val="32"/>
    </w:rPr>
  </w:style>
  <w:style w:type="paragraph" w:customStyle="1" w:styleId="12">
    <w:name w:val="正文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/>
    </w:rPr>
  </w:style>
  <w:style w:type="paragraph" w:customStyle="1" w:styleId="13">
    <w:name w:val="法规修改情况汇报：题注"/>
    <w:basedOn w:val="1"/>
    <w:uiPriority w:val="0"/>
    <w:pPr>
      <w:jc w:val="center"/>
    </w:pPr>
    <w:rPr>
      <w:rFonts w:ascii="楷体_GB2312" w:hAnsi="宋体" w:eastAsia="楷体_GB2312"/>
    </w:rPr>
  </w:style>
  <w:style w:type="paragraph" w:customStyle="1" w:styleId="14">
    <w:name w:val="正文 New New New New New New New New New New New New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paragraph" w:customStyle="1" w:styleId="15">
    <w:name w:val="Normal Indent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Normal (Web)"/>
    <w:basedOn w:val="1"/>
    <w:qFormat/>
    <w:uiPriority w:val="0"/>
    <w:pPr>
      <w:keepNext w:val="0"/>
      <w:keepLines w:val="0"/>
      <w:widowControl w:val="0"/>
      <w:suppressLineNumbers w:val="0"/>
      <w:spacing w:before="0" w:beforeLines="0" w:beforeAutospacing="0" w:after="0" w:afterLines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0"/>
      <w:lang w:val="en-US" w:eastAsia="zh-CN"/>
    </w:rPr>
  </w:style>
  <w:style w:type="paragraph" w:customStyle="1" w:styleId="17">
    <w:name w:val="法规审议结果报告：：题注"/>
    <w:basedOn w:val="1"/>
    <w:uiPriority w:val="0"/>
    <w:pPr>
      <w:jc w:val="center"/>
    </w:pPr>
    <w:rPr>
      <w:rFonts w:ascii="楷体_GB2312" w:hAnsi="宋体" w:eastAsia="楷体_GB2312"/>
    </w:rPr>
  </w:style>
  <w:style w:type="paragraph" w:customStyle="1" w:styleId="18">
    <w:name w:val="List Paragraph1"/>
    <w:basedOn w:val="1"/>
    <w:uiPriority w:val="0"/>
    <w:pPr>
      <w:ind w:firstLine="420" w:firstLineChars="200"/>
    </w:pPr>
    <w:rPr>
      <w:rFonts w:ascii="Calibri" w:hAnsi="Calibri"/>
    </w:rPr>
  </w:style>
  <w:style w:type="paragraph" w:customStyle="1" w:styleId="19">
    <w:name w:val="Normal New"/>
    <w:qFormat/>
    <w:uiPriority w:val="0"/>
    <w:pPr>
      <w:widowControl w:val="0"/>
      <w:jc w:val="both"/>
    </w:pPr>
    <w:rPr>
      <w:rFonts w:hint="eastAsia"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20">
    <w:name w:val="法规说明：正文前称呼"/>
    <w:basedOn w:val="1"/>
    <w:qFormat/>
    <w:uiPriority w:val="0"/>
    <w:rPr>
      <w:rFonts w:ascii="黑体" w:hAnsi="黑体" w:eastAsia="黑体"/>
    </w:rPr>
  </w:style>
  <w:style w:type="paragraph" w:customStyle="1" w:styleId="21">
    <w:name w:val="Normal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法规公告：发布机关"/>
    <w:basedOn w:val="1"/>
    <w:qFormat/>
    <w:uiPriority w:val="0"/>
    <w:pPr>
      <w:ind w:right="632" w:rightChars="200"/>
      <w:jc w:val="right"/>
    </w:pPr>
    <w:rPr>
      <w:rFonts w:ascii="仿宋_GB2312" w:hAnsi="宋体" w:eastAsia="仿宋_GB2312"/>
    </w:rPr>
  </w:style>
  <w:style w:type="paragraph" w:customStyle="1" w:styleId="23">
    <w:name w:val="标题：二号小标宋"/>
    <w:qFormat/>
    <w:uiPriority w:val="0"/>
    <w:pPr>
      <w:spacing w:line="560" w:lineRule="exact"/>
      <w:jc w:val="center"/>
    </w:pPr>
    <w:rPr>
      <w:rFonts w:ascii="方正小标宋简体" w:hAnsi="Times New Roman" w:eastAsia="方正小标宋简体" w:cs="Times New Roman"/>
      <w:kern w:val="2"/>
      <w:sz w:val="44"/>
      <w:szCs w:val="44"/>
      <w:lang w:val="en-US" w:eastAsia="zh-CN" w:bidi="ar-SA"/>
    </w:rPr>
  </w:style>
  <w:style w:type="paragraph" w:customStyle="1" w:styleId="24">
    <w:name w:val="正文 New New New"/>
    <w:basedOn w:val="1"/>
    <w:qFormat/>
    <w:uiPriority w:val="0"/>
    <w:pPr>
      <w:widowControl w:val="0"/>
      <w:jc w:val="both"/>
    </w:pPr>
    <w:rPr>
      <w:rFonts w:eastAsia="仿宋_GB2312"/>
      <w:kern w:val="2"/>
      <w:sz w:val="32"/>
      <w:szCs w:val="32"/>
      <w:lang w:val="en-US" w:eastAsia="zh-CN" w:bidi="ar-SA"/>
    </w:rPr>
  </w:style>
  <w:style w:type="paragraph" w:customStyle="1" w:styleId="25">
    <w:name w:val="正文：三号仿宋"/>
    <w:basedOn w:val="1"/>
    <w:qFormat/>
    <w:uiPriority w:val="0"/>
    <w:pPr>
      <w:ind w:firstLine="200" w:firstLineChars="200"/>
    </w:pPr>
    <w:rPr>
      <w:rFonts w:eastAsia="仿宋_GB2312"/>
      <w:sz w:val="32"/>
    </w:rPr>
  </w:style>
  <w:style w:type="paragraph" w:customStyle="1" w:styleId="26">
    <w:name w:val="法规公告：发布日期"/>
    <w:basedOn w:val="22"/>
    <w:qFormat/>
    <w:uiPriority w:val="0"/>
    <w:pPr>
      <w:ind w:right="1579" w:rightChars="500"/>
    </w:pPr>
    <w:rPr>
      <w:rFonts w:cs="宋体"/>
      <w:szCs w:val="20"/>
    </w:rPr>
  </w:style>
  <w:style w:type="paragraph" w:customStyle="1" w:styleId="27">
    <w:name w:val="正文 New New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/>
    </w:rPr>
  </w:style>
  <w:style w:type="paragraph" w:customStyle="1" w:styleId="28">
    <w:name w:val="主送单位"/>
    <w:basedOn w:val="1"/>
    <w:qFormat/>
    <w:uiPriority w:val="0"/>
    <w:rPr>
      <w:rFonts w:ascii="仿宋_GB231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省人大常委会办公厅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2020-01-03T01:26:00Z</dcterms:created>
  <dc:creator>谢浩然</dc:creator>
  <cp:lastModifiedBy>黎耀兰</cp:lastModifiedBy>
  <cp:lastPrinted>2021-08-20T08:44:03Z</cp:lastPrinted>
  <dcterms:modified xsi:type="dcterms:W3CDTF">2021-08-23T08:53:33Z</dcterms:modified>
  <dc:title>广东省人大常委会文件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