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kern w:val="21"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color w:val="auto"/>
          <w:kern w:val="21"/>
          <w:sz w:val="44"/>
          <w:szCs w:val="44"/>
          <w:lang w:val="en-US" w:eastAsia="zh-CN"/>
        </w:rPr>
        <w:t>广东省人民代表大会常务委员会关于横琴粤澳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sz w:val="32"/>
          <w:szCs w:val="32"/>
        </w:rPr>
      </w:pPr>
      <w:r>
        <w:rPr>
          <w:rFonts w:hint="eastAsia" w:ascii="宋体" w:hAnsi="宋体" w:eastAsia="宋体" w:cs="宋体"/>
          <w:color w:val="auto"/>
          <w:kern w:val="21"/>
          <w:sz w:val="44"/>
          <w:szCs w:val="44"/>
          <w:lang w:val="en-US" w:eastAsia="zh-CN"/>
        </w:rPr>
        <w:t>深度合作区有关管理体制的决定</w:t>
      </w:r>
    </w:p>
    <w:p>
      <w:pPr>
        <w:pStyle w:val="29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color w:val="auto"/>
          <w:kern w:val="21"/>
          <w:sz w:val="44"/>
          <w:szCs w:val="4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0" w:rightChars="0" w:firstLine="0" w:firstLineChars="0"/>
        <w:jc w:val="center"/>
        <w:textAlignment w:val="auto"/>
        <w:outlineLvl w:val="9"/>
        <w:rPr>
          <w:rFonts w:hint="eastAsia" w:ascii="宋体" w:hAnsi="宋体" w:eastAsia="楷体_GB2312"/>
          <w:sz w:val="32"/>
          <w:szCs w:val="32"/>
          <w:lang w:val="en-US" w:eastAsia="zh-CN"/>
        </w:rPr>
      </w:pPr>
      <w:r>
        <w:rPr>
          <w:rFonts w:hint="eastAsia" w:ascii="宋体" w:hAnsi="宋体" w:eastAsia="楷体_GB2312"/>
          <w:sz w:val="32"/>
          <w:szCs w:val="32"/>
          <w:lang w:val="en-US" w:eastAsia="zh-CN"/>
        </w:rPr>
        <w:t>（2021年9月16日广东省第十三届人民代表大会</w:t>
      </w: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="0" w:afterLines="0" w:line="590" w:lineRule="exact"/>
        <w:ind w:left="0" w:leftChars="0" w:right="632" w:rightChars="200" w:hanging="12" w:firstLineChars="0"/>
        <w:jc w:val="center"/>
        <w:textAlignment w:val="auto"/>
        <w:outlineLvl w:val="9"/>
        <w:rPr>
          <w:rFonts w:hint="eastAsia" w:ascii="宋体" w:hAnsi="宋体" w:eastAsia="楷体_GB2312"/>
          <w:sz w:val="32"/>
          <w:szCs w:val="32"/>
          <w:lang w:val="en-US" w:eastAsia="zh-CN"/>
        </w:rPr>
      </w:pPr>
      <w:r>
        <w:rPr>
          <w:rFonts w:hint="eastAsia" w:ascii="宋体" w:hAnsi="宋体" w:eastAsia="楷体_GB2312"/>
          <w:sz w:val="32"/>
          <w:szCs w:val="32"/>
          <w:lang w:val="en-US" w:eastAsia="zh-CN"/>
        </w:rPr>
        <w:t>常务委员会第三十四次会议通过）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</w:pPr>
      <w:r>
        <w:rPr>
          <w:rFonts w:hint="eastAsia" w:ascii="宋体" w:hAnsi="宋体" w:eastAsia="仿宋_GB2312" w:cs="黑体"/>
          <w:snapToGrid w:val="0"/>
          <w:sz w:val="32"/>
          <w:lang w:val="en-US" w:eastAsia="zh-CN"/>
        </w:rPr>
        <w:t>为</w:t>
      </w:r>
      <w:r>
        <w:rPr>
          <w:rFonts w:hint="eastAsia" w:ascii="宋体" w:hAnsi="宋体" w:cs="黑体"/>
          <w:snapToGrid w:val="0"/>
          <w:sz w:val="32"/>
          <w:lang w:val="en-US" w:eastAsia="zh-CN"/>
        </w:rPr>
        <w:t>落实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《横琴粤澳深度合作区建设总体方案》</w:t>
      </w:r>
      <w:r>
        <w:rPr>
          <w:rFonts w:hint="eastAsia" w:ascii="宋体" w:hAnsi="宋体" w:cs="黑体"/>
          <w:snapToGrid w:val="0"/>
          <w:sz w:val="32"/>
          <w:lang w:val="en-US" w:eastAsia="zh-CN"/>
        </w:rPr>
        <w:t>关于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横琴粤澳深度合作区</w:t>
      </w:r>
      <w:r>
        <w:rPr>
          <w:rFonts w:hint="eastAsia" w:ascii="宋体" w:hAnsi="宋体" w:eastAsia="仿宋_GB2312" w:cs="Times New Roman"/>
          <w:snapToGrid w:val="0"/>
          <w:spacing w:val="-6"/>
          <w:sz w:val="32"/>
          <w:lang w:val="en-US" w:eastAsia="zh-CN"/>
        </w:rPr>
        <w:t>（以下简称合作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区）</w:t>
      </w:r>
      <w:r>
        <w:rPr>
          <w:rFonts w:hint="eastAsia" w:ascii="宋体" w:hAnsi="宋体" w:cs="Times New Roman"/>
          <w:snapToGrid w:val="0"/>
          <w:sz w:val="32"/>
          <w:lang w:val="en-US" w:eastAsia="zh-CN"/>
        </w:rPr>
        <w:t>管理体制的要求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，根据</w:t>
      </w:r>
      <w:r>
        <w:rPr>
          <w:rFonts w:hint="eastAsia" w:ascii="宋体" w:hAnsi="宋体" w:eastAsia="仿宋_GB2312" w:cs="黑体"/>
          <w:snapToGrid w:val="0"/>
          <w:sz w:val="32"/>
          <w:lang w:val="en-US" w:eastAsia="zh-CN"/>
        </w:rPr>
        <w:t>宪法和有关法律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，</w:t>
      </w:r>
      <w:r>
        <w:rPr>
          <w:rFonts w:hint="eastAsia" w:ascii="宋体" w:hAnsi="宋体" w:cs="Times New Roman"/>
          <w:snapToGrid w:val="0"/>
          <w:sz w:val="32"/>
          <w:lang w:val="en-US" w:eastAsia="zh-CN"/>
        </w:rPr>
        <w:t>广东省</w:t>
      </w:r>
      <w:r>
        <w:rPr>
          <w:rFonts w:hint="eastAsia" w:ascii="宋体" w:hAnsi="宋体" w:eastAsia="仿宋_GB2312" w:cs="黑体"/>
          <w:snapToGrid w:val="0"/>
          <w:sz w:val="32"/>
          <w:lang w:val="en-US" w:eastAsia="zh-CN"/>
        </w:rPr>
        <w:t>人民代表大会常务委员会</w:t>
      </w:r>
      <w:r>
        <w:rPr>
          <w:rFonts w:hint="eastAsia" w:ascii="宋体" w:hAnsi="宋体" w:cs="黑体"/>
          <w:snapToGrid w:val="0"/>
          <w:sz w:val="32"/>
          <w:lang w:val="en-US" w:eastAsia="zh-CN"/>
        </w:rPr>
        <w:t>作出如下</w:t>
      </w: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决定：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08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</w:pPr>
      <w:r>
        <w:rPr>
          <w:rFonts w:hint="eastAsia" w:ascii="宋体" w:hAnsi="宋体" w:eastAsia="仿宋_GB2312" w:cs="仿宋_GB2312"/>
          <w:snapToGrid w:val="0"/>
          <w:spacing w:val="-6"/>
          <w:sz w:val="32"/>
          <w:lang w:val="en-US" w:eastAsia="zh-CN"/>
        </w:rPr>
        <w:t>一、横琴粤澳深度合作区</w:t>
      </w:r>
      <w:r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  <w:t>范围为横琴岛“一线”和“二线”之间的海关监管区域，总面积约106平方公里。横琴与澳门特别行政区之间为“一线”，横琴与中华人民共和国关境内其他地区之间为“二线”。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</w:pPr>
      <w:r>
        <w:rPr>
          <w:rFonts w:hint="eastAsia" w:ascii="宋体" w:hAnsi="宋体" w:eastAsia="仿宋_GB2312" w:cs="仿宋_GB2312"/>
          <w:snapToGrid w:val="0"/>
          <w:sz w:val="32"/>
          <w:szCs w:val="22"/>
          <w:lang w:val="en-US" w:eastAsia="zh-CN"/>
        </w:rPr>
        <w:t>二、</w:t>
      </w:r>
      <w:r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  <w:t>设立合作区管理委员会。合作区</w:t>
      </w:r>
      <w:r>
        <w:rPr>
          <w:rFonts w:hint="eastAsia" w:ascii="宋体" w:hAnsi="宋体" w:eastAsia="仿宋_GB2312" w:cs="仿宋_GB2312"/>
          <w:snapToGrid w:val="0"/>
          <w:sz w:val="32"/>
          <w:highlight w:val="none"/>
          <w:lang w:val="en-US" w:eastAsia="zh-CN"/>
        </w:rPr>
        <w:t>管理</w:t>
      </w:r>
      <w:r>
        <w:rPr>
          <w:rFonts w:hint="eastAsia" w:ascii="宋体" w:hAnsi="宋体" w:eastAsia="仿宋_GB2312" w:cs="仿宋_GB2312"/>
          <w:snapToGrid w:val="0"/>
          <w:spacing w:val="-6"/>
          <w:sz w:val="32"/>
          <w:highlight w:val="none"/>
          <w:lang w:val="en-US" w:eastAsia="zh-CN"/>
        </w:rPr>
        <w:t>委员会</w:t>
      </w:r>
      <w:r>
        <w:rPr>
          <w:rFonts w:hint="eastAsia" w:ascii="宋体" w:hAnsi="宋体" w:eastAsia="仿宋_GB2312" w:cs="仿宋_GB2312"/>
          <w:snapToGrid w:val="0"/>
          <w:spacing w:val="-6"/>
          <w:sz w:val="32"/>
          <w:lang w:val="en-US" w:eastAsia="zh-CN"/>
        </w:rPr>
        <w:t>在职权范围内统筹决定合作区的重大规划、重大政策、重</w:t>
      </w:r>
      <w:r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  <w:t>大项目和重要人事任免。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b w:val="0"/>
          <w:bCs w:val="0"/>
          <w:snapToGrid w:val="0"/>
          <w:sz w:val="32"/>
          <w:szCs w:val="22"/>
          <w:highlight w:val="none"/>
          <w:u w:val="none"/>
          <w:lang w:val="en-US" w:eastAsia="zh-CN"/>
        </w:rPr>
      </w:pPr>
      <w:r>
        <w:rPr>
          <w:rFonts w:hint="eastAsia" w:ascii="宋体" w:hAnsi="宋体" w:eastAsia="仿宋_GB2312" w:cs="仿宋_GB2312"/>
          <w:snapToGrid w:val="0"/>
          <w:sz w:val="32"/>
          <w:szCs w:val="22"/>
          <w:lang w:val="en-US" w:eastAsia="zh-CN"/>
        </w:rPr>
        <w:t>三、</w:t>
      </w:r>
      <w:r>
        <w:rPr>
          <w:rFonts w:hint="eastAsia" w:ascii="宋体" w:hAnsi="宋体" w:eastAsia="仿宋_GB2312" w:cs="仿宋_GB2312"/>
          <w:snapToGrid w:val="0"/>
          <w:sz w:val="32"/>
          <w:highlight w:val="none"/>
          <w:lang w:val="en-US" w:eastAsia="zh-CN"/>
        </w:rPr>
        <w:t>合作区管理委员会下设执行委员会。合作区执行委员会是承担合作区经济和民生管理职能的法定机构，依法履行国际推介、招商引资、产业导入、土地开发、项目建设、民生管理等相关行政管理和公共服务职能，负责合作区具体开发建设工作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</w:pPr>
      <w:r>
        <w:rPr>
          <w:rFonts w:hint="eastAsia" w:ascii="宋体" w:hAnsi="宋体" w:eastAsia="仿宋_GB2312" w:cs="仿宋_GB2312"/>
          <w:snapToGrid w:val="0"/>
          <w:sz w:val="32"/>
          <w:szCs w:val="22"/>
          <w:lang w:val="en-US" w:eastAsia="zh-CN"/>
        </w:rPr>
        <w:t>四、</w:t>
      </w:r>
      <w:r>
        <w:rPr>
          <w:rFonts w:hint="eastAsia" w:ascii="宋体" w:hAnsi="宋体" w:eastAsia="仿宋_GB2312" w:cs="仿宋_GB2312"/>
          <w:snapToGrid w:val="0"/>
          <w:sz w:val="32"/>
          <w:lang w:val="en-US" w:eastAsia="zh-CN"/>
        </w:rPr>
        <w:t>广东省在合作区设立派出机构。派出机构在职权范围内履行属地管理职能，配合合作区管理委员会和执行委员会推进合作区开发建设。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cs="Times New Roman"/>
          <w:b w:val="0"/>
          <w:bCs w:val="0"/>
          <w:snapToGrid w:val="0"/>
          <w:sz w:val="32"/>
          <w:lang w:val="en-US" w:eastAsia="zh-CN"/>
        </w:rPr>
      </w:pPr>
      <w:r>
        <w:rPr>
          <w:rFonts w:hint="eastAsia" w:ascii="宋体" w:hAnsi="宋体" w:eastAsia="仿宋_GB2312" w:cs="仿宋_GB2312"/>
          <w:snapToGrid w:val="0"/>
          <w:sz w:val="32"/>
          <w:szCs w:val="22"/>
          <w:lang w:val="en-US" w:eastAsia="zh-CN"/>
        </w:rPr>
        <w:t>五、</w:t>
      </w:r>
      <w:r>
        <w:rPr>
          <w:rFonts w:hint="eastAsia" w:ascii="宋体" w:hAnsi="宋体" w:eastAsia="仿宋_GB2312" w:cs="仿宋_GB2312"/>
          <w:b w:val="0"/>
          <w:bCs w:val="0"/>
          <w:snapToGrid w:val="0"/>
          <w:sz w:val="32"/>
          <w:lang w:val="en-US" w:eastAsia="zh-CN"/>
        </w:rPr>
        <w:t>广东省人民政府及其有关部门、珠海市人民政府及其有关部门将有关省级、市级管理权限依法授权或者委托给</w:t>
      </w:r>
      <w:r>
        <w:rPr>
          <w:rFonts w:hint="eastAsia" w:ascii="宋体" w:hAnsi="宋体" w:eastAsia="仿宋_GB2312" w:cs="仿宋_GB2312"/>
          <w:b w:val="0"/>
          <w:bCs w:val="0"/>
          <w:snapToGrid w:val="0"/>
          <w:sz w:val="32"/>
          <w:highlight w:val="none"/>
          <w:lang w:val="en-US" w:eastAsia="zh-CN"/>
        </w:rPr>
        <w:t>合作区执行委员</w:t>
      </w:r>
      <w:r>
        <w:rPr>
          <w:rFonts w:hint="eastAsia" w:ascii="宋体" w:hAnsi="宋体" w:eastAsia="仿宋_GB2312" w:cs="仿宋_GB2312"/>
          <w:b w:val="0"/>
          <w:bCs w:val="0"/>
          <w:snapToGrid w:val="0"/>
          <w:sz w:val="32"/>
          <w:lang w:val="en-US" w:eastAsia="zh-CN"/>
        </w:rPr>
        <w:t>会及其工作机构</w:t>
      </w:r>
      <w:r>
        <w:rPr>
          <w:rFonts w:hint="eastAsia" w:ascii="宋体" w:hAnsi="宋体" w:cs="Times New Roman"/>
          <w:b w:val="0"/>
          <w:bCs w:val="0"/>
          <w:snapToGrid w:val="0"/>
          <w:sz w:val="32"/>
          <w:lang w:val="en-US" w:eastAsia="zh-CN"/>
        </w:rPr>
        <w:t>行使。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left="0" w:leftChars="0" w:right="0" w:rightChars="0" w:firstLine="632" w:firstLineChars="200"/>
        <w:jc w:val="both"/>
        <w:textAlignment w:val="auto"/>
        <w:outlineLvl w:val="9"/>
        <w:rPr>
          <w:rFonts w:hint="eastAsia" w:ascii="宋体" w:hAnsi="宋体" w:eastAsia="仿宋_GB2312" w:cs="Times New Roman"/>
          <w:sz w:val="32"/>
          <w:lang w:val="en-US" w:eastAsia="zh-CN"/>
        </w:rPr>
      </w:pPr>
      <w:r>
        <w:rPr>
          <w:rFonts w:hint="eastAsia" w:ascii="宋体" w:hAnsi="宋体" w:eastAsia="仿宋_GB2312" w:cs="Times New Roman"/>
          <w:snapToGrid w:val="0"/>
          <w:sz w:val="32"/>
          <w:lang w:val="en-US" w:eastAsia="zh-CN"/>
        </w:rPr>
        <w:t>本决定自公布之日起施行。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/>
        <w:spacing w:before="0" w:beforeLines="0" w:after="0" w:afterLines="0" w:line="590" w:lineRule="exact"/>
        <w:ind w:right="0" w:rightChars="0"/>
        <w:jc w:val="both"/>
        <w:textAlignment w:val="auto"/>
        <w:outlineLvl w:val="9"/>
        <w:rPr>
          <w:rFonts w:hint="eastAsia" w:ascii="Times New Roman" w:hAnsi="Times New Roman" w:eastAsia="仿宋_GB2312" w:cs="Times New Roman"/>
          <w:sz w:val="32"/>
          <w:lang w:val="en-US" w:eastAsia="zh-CN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default"/>
        </w:rPr>
      </w:pPr>
    </w:p>
    <w:p>
      <w:pPr>
        <w:pStyle w:val="2"/>
        <w:spacing w:beforeLines="0" w:after="0" w:afterLines="0" w:line="590" w:lineRule="exact"/>
        <w:rPr>
          <w:rFonts w:hint="default"/>
        </w:rPr>
      </w:pPr>
    </w:p>
    <w:p>
      <w:pPr>
        <w:spacing w:beforeLines="0" w:after="0" w:afterLines="0" w:line="590" w:lineRule="exact"/>
        <w:rPr>
          <w:rFonts w:hint="eastAsia"/>
        </w:rPr>
      </w:pPr>
      <w:bookmarkStart w:id="0" w:name="_GoBack"/>
      <w:bookmarkEnd w:id="0"/>
    </w:p>
    <w:sectPr>
      <w:footerReference r:id="rId3" w:type="default"/>
      <w:footerReference r:id="rId4" w:type="even"/>
      <w:pgSz w:w="11907" w:h="16840"/>
      <w:pgMar w:top="1984" w:right="1531" w:bottom="1871" w:left="1531" w:header="0" w:footer="1304" w:gutter="0"/>
      <w:pgNumType w:fmt="decimal"/>
      <w:cols w:space="720" w:num="1"/>
      <w:docGrid w:type="linesAndChars" w:linePitch="590" w:charSpace="-84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Droid S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方正小标宋简体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方正小标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方正大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wordWrap w:val="0"/>
      <w:spacing w:beforeLines="0" w:afterLines="0"/>
      <w:ind w:right="320" w:rightChars="100"/>
      <w:jc w:val="right"/>
      <w:rPr>
        <w:rFonts w:hint="eastAsia" w:eastAsia="仿宋_GB2312"/>
        <w:sz w:val="28"/>
        <w:szCs w:val="28"/>
        <w:lang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spacing w:beforeLines="0" w:afterLines="0"/>
      <w:ind w:left="320" w:leftChars="100"/>
      <w:jc w:val="both"/>
      <w:rPr>
        <w:rFonts w:hint="eastAsia" w:ascii="宋体" w:hAnsi="宋体" w:eastAsia="宋体" w:cs="宋体"/>
        <w:sz w:val="28"/>
        <w:szCs w:val="28"/>
        <w:lang w:eastAsia="zh-CN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revisionView w:markup="0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025EFD"/>
    <w:rsid w:val="006F5272"/>
    <w:rsid w:val="00CD76ED"/>
    <w:rsid w:val="036D2E41"/>
    <w:rsid w:val="04700EBE"/>
    <w:rsid w:val="05E04ED4"/>
    <w:rsid w:val="077817DF"/>
    <w:rsid w:val="077E46D7"/>
    <w:rsid w:val="07DB2F24"/>
    <w:rsid w:val="0BDA4915"/>
    <w:rsid w:val="0C7A172E"/>
    <w:rsid w:val="0E0604EF"/>
    <w:rsid w:val="12025EFD"/>
    <w:rsid w:val="14AD402D"/>
    <w:rsid w:val="154D3AD0"/>
    <w:rsid w:val="1698424F"/>
    <w:rsid w:val="174F742F"/>
    <w:rsid w:val="176D1A74"/>
    <w:rsid w:val="19667C14"/>
    <w:rsid w:val="1BC864CE"/>
    <w:rsid w:val="1D1665D4"/>
    <w:rsid w:val="1E384267"/>
    <w:rsid w:val="1F1D28FC"/>
    <w:rsid w:val="20495114"/>
    <w:rsid w:val="23031FA6"/>
    <w:rsid w:val="252F0FC5"/>
    <w:rsid w:val="26740915"/>
    <w:rsid w:val="26966EA2"/>
    <w:rsid w:val="29653D97"/>
    <w:rsid w:val="32834343"/>
    <w:rsid w:val="3448610D"/>
    <w:rsid w:val="367F231D"/>
    <w:rsid w:val="393D2E31"/>
    <w:rsid w:val="39DF1660"/>
    <w:rsid w:val="3B980A6E"/>
    <w:rsid w:val="3EA41867"/>
    <w:rsid w:val="43BB4B31"/>
    <w:rsid w:val="45AD5B43"/>
    <w:rsid w:val="481F2D9F"/>
    <w:rsid w:val="48CC1E27"/>
    <w:rsid w:val="49EA2717"/>
    <w:rsid w:val="4AA0346C"/>
    <w:rsid w:val="4B6A18A0"/>
    <w:rsid w:val="4D802E2A"/>
    <w:rsid w:val="52D20B3C"/>
    <w:rsid w:val="556E1B96"/>
    <w:rsid w:val="561C519E"/>
    <w:rsid w:val="56823E9F"/>
    <w:rsid w:val="579408DB"/>
    <w:rsid w:val="60CC7E36"/>
    <w:rsid w:val="63653A5A"/>
    <w:rsid w:val="664E5037"/>
    <w:rsid w:val="6D5D616F"/>
    <w:rsid w:val="6DFF7424"/>
    <w:rsid w:val="6FCF53E1"/>
    <w:rsid w:val="73ED299E"/>
    <w:rsid w:val="74A05074"/>
    <w:rsid w:val="76FA7404"/>
    <w:rsid w:val="7DCE57AD"/>
    <w:rsid w:val="7DDE0E8A"/>
    <w:rsid w:val="7E7851AB"/>
    <w:rsid w:val="7FA7074B"/>
    <w:rsid w:val="7FB344D6"/>
    <w:rsid w:val="7FDE5A2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="等线" w:hAnsi="等线" w:eastAsia="仿宋_GB2312" w:cs="Times New Roman"/>
      <w:kern w:val="2"/>
      <w:sz w:val="32"/>
      <w:szCs w:val="32"/>
      <w:lang w:val="en-US" w:eastAsia="zh-CN" w:bidi="ar-SA"/>
    </w:rPr>
  </w:style>
  <w:style w:type="character" w:default="1" w:styleId="9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Indent"/>
    <w:basedOn w:val="1"/>
    <w:next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styleId="3">
    <w:name w:val="Body Text"/>
    <w:basedOn w:val="1"/>
    <w:qFormat/>
    <w:uiPriority w:val="0"/>
    <w:rPr>
      <w:rFonts w:eastAsia="宋体"/>
      <w:sz w:val="44"/>
      <w:szCs w:val="24"/>
    </w:rPr>
  </w:style>
  <w:style w:type="paragraph" w:styleId="4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7">
    <w:name w:val="toc 2"/>
    <w:basedOn w:val="1"/>
    <w:next w:val="1"/>
    <w:qFormat/>
    <w:uiPriority w:val="0"/>
    <w:pPr>
      <w:ind w:left="200" w:leftChars="200"/>
    </w:pPr>
    <w:rPr>
      <w:rFonts w:ascii="Times New Roman" w:hAnsi="Times New Roman" w:eastAsia="宋体" w:cs="Droid Sans"/>
    </w:rPr>
  </w:style>
  <w:style w:type="paragraph" w:styleId="8">
    <w:name w:val="Normal (Web)"/>
    <w:basedOn w:val="1"/>
    <w:qFormat/>
    <w:uiPriority w:val="0"/>
    <w:pPr>
      <w:jc w:val="left"/>
    </w:pPr>
    <w:rPr>
      <w:rFonts w:ascii="Times New Roman" w:hAnsi="Times New Roman" w:eastAsia="宋体" w:cs="Times New Roman"/>
      <w:kern w:val="0"/>
      <w:sz w:val="24"/>
      <w:szCs w:val="24"/>
    </w:rPr>
  </w:style>
  <w:style w:type="paragraph" w:customStyle="1" w:styleId="11">
    <w:name w:val="p0"/>
    <w:basedOn w:val="12"/>
    <w:qFormat/>
    <w:uiPriority w:val="0"/>
    <w:pPr>
      <w:widowControl/>
    </w:pPr>
    <w:rPr>
      <w:rFonts w:hint="eastAsia" w:ascii="宋体" w:hAnsi="宋体"/>
      <w:sz w:val="32"/>
    </w:rPr>
  </w:style>
  <w:style w:type="paragraph" w:customStyle="1" w:styleId="12">
    <w:name w:val="正文 New New New New New New New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/>
    </w:rPr>
  </w:style>
  <w:style w:type="paragraph" w:customStyle="1" w:styleId="13">
    <w:name w:val="法规修改情况汇报：题注"/>
    <w:basedOn w:val="1"/>
    <w:qFormat/>
    <w:uiPriority w:val="0"/>
    <w:pPr>
      <w:jc w:val="center"/>
    </w:pPr>
    <w:rPr>
      <w:rFonts w:ascii="楷体_GB2312" w:hAnsi="宋体" w:eastAsia="楷体_GB2312"/>
    </w:rPr>
  </w:style>
  <w:style w:type="paragraph" w:customStyle="1" w:styleId="14">
    <w:name w:val="正文 New New New New New New New New New New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paragraph" w:customStyle="1" w:styleId="15">
    <w:name w:val="Normal Indent"/>
    <w:basedOn w:val="1"/>
    <w:qFormat/>
    <w:uiPriority w:val="0"/>
    <w:pPr>
      <w:ind w:firstLine="420" w:firstLineChars="200"/>
    </w:pPr>
    <w:rPr>
      <w:rFonts w:ascii="Calibri" w:hAnsi="Calibri" w:eastAsia="宋体" w:cs="Times New Roman"/>
    </w:rPr>
  </w:style>
  <w:style w:type="paragraph" w:customStyle="1" w:styleId="16">
    <w:name w:val="Normal (Web)"/>
    <w:basedOn w:val="1"/>
    <w:qFormat/>
    <w:uiPriority w:val="0"/>
    <w:pPr>
      <w:keepNext w:val="0"/>
      <w:keepLines w:val="0"/>
      <w:widowControl w:val="0"/>
      <w:suppressLineNumbers w:val="0"/>
      <w:spacing w:before="0" w:beforeLines="0" w:beforeAutospacing="0" w:after="0" w:afterLines="0" w:afterAutospacing="0"/>
      <w:ind w:left="0" w:right="0"/>
      <w:jc w:val="both"/>
    </w:pPr>
    <w:rPr>
      <w:rFonts w:hint="default" w:ascii="Times New Roman" w:hAnsi="Times New Roman" w:eastAsia="宋体" w:cs="Times New Roman"/>
      <w:kern w:val="2"/>
      <w:sz w:val="24"/>
      <w:szCs w:val="20"/>
      <w:lang w:val="en-US" w:eastAsia="zh-CN"/>
    </w:rPr>
  </w:style>
  <w:style w:type="paragraph" w:customStyle="1" w:styleId="17">
    <w:name w:val="法规审议结果报告：：题注"/>
    <w:basedOn w:val="1"/>
    <w:qFormat/>
    <w:uiPriority w:val="0"/>
    <w:pPr>
      <w:jc w:val="center"/>
    </w:pPr>
    <w:rPr>
      <w:rFonts w:ascii="楷体_GB2312" w:hAnsi="宋体" w:eastAsia="楷体_GB2312"/>
    </w:rPr>
  </w:style>
  <w:style w:type="paragraph" w:customStyle="1" w:styleId="18">
    <w:name w:val="List Paragraph1"/>
    <w:basedOn w:val="1"/>
    <w:qFormat/>
    <w:uiPriority w:val="0"/>
    <w:pPr>
      <w:ind w:firstLine="420" w:firstLineChars="200"/>
    </w:pPr>
    <w:rPr>
      <w:rFonts w:ascii="Calibri" w:hAnsi="Calibri"/>
    </w:rPr>
  </w:style>
  <w:style w:type="paragraph" w:customStyle="1" w:styleId="19">
    <w:name w:val="Normal New"/>
    <w:qFormat/>
    <w:uiPriority w:val="0"/>
    <w:pPr>
      <w:widowControl w:val="0"/>
      <w:jc w:val="both"/>
    </w:pPr>
    <w:rPr>
      <w:rFonts w:hint="eastAsia" w:ascii="Calibri" w:hAnsi="Calibri" w:eastAsia="宋体" w:cs="Times New Roman"/>
      <w:kern w:val="2"/>
      <w:sz w:val="21"/>
      <w:lang w:val="en-US" w:eastAsia="zh-CN" w:bidi="ar-SA"/>
    </w:rPr>
  </w:style>
  <w:style w:type="paragraph" w:customStyle="1" w:styleId="20">
    <w:name w:val="法规说明：正文前称呼"/>
    <w:basedOn w:val="1"/>
    <w:qFormat/>
    <w:uiPriority w:val="0"/>
    <w:rPr>
      <w:rFonts w:ascii="黑体" w:hAnsi="黑体" w:eastAsia="黑体"/>
    </w:rPr>
  </w:style>
  <w:style w:type="paragraph" w:customStyle="1" w:styleId="21">
    <w:name w:val="Normal New New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customStyle="1" w:styleId="22">
    <w:name w:val="法规公告：发布机关"/>
    <w:basedOn w:val="1"/>
    <w:qFormat/>
    <w:uiPriority w:val="0"/>
    <w:pPr>
      <w:ind w:right="632" w:rightChars="200"/>
      <w:jc w:val="right"/>
    </w:pPr>
    <w:rPr>
      <w:rFonts w:ascii="仿宋_GB2312" w:hAnsi="宋体" w:eastAsia="仿宋_GB2312"/>
    </w:rPr>
  </w:style>
  <w:style w:type="paragraph" w:customStyle="1" w:styleId="23">
    <w:name w:val="标题：二号小标宋"/>
    <w:qFormat/>
    <w:uiPriority w:val="0"/>
    <w:pPr>
      <w:spacing w:line="560" w:lineRule="exact"/>
      <w:jc w:val="center"/>
    </w:pPr>
    <w:rPr>
      <w:rFonts w:ascii="方正小标宋简体" w:hAnsi="Times New Roman" w:eastAsia="方正小标宋简体" w:cs="Times New Roman"/>
      <w:kern w:val="2"/>
      <w:sz w:val="44"/>
      <w:szCs w:val="44"/>
      <w:lang w:val="en-US" w:eastAsia="zh-CN" w:bidi="ar-SA"/>
    </w:rPr>
  </w:style>
  <w:style w:type="paragraph" w:customStyle="1" w:styleId="24">
    <w:name w:val="正文 New New New"/>
    <w:basedOn w:val="1"/>
    <w:qFormat/>
    <w:uiPriority w:val="0"/>
    <w:pPr>
      <w:widowControl w:val="0"/>
      <w:jc w:val="both"/>
    </w:pPr>
    <w:rPr>
      <w:rFonts w:eastAsia="仿宋_GB2312"/>
      <w:kern w:val="2"/>
      <w:sz w:val="32"/>
      <w:szCs w:val="32"/>
      <w:lang w:val="en-US" w:eastAsia="zh-CN" w:bidi="ar-SA"/>
    </w:rPr>
  </w:style>
  <w:style w:type="paragraph" w:customStyle="1" w:styleId="25">
    <w:name w:val="正文：三号仿宋"/>
    <w:basedOn w:val="1"/>
    <w:qFormat/>
    <w:uiPriority w:val="0"/>
    <w:pPr>
      <w:ind w:firstLine="200" w:firstLineChars="200"/>
    </w:pPr>
    <w:rPr>
      <w:rFonts w:eastAsia="仿宋_GB2312"/>
      <w:sz w:val="32"/>
    </w:rPr>
  </w:style>
  <w:style w:type="paragraph" w:customStyle="1" w:styleId="26">
    <w:name w:val="法规公告：发布日期"/>
    <w:basedOn w:val="22"/>
    <w:qFormat/>
    <w:uiPriority w:val="0"/>
    <w:pPr>
      <w:ind w:right="1579" w:rightChars="500"/>
    </w:pPr>
    <w:rPr>
      <w:rFonts w:cs="宋体"/>
      <w:szCs w:val="20"/>
    </w:rPr>
  </w:style>
  <w:style w:type="paragraph" w:customStyle="1" w:styleId="27">
    <w:name w:val="正文 New New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/>
    </w:rPr>
  </w:style>
  <w:style w:type="paragraph" w:customStyle="1" w:styleId="28">
    <w:name w:val="主送单位"/>
    <w:basedOn w:val="1"/>
    <w:qFormat/>
    <w:uiPriority w:val="0"/>
    <w:rPr>
      <w:rFonts w:ascii="仿宋_GB2312"/>
      <w:szCs w:val="32"/>
    </w:rPr>
  </w:style>
  <w:style w:type="paragraph" w:customStyle="1" w:styleId="29">
    <w:name w:val="正文 New"/>
    <w:next w:val="30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customStyle="1" w:styleId="30">
    <w:name w:val="正文缩进 New"/>
    <w:basedOn w:val="29"/>
    <w:qFormat/>
    <w:uiPriority w:val="0"/>
    <w:pPr>
      <w:ind w:firstLine="420" w:firstLineChars="200"/>
    </w:pPr>
  </w:style>
  <w:style w:type="paragraph" w:customStyle="1" w:styleId="31">
    <w:name w:val="正文 New New New New New New New New New New New New New New New New"/>
    <w:next w:val="32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32">
    <w:name w:val="正文缩进 New New New"/>
    <w:basedOn w:val="31"/>
    <w:qFormat/>
    <w:uiPriority w:val="0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省人大常委会办公厅</Company>
  <Pages>1</Pages>
  <Words>0</Words>
  <Characters>0</Characters>
  <Lines>0</Lines>
  <Paragraphs>0</Paragraphs>
  <TotalTime>22</TotalTime>
  <ScaleCrop>false</ScaleCrop>
  <LinksUpToDate>false</LinksUpToDate>
  <CharactersWithSpaces>0</CharactersWithSpaces>
  <Application>WPS Office_10.8.2.6990_F1E327BC-269C-435d-A152-05C5408002CA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2020-01-03T01:26:00Z</dcterms:created>
  <dc:creator>谢浩然</dc:creator>
  <cp:lastModifiedBy>黎耀兰</cp:lastModifiedBy>
  <cp:lastPrinted>2021-10-12T06:05:00Z</cp:lastPrinted>
  <dcterms:modified xsi:type="dcterms:W3CDTF">2021-10-13T07:44:17Z</dcterms:modified>
  <dc:title>广东省人大常委会文件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2052-10.8.2.6990</vt:lpwstr>
  </property>
</Properties>
</file>