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1308" w:firstLineChars="300"/>
        <w:jc w:val="both"/>
        <w:textAlignment w:val="auto"/>
        <w:outlineLvl w:val="9"/>
        <w:rPr>
          <w:rFonts w:hint="default" w:ascii="宋体" w:hAnsi="宋体" w:eastAsia="方正小标宋简体" w:cs="Times New Roman"/>
          <w:color w:val="auto"/>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color w:val="auto"/>
          <w:sz w:val="44"/>
          <w:szCs w:val="44"/>
          <w:lang w:val="en-US" w:eastAsia="zh-CN"/>
        </w:rPr>
      </w:pPr>
      <w:r>
        <w:rPr>
          <w:rFonts w:hint="eastAsia" w:ascii="宋体" w:hAnsi="宋体" w:eastAsia="宋体" w:cs="宋体"/>
          <w:color w:val="auto"/>
          <w:sz w:val="44"/>
          <w:szCs w:val="44"/>
          <w:lang w:val="en-US" w:eastAsia="zh-CN"/>
        </w:rPr>
        <w:t>广东省人民代表大会常务委员会关于落实</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default" w:ascii="宋体" w:hAnsi="宋体" w:eastAsia="方正小标宋简体" w:cs="Times New Roman"/>
          <w:color w:val="auto"/>
          <w:sz w:val="44"/>
          <w:szCs w:val="44"/>
          <w:lang w:val="en-US" w:eastAsia="zh-CN"/>
        </w:rPr>
      </w:pPr>
      <w:r>
        <w:rPr>
          <w:rFonts w:hint="eastAsia" w:ascii="宋体" w:hAnsi="宋体" w:eastAsia="宋体" w:cs="宋体"/>
          <w:color w:val="auto"/>
          <w:sz w:val="44"/>
          <w:szCs w:val="44"/>
          <w:lang w:val="en-US" w:eastAsia="zh-CN"/>
        </w:rPr>
        <w:t>电信用户真实身份信息登记制度的决定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default" w:ascii="宋体" w:hAnsi="宋体" w:eastAsia="方正小标宋简体" w:cs="Times New Roman"/>
          <w:color w:val="auto"/>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楷体_GB2312" w:cs="楷体_GB2312"/>
          <w:color w:val="auto"/>
          <w:kern w:val="0"/>
          <w:sz w:val="32"/>
          <w:szCs w:val="32"/>
          <w:lang w:val="en-US" w:eastAsia="zh-CN"/>
        </w:rPr>
      </w:pPr>
      <w:r>
        <w:rPr>
          <w:rFonts w:hint="eastAsia" w:ascii="楷体_GB2312" w:hAnsi="楷体_GB2312" w:eastAsia="楷体_GB2312" w:cs="楷体_GB2312"/>
          <w:lang w:val="en-US" w:eastAsia="zh-CN"/>
        </w:rPr>
        <w:t>（</w:t>
      </w:r>
      <w:r>
        <w:rPr>
          <w:rFonts w:hint="eastAsia" w:ascii="楷体_GB2312" w:hAnsi="楷体_GB2312" w:eastAsia="楷体_GB2312" w:cs="楷体_GB2312"/>
          <w:color w:val="auto"/>
          <w:lang w:val="en-US" w:eastAsia="zh-CN"/>
        </w:rPr>
        <w:t>2015</w:t>
      </w:r>
      <w:r>
        <w:rPr>
          <w:rFonts w:hint="eastAsia" w:ascii="楷体_GB2312" w:hAnsi="楷体_GB2312" w:eastAsia="楷体_GB2312" w:cs="楷体_GB2312"/>
          <w:lang w:val="en-US" w:eastAsia="zh-CN"/>
        </w:rPr>
        <w:t>年12</w:t>
      </w:r>
      <w:bookmarkStart w:id="0" w:name="_GoBack"/>
      <w:bookmarkEnd w:id="0"/>
      <w:r>
        <w:rPr>
          <w:rFonts w:hint="eastAsia" w:ascii="楷体_GB2312" w:hAnsi="楷体_GB2312" w:eastAsia="楷体_GB2312" w:cs="楷体_GB2312"/>
          <w:lang w:val="en-US" w:eastAsia="zh-CN"/>
        </w:rPr>
        <w:t>月30日广东省第十二届人民代表大</w:t>
      </w:r>
      <w:r>
        <w:rPr>
          <w:rFonts w:hint="eastAsia" w:ascii="宋体" w:hAnsi="宋体" w:eastAsia="楷体_GB2312" w:cs="楷体_GB2312"/>
          <w:color w:val="auto"/>
          <w:kern w:val="0"/>
          <w:sz w:val="32"/>
          <w:szCs w:val="32"/>
          <w:lang w:val="en-US" w:eastAsia="zh-CN"/>
        </w:rPr>
        <w:t xml:space="preserve">会常务委员会第二十二次会议通过  </w:t>
      </w:r>
      <w:r>
        <w:rPr>
          <w:rFonts w:hint="default" w:ascii="宋体" w:hAnsi="宋体" w:eastAsia="楷体_GB2312" w:cs="楷体_GB2312"/>
          <w:color w:val="auto"/>
          <w:kern w:val="0"/>
          <w:sz w:val="32"/>
          <w:szCs w:val="32"/>
        </w:rPr>
        <w:t>根据2021年</w:t>
      </w:r>
      <w:r>
        <w:rPr>
          <w:rFonts w:hint="eastAsia" w:ascii="宋体" w:hAnsi="宋体" w:eastAsia="楷体_GB2312" w:cs="楷体_GB2312"/>
          <w:color w:val="auto"/>
          <w:kern w:val="0"/>
          <w:sz w:val="32"/>
          <w:szCs w:val="32"/>
          <w:lang w:val="en-US" w:eastAsia="zh-CN"/>
        </w:rPr>
        <w:t>12</w:t>
      </w:r>
      <w:r>
        <w:rPr>
          <w:rFonts w:hint="default" w:ascii="宋体" w:hAnsi="宋体" w:eastAsia="楷体_GB2312" w:cs="楷体_GB2312"/>
          <w:color w:val="auto"/>
          <w:kern w:val="0"/>
          <w:sz w:val="32"/>
          <w:szCs w:val="32"/>
        </w:rPr>
        <w:t>月</w:t>
      </w:r>
      <w:r>
        <w:rPr>
          <w:rFonts w:hint="eastAsia" w:ascii="宋体" w:hAnsi="宋体" w:eastAsia="楷体_GB2312" w:cs="楷体_GB2312"/>
          <w:color w:val="auto"/>
          <w:kern w:val="0"/>
          <w:sz w:val="32"/>
          <w:szCs w:val="32"/>
          <w:lang w:val="en-US" w:eastAsia="zh-CN"/>
        </w:rPr>
        <w:t>1</w:t>
      </w:r>
      <w:r>
        <w:rPr>
          <w:rFonts w:hint="default" w:ascii="宋体" w:hAnsi="宋体" w:eastAsia="楷体_GB2312" w:cs="楷体_GB2312"/>
          <w:color w:val="auto"/>
          <w:kern w:val="0"/>
          <w:sz w:val="32"/>
          <w:szCs w:val="32"/>
        </w:rPr>
        <w:t>日广东省第十三届人民代表大会常务委员会第三十</w:t>
      </w:r>
      <w:r>
        <w:rPr>
          <w:rFonts w:hint="eastAsia" w:ascii="宋体" w:hAnsi="宋体" w:eastAsia="楷体_GB2312" w:cs="楷体_GB2312"/>
          <w:color w:val="auto"/>
          <w:kern w:val="0"/>
          <w:sz w:val="32"/>
          <w:szCs w:val="32"/>
          <w:lang w:eastAsia="zh-CN"/>
        </w:rPr>
        <w:t>七</w:t>
      </w:r>
      <w:r>
        <w:rPr>
          <w:rFonts w:hint="default" w:ascii="宋体" w:hAnsi="宋体" w:eastAsia="楷体_GB2312" w:cs="楷体_GB2312"/>
          <w:color w:val="auto"/>
          <w:kern w:val="0"/>
          <w:sz w:val="32"/>
          <w:szCs w:val="32"/>
        </w:rPr>
        <w:t>次会议《关于修改〈广东省</w:t>
      </w:r>
      <w:r>
        <w:rPr>
          <w:rFonts w:hint="eastAsia" w:ascii="宋体" w:hAnsi="宋体" w:eastAsia="楷体_GB2312" w:cs="楷体_GB2312"/>
          <w:color w:val="auto"/>
          <w:kern w:val="0"/>
          <w:sz w:val="32"/>
          <w:szCs w:val="32"/>
        </w:rPr>
        <w:t>拆迁城镇华侨房屋规定〉等两项</w:t>
      </w:r>
      <w:r>
        <w:rPr>
          <w:rFonts w:hint="default" w:ascii="宋体" w:hAnsi="宋体" w:eastAsia="楷体_GB2312" w:cs="楷体_GB2312"/>
          <w:color w:val="auto"/>
          <w:kern w:val="0"/>
          <w:sz w:val="32"/>
          <w:szCs w:val="32"/>
        </w:rPr>
        <w:t>地方性法规的决定》修正</w:t>
      </w:r>
      <w:r>
        <w:rPr>
          <w:rFonts w:hint="eastAsia" w:ascii="宋体" w:hAnsi="宋体" w:eastAsia="楷体_GB2312" w:cs="楷体_GB2312"/>
          <w:color w:val="auto"/>
          <w:kern w:val="0"/>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为保障电信网络和信息安全，维护电信用户和电信业务经营者的合法权益，根据《全国人民代表大会常务委员会关于加强网络信息保护的决定》、《中华人民共和国电信条例》，就落实电信用户真实身份信息登记制度作如下决定：</w:t>
      </w:r>
    </w:p>
    <w:p>
      <w:pPr>
        <w:keepNext w:val="0"/>
        <w:keepLines w:val="0"/>
        <w:pageBreakBefore w:val="0"/>
        <w:widowControl w:val="0"/>
        <w:numPr>
          <w:ilvl w:val="0"/>
          <w:numId w:val="0"/>
        </w:numPr>
        <w:kinsoku/>
        <w:wordWrap/>
        <w:overflowPunct w:val="0"/>
        <w:topLinePunct w:val="0"/>
        <w:autoSpaceDE/>
        <w:autoSpaceDN/>
        <w:bidi w:val="0"/>
        <w:adjustRightInd w:val="0"/>
        <w:snapToGrid/>
        <w:spacing w:line="590" w:lineRule="exact"/>
        <w:ind w:right="0" w:rightChars="0" w:firstLine="632" w:firstLineChars="200"/>
        <w:jc w:val="both"/>
        <w:textAlignment w:val="auto"/>
        <w:outlineLvl w:val="9"/>
        <w:rPr>
          <w:rFonts w:hint="eastAsia" w:ascii="宋体" w:hAnsi="宋体"/>
          <w:lang w:val="en-US" w:eastAsia="zh-CN"/>
        </w:rPr>
      </w:pPr>
      <w:r>
        <w:rPr>
          <w:rFonts w:hint="eastAsia" w:ascii="宋体" w:hAnsi="宋体"/>
          <w:lang w:val="en-US" w:eastAsia="zh-CN"/>
        </w:rPr>
        <w:t>一、电信业务经营者为电信用户办理固定电话、</w:t>
      </w:r>
      <w:r>
        <w:rPr>
          <w:rFonts w:hint="eastAsia" w:ascii="宋体" w:hAnsi="宋体" w:eastAsia="仿宋_GB2312" w:cs="黑体"/>
          <w:b w:val="0"/>
          <w:bCs w:val="0"/>
          <w:sz w:val="32"/>
          <w:szCs w:val="32"/>
        </w:rPr>
        <w:t>移动电话（</w:t>
      </w:r>
      <w:r>
        <w:rPr>
          <w:rFonts w:hint="eastAsia" w:ascii="宋体" w:hAnsi="宋体" w:eastAsia="仿宋_GB2312" w:cs="黑体"/>
          <w:b w:val="0"/>
          <w:bCs w:val="0"/>
          <w:sz w:val="32"/>
          <w:szCs w:val="32"/>
          <w:lang w:eastAsia="zh-CN"/>
        </w:rPr>
        <w:t>含</w:t>
      </w:r>
      <w:r>
        <w:rPr>
          <w:rFonts w:hint="eastAsia" w:ascii="宋体" w:hAnsi="宋体" w:eastAsia="仿宋_GB2312" w:cs="黑体"/>
          <w:b w:val="0"/>
          <w:bCs w:val="0"/>
          <w:sz w:val="32"/>
          <w:szCs w:val="32"/>
        </w:rPr>
        <w:t>无线上网卡）、物联网卡、互联网宽带等业务入网或者过户手续，以及提供服务器托管、主机租用、网络接入等</w:t>
      </w:r>
      <w:r>
        <w:rPr>
          <w:rFonts w:hint="eastAsia" w:ascii="宋体" w:hAnsi="宋体"/>
          <w:i w:val="0"/>
          <w:iCs w:val="0"/>
          <w:u w:val="none"/>
          <w:lang w:val="en-US" w:eastAsia="zh-CN"/>
        </w:rPr>
        <w:t>业务，应当要求电信用户出示有效证件，查验并登记或者补登记电信用户的证件类别以及证件上所记载的姓名（名称）、号码、住址等真实身份信息</w:t>
      </w:r>
      <w:r>
        <w:rPr>
          <w:rFonts w:hint="eastAsia" w:ascii="宋体" w:hAnsi="宋体"/>
          <w:lang w:val="en-US" w:eastAsia="zh-CN"/>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lang w:val="en-US" w:eastAsia="zh-CN"/>
        </w:rPr>
      </w:pPr>
      <w:r>
        <w:rPr>
          <w:rFonts w:hint="eastAsia" w:ascii="宋体" w:hAnsi="宋体"/>
          <w:lang w:val="en-US" w:eastAsia="zh-CN"/>
        </w:rPr>
        <w:t>电信用户应当配合办理真实身份信息登记。</w:t>
      </w:r>
      <w:r>
        <w:rPr>
          <w:rFonts w:hint="eastAsia" w:ascii="宋体" w:hAnsi="宋体" w:eastAsia="仿宋_GB2312" w:cs="黑体"/>
          <w:lang w:val="en-US" w:eastAsia="zh-CN"/>
        </w:rPr>
        <w:t>电信用户不提供真实身份信息的，电信业务经营者不得为其提供相关服务</w:t>
      </w:r>
      <w:r>
        <w:rPr>
          <w:rFonts w:hint="eastAsia" w:ascii="宋体" w:hAnsi="宋体"/>
          <w:lang w:val="en-US" w:eastAsia="zh-CN"/>
        </w:rPr>
        <w:t>。</w:t>
      </w:r>
    </w:p>
    <w:p>
      <w:pPr>
        <w:pageBreakBefore w:val="0"/>
        <w:widowControl w:val="0"/>
        <w:kinsoku/>
        <w:overflowPunct w:val="0"/>
        <w:topLinePunct w:val="0"/>
        <w:autoSpaceDE/>
        <w:autoSpaceDN/>
        <w:bidi w:val="0"/>
        <w:adjustRightInd w:val="0"/>
        <w:spacing w:line="590" w:lineRule="exact"/>
        <w:ind w:firstLine="620" w:firstLineChars="200"/>
        <w:rPr>
          <w:rFonts w:hint="eastAsia" w:ascii="宋体" w:hAnsi="宋体"/>
          <w:spacing w:val="-3"/>
          <w:lang w:val="en-US" w:eastAsia="zh-CN"/>
        </w:rPr>
      </w:pPr>
      <w:r>
        <w:rPr>
          <w:rFonts w:hint="eastAsia" w:ascii="宋体" w:hAnsi="宋体"/>
          <w:spacing w:val="-3"/>
          <w:lang w:val="en-US" w:eastAsia="zh-CN"/>
        </w:rPr>
        <w:t>办理第一款规定的电信用户真实身份信息登记不得收取费用。</w:t>
      </w:r>
    </w:p>
    <w:p>
      <w:pPr>
        <w:pStyle w:val="2"/>
        <w:pageBreakBefore w:val="0"/>
        <w:widowControl w:val="0"/>
        <w:numPr>
          <w:ilvl w:val="0"/>
          <w:numId w:val="0"/>
        </w:numPr>
        <w:kinsoku/>
        <w:overflowPunct w:val="0"/>
        <w:topLinePunct w:val="0"/>
        <w:autoSpaceDE/>
        <w:autoSpaceDN/>
        <w:bidi w:val="0"/>
        <w:adjustRightInd w:val="0"/>
        <w:spacing w:line="590" w:lineRule="exact"/>
        <w:ind w:firstLine="632" w:firstLineChars="200"/>
        <w:rPr>
          <w:rFonts w:hint="eastAsia" w:ascii="方正仿宋_GBK" w:hAnsi="方正仿宋_GBK" w:eastAsia="仿宋_GB2312" w:cs="方正仿宋_GBK"/>
          <w:lang w:val="en-US" w:eastAsia="zh-CN"/>
        </w:rPr>
      </w:pPr>
      <w:r>
        <w:rPr>
          <w:rFonts w:hint="eastAsia" w:ascii="方正仿宋_GBK" w:hAnsi="方正仿宋_GBK" w:eastAsia="仿宋_GB2312" w:cs="方正仿宋_GBK"/>
          <w:lang w:val="en-US" w:eastAsia="zh-CN"/>
        </w:rPr>
        <w:t>二、电信业务经营者登记个人电信用户真实身份信息时，应当要求其出示下列有效身份证件。下列证件均为有效证件：</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（一）居民身份证、临时居民身份证或者户口簿；</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（二）港澳居民来往内地通行证、台湾居民来往大陆通行证</w:t>
      </w:r>
      <w:r>
        <w:rPr>
          <w:rFonts w:hint="eastAsia" w:ascii="宋体" w:hAnsi="宋体" w:eastAsia="仿宋_GB2312" w:cs="黑体"/>
          <w:lang w:val="en-US" w:eastAsia="zh-CN"/>
        </w:rPr>
        <w:t>或者港澳台居民居住证</w:t>
      </w:r>
      <w:r>
        <w:rPr>
          <w:rFonts w:hint="eastAsia" w:ascii="宋体" w:hAnsi="宋体"/>
          <w:lang w:val="en-US" w:eastAsia="zh-CN"/>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（三）中华人民共和国护照；</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（四）外国公民护照</w:t>
      </w:r>
      <w:r>
        <w:rPr>
          <w:rFonts w:hint="eastAsia" w:ascii="宋体" w:hAnsi="宋体" w:eastAsia="仿宋_GB2312" w:cs="黑体"/>
          <w:lang w:val="en-US" w:eastAsia="zh-CN"/>
        </w:rPr>
        <w:t>或者其他国际旅行证件、外国人永久居留身份证</w:t>
      </w:r>
      <w:r>
        <w:rPr>
          <w:rFonts w:hint="eastAsia" w:ascii="宋体" w:hAnsi="宋体"/>
          <w:lang w:val="en-US" w:eastAsia="zh-CN"/>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（五）法律、行政法规规定的其他身份证件。</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lang w:val="en-US" w:eastAsia="zh-CN"/>
        </w:rPr>
      </w:pPr>
      <w:r>
        <w:rPr>
          <w:rFonts w:hint="eastAsia" w:ascii="宋体" w:hAnsi="宋体"/>
          <w:lang w:val="en-US" w:eastAsia="zh-CN"/>
        </w:rPr>
        <w:t>委托他人办理个人电信业务手续的，电信业务经营者应当要求受委托人出示本人和委托人的有效证件，查验并登记委托人和受委托人的真实身份信息</w:t>
      </w:r>
      <w:r>
        <w:rPr>
          <w:rFonts w:hint="eastAsia" w:ascii="宋体" w:hAnsi="宋体"/>
          <w:i w:val="0"/>
          <w:iCs w:val="0"/>
          <w:u w:val="none"/>
          <w:lang w:val="en-US" w:eastAsia="zh-CN"/>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三、电信业务经营者登记法人或者</w:t>
      </w:r>
      <w:r>
        <w:rPr>
          <w:rFonts w:hint="eastAsia" w:ascii="宋体" w:hAnsi="宋体" w:eastAsia="仿宋_GB2312" w:cs="黑体"/>
          <w:lang w:val="en-US" w:eastAsia="zh-CN"/>
        </w:rPr>
        <w:t>非法人</w:t>
      </w:r>
      <w:r>
        <w:rPr>
          <w:rFonts w:hint="eastAsia" w:ascii="宋体" w:hAnsi="宋体"/>
          <w:lang w:val="en-US" w:eastAsia="zh-CN"/>
        </w:rPr>
        <w:t>组织电信用户真实身份信息时，应当要求受委托人提供本人有效身份证件和授权委托书并出示委托单位有效证件，查验并登记委托单位和受委托人的真实身份信息。</w:t>
      </w:r>
      <w:r>
        <w:rPr>
          <w:rFonts w:hint="eastAsia" w:ascii="宋体" w:hAnsi="宋体"/>
          <w:i w:val="0"/>
          <w:iCs w:val="0"/>
          <w:u w:val="none"/>
          <w:lang w:val="en-US" w:eastAsia="zh-CN"/>
        </w:rPr>
        <w:t>下列证件均为有效证件：</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w:t>
      </w:r>
      <w:r>
        <w:rPr>
          <w:rFonts w:hint="eastAsia" w:ascii="宋体" w:hAnsi="宋体"/>
          <w:i w:val="0"/>
          <w:iCs w:val="0"/>
          <w:u w:val="none"/>
          <w:lang w:val="en-US" w:eastAsia="zh-CN"/>
        </w:rPr>
        <w:t>（</w:t>
      </w:r>
      <w:r>
        <w:rPr>
          <w:rFonts w:hint="eastAsia" w:ascii="宋体" w:hAnsi="宋体" w:eastAsia="仿宋_GB2312" w:cs="黑体"/>
          <w:i w:val="0"/>
          <w:iCs w:val="0"/>
          <w:u w:val="none"/>
          <w:lang w:val="en-US" w:eastAsia="zh-CN"/>
        </w:rPr>
        <w:t>一</w:t>
      </w:r>
      <w:r>
        <w:rPr>
          <w:rFonts w:hint="eastAsia" w:ascii="宋体" w:hAnsi="宋体"/>
          <w:i w:val="0"/>
          <w:iCs w:val="0"/>
          <w:u w:val="none"/>
          <w:lang w:val="en-US" w:eastAsia="zh-CN"/>
        </w:rPr>
        <w:t>）营业执照；</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w:t>
      </w:r>
      <w:r>
        <w:rPr>
          <w:rFonts w:hint="eastAsia" w:ascii="宋体" w:hAnsi="宋体"/>
          <w:i w:val="0"/>
          <w:iCs w:val="0"/>
          <w:u w:val="none"/>
          <w:lang w:val="en-US" w:eastAsia="zh-CN"/>
        </w:rPr>
        <w:t>（</w:t>
      </w:r>
      <w:r>
        <w:rPr>
          <w:rFonts w:hint="eastAsia" w:ascii="宋体" w:hAnsi="宋体" w:eastAsia="仿宋_GB2312" w:cs="黑体"/>
          <w:i w:val="0"/>
          <w:iCs w:val="0"/>
          <w:u w:val="none"/>
          <w:lang w:val="en-US" w:eastAsia="zh-CN"/>
        </w:rPr>
        <w:t>二</w:t>
      </w:r>
      <w:r>
        <w:rPr>
          <w:rFonts w:hint="eastAsia" w:ascii="宋体" w:hAnsi="宋体"/>
          <w:i w:val="0"/>
          <w:iCs w:val="0"/>
          <w:u w:val="none"/>
          <w:lang w:val="en-US" w:eastAsia="zh-CN"/>
        </w:rPr>
        <w:t>）事业单位法人证书或者社会团体法人登记证书；</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lang w:val="en-US" w:eastAsia="zh-CN"/>
        </w:rPr>
      </w:pPr>
      <w:r>
        <w:rPr>
          <w:rFonts w:hint="eastAsia" w:ascii="宋体" w:hAnsi="宋体"/>
          <w:i w:val="0"/>
          <w:iCs w:val="0"/>
          <w:u w:val="none"/>
          <w:lang w:val="en-US" w:eastAsia="zh-CN"/>
        </w:rPr>
        <w:t>（</w:t>
      </w:r>
      <w:r>
        <w:rPr>
          <w:rFonts w:hint="eastAsia" w:ascii="宋体" w:hAnsi="宋体" w:eastAsia="仿宋_GB2312" w:cs="黑体"/>
          <w:i w:val="0"/>
          <w:iCs w:val="0"/>
          <w:u w:val="none"/>
          <w:lang w:val="en-US" w:eastAsia="zh-CN"/>
        </w:rPr>
        <w:t>三</w:t>
      </w:r>
      <w:r>
        <w:rPr>
          <w:rFonts w:hint="eastAsia" w:ascii="宋体" w:hAnsi="宋体"/>
          <w:i w:val="0"/>
          <w:iCs w:val="0"/>
          <w:u w:val="none"/>
          <w:lang w:val="en-US" w:eastAsia="zh-CN"/>
        </w:rPr>
        <w:t>）</w:t>
      </w:r>
      <w:r>
        <w:rPr>
          <w:rFonts w:hint="eastAsia" w:ascii="宋体" w:hAnsi="宋体"/>
          <w:lang w:val="en-US" w:eastAsia="zh-CN"/>
        </w:rPr>
        <w:t>法律、行政法规规定的</w:t>
      </w:r>
      <w:r>
        <w:rPr>
          <w:rFonts w:hint="eastAsia" w:ascii="宋体" w:hAnsi="宋体"/>
          <w:i w:val="0"/>
          <w:iCs w:val="0"/>
          <w:u w:val="none"/>
          <w:lang w:val="en-US" w:eastAsia="zh-CN"/>
        </w:rPr>
        <w:t>其他</w:t>
      </w:r>
      <w:r>
        <w:rPr>
          <w:rFonts w:hint="eastAsia" w:ascii="宋体" w:hAnsi="宋体"/>
          <w:lang w:val="en-US" w:eastAsia="zh-CN"/>
        </w:rPr>
        <w:t>证件或者证明文件。</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四、有下列情形之一，电信业务经营者不得为电信用户办理本决定第一条规定的电信业务：</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（一）拒绝提供有效证件；</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（二）冒用他人证件；</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（三）使用伪造、变造证件或者信息。</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电信业务经营者发现在网电信用户冒用他人证件，使用伪造、变造证件或者信息进行登记的，</w:t>
      </w:r>
      <w:r>
        <w:rPr>
          <w:rFonts w:hint="eastAsia" w:ascii="宋体" w:hAnsi="宋体" w:eastAsia="仿宋_GB2312" w:cs="黑体"/>
          <w:i w:val="0"/>
          <w:iCs w:val="0"/>
          <w:u w:val="none"/>
          <w:lang w:val="en-US" w:eastAsia="zh-CN"/>
        </w:rPr>
        <w:t>应当</w:t>
      </w:r>
      <w:r>
        <w:rPr>
          <w:rFonts w:hint="eastAsia" w:ascii="宋体" w:hAnsi="宋体"/>
          <w:lang w:val="en-US" w:eastAsia="zh-CN"/>
        </w:rPr>
        <w:t>停止电信服务，并报公安</w:t>
      </w:r>
      <w:r>
        <w:rPr>
          <w:rFonts w:hint="eastAsia" w:ascii="宋体" w:hAnsi="宋体" w:eastAsia="仿宋_GB2312" w:cs="黑体"/>
          <w:i w:val="0"/>
          <w:iCs w:val="0"/>
          <w:u w:val="none"/>
          <w:lang w:val="en-US" w:eastAsia="zh-CN"/>
        </w:rPr>
        <w:t>机关</w:t>
      </w:r>
      <w:r>
        <w:rPr>
          <w:rFonts w:hint="eastAsia" w:ascii="宋体" w:hAnsi="宋体"/>
          <w:lang w:val="en-US" w:eastAsia="zh-CN"/>
        </w:rPr>
        <w:t>处理。</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电信业务经营者因电信用户违反本决定，不予为其办理电信业务的，应当予以说明；电信用户要求书面说明的，电信业务经营者应当向用户出具书面说明。</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3" w:firstLineChars="0"/>
        <w:jc w:val="both"/>
        <w:textAlignment w:val="auto"/>
        <w:outlineLvl w:val="9"/>
        <w:rPr>
          <w:rFonts w:hint="eastAsia" w:ascii="宋体" w:hAnsi="宋体"/>
          <w:lang w:val="en-US" w:eastAsia="zh-CN"/>
        </w:rPr>
      </w:pPr>
      <w:r>
        <w:rPr>
          <w:rFonts w:hint="eastAsia" w:ascii="宋体" w:hAnsi="宋体"/>
          <w:lang w:val="en-US" w:eastAsia="zh-CN"/>
        </w:rPr>
        <w:t>电信业务经营者因电信用户违反本决定，停止为其提供电信服务的，应当提前以电话、短信、书面函件或者邮件等方式通知电信用户。</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lang w:val="en-US" w:eastAsia="zh-CN"/>
        </w:rPr>
      </w:pPr>
      <w:r>
        <w:rPr>
          <w:rFonts w:hint="eastAsia" w:ascii="宋体" w:hAnsi="宋体"/>
          <w:lang w:val="en-US" w:eastAsia="zh-CN"/>
        </w:rPr>
        <w:t>五、电信业务经营者及其工作人员应当对电信用户登记的用户真实身份信息保密，不得泄露、篡改，不得出售或者非法向他人提供，</w:t>
      </w:r>
      <w:r>
        <w:rPr>
          <w:rFonts w:hint="eastAsia" w:ascii="宋体" w:hAnsi="宋体"/>
          <w:i w:val="0"/>
          <w:iCs w:val="0"/>
          <w:u w:val="none"/>
          <w:lang w:val="en-US" w:eastAsia="zh-CN"/>
        </w:rPr>
        <w:t>不得用于提供电信服务以外的目的。</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316" w:firstLineChars="100"/>
        <w:jc w:val="both"/>
        <w:textAlignment w:val="auto"/>
        <w:outlineLvl w:val="9"/>
        <w:rPr>
          <w:rFonts w:hint="eastAsia" w:ascii="宋体" w:hAnsi="宋体"/>
          <w:lang w:val="en-US" w:eastAsia="zh-CN"/>
        </w:rPr>
      </w:pPr>
      <w:r>
        <w:rPr>
          <w:rFonts w:hint="eastAsia" w:ascii="宋体" w:hAnsi="宋体"/>
          <w:lang w:val="en-US" w:eastAsia="zh-CN"/>
        </w:rPr>
        <w:t>　电信业务经营者委托他人代理市场销售和技术服务等直接面向电信用户的服务性工作，涉及收集、使用电信用户身份信息的，</w:t>
      </w:r>
      <w:r>
        <w:rPr>
          <w:rFonts w:hint="eastAsia" w:ascii="宋体" w:hAnsi="宋体"/>
          <w:spacing w:val="-6"/>
          <w:lang w:val="en-US" w:eastAsia="zh-CN"/>
        </w:rPr>
        <w:t>应当对代理人的电信用户身份信息保护工作进行监督和管理，不</w:t>
      </w:r>
      <w:r>
        <w:rPr>
          <w:rFonts w:hint="eastAsia" w:ascii="宋体" w:hAnsi="宋体"/>
          <w:lang w:val="en-US" w:eastAsia="zh-CN"/>
        </w:rPr>
        <w:t>得委托不符合有关用户身份信息保护要求的代理人代办相关服务。</w:t>
      </w:r>
    </w:p>
    <w:p>
      <w:pPr>
        <w:keepNext w:val="0"/>
        <w:keepLines w:val="0"/>
        <w:pageBreakBefore w:val="0"/>
        <w:widowControl w:val="0"/>
        <w:numPr>
          <w:ilvl w:val="0"/>
          <w:numId w:val="1"/>
        </w:numPr>
        <w:kinsoku/>
        <w:wordWrap/>
        <w:overflowPunct w:val="0"/>
        <w:topLinePunct w:val="0"/>
        <w:autoSpaceDE/>
        <w:autoSpaceDN/>
        <w:bidi w:val="0"/>
        <w:adjustRightInd w:val="0"/>
        <w:snapToGrid/>
        <w:spacing w:line="590" w:lineRule="exact"/>
        <w:ind w:left="0" w:leftChars="0" w:right="0" w:rightChars="0" w:firstLine="633" w:firstLineChars="0"/>
        <w:jc w:val="both"/>
        <w:textAlignment w:val="auto"/>
        <w:outlineLvl w:val="9"/>
        <w:rPr>
          <w:rFonts w:hint="eastAsia" w:ascii="宋体" w:hAnsi="宋体"/>
          <w:lang w:val="en-US" w:eastAsia="zh-CN"/>
        </w:rPr>
      </w:pPr>
      <w:r>
        <w:rPr>
          <w:rFonts w:hint="eastAsia" w:ascii="宋体" w:hAnsi="宋体"/>
          <w:lang w:val="en-US" w:eastAsia="zh-CN"/>
        </w:rPr>
        <w:t>电信业务经营者</w:t>
      </w:r>
      <w:r>
        <w:rPr>
          <w:rFonts w:hint="eastAsia" w:ascii="宋体" w:hAnsi="宋体" w:eastAsia="仿宋_GB2312" w:cs="黑体"/>
          <w:lang w:val="en-US" w:eastAsia="zh-CN"/>
        </w:rPr>
        <w:t>对已经在网但登记信息不完整、不准确的电信用户，</w:t>
      </w:r>
      <w:r>
        <w:rPr>
          <w:rFonts w:hint="eastAsia" w:ascii="宋体" w:hAnsi="宋体"/>
          <w:lang w:val="en-US" w:eastAsia="zh-CN"/>
        </w:rPr>
        <w:t>应当通过电话、短信、书面函件、邮件或者公告等方式通知</w:t>
      </w:r>
      <w:r>
        <w:rPr>
          <w:rFonts w:hint="eastAsia" w:ascii="宋体" w:hAnsi="宋体" w:eastAsia="仿宋_GB2312" w:cs="黑体"/>
          <w:lang w:val="en-US" w:eastAsia="zh-CN"/>
        </w:rPr>
        <w:t>其</w:t>
      </w:r>
      <w:r>
        <w:rPr>
          <w:rFonts w:hint="eastAsia" w:ascii="宋体" w:hAnsi="宋体" w:eastAsia="仿宋_GB2312" w:cs="黑体"/>
          <w:i w:val="0"/>
          <w:iCs w:val="0"/>
          <w:u w:val="none"/>
          <w:lang w:val="en-US" w:eastAsia="zh-CN"/>
        </w:rPr>
        <w:t>在三十日内</w:t>
      </w:r>
      <w:r>
        <w:rPr>
          <w:rFonts w:hint="eastAsia" w:ascii="宋体" w:hAnsi="宋体"/>
          <w:lang w:val="en-US" w:eastAsia="zh-CN"/>
        </w:rPr>
        <w:t>补办登记手续，并提供简便快捷的服务。</w:t>
      </w:r>
      <w:r>
        <w:rPr>
          <w:rFonts w:hint="eastAsia" w:ascii="宋体" w:hAnsi="宋体" w:eastAsia="仿宋_GB2312" w:cs="黑体"/>
          <w:i w:val="0"/>
          <w:iCs w:val="0"/>
          <w:u w:val="none"/>
          <w:lang w:val="en-US" w:eastAsia="zh-CN"/>
        </w:rPr>
        <w:t>逾期</w:t>
      </w:r>
      <w:r>
        <w:rPr>
          <w:rFonts w:hint="eastAsia" w:ascii="宋体" w:hAnsi="宋体"/>
          <w:lang w:val="en-US" w:eastAsia="zh-CN"/>
        </w:rPr>
        <w:t>未补办登记真实身份信息的电信用户，电信业务经营者应当暂停提供电信服务；自暂停提供电信服务之日起满九十日仍未补办的，终止提供电信服务。</w:t>
      </w:r>
    </w:p>
    <w:p>
      <w:pPr>
        <w:pStyle w:val="2"/>
        <w:pageBreakBefore w:val="0"/>
        <w:widowControl w:val="0"/>
        <w:kinsoku/>
        <w:overflowPunct w:val="0"/>
        <w:topLinePunct w:val="0"/>
        <w:autoSpaceDE/>
        <w:autoSpaceDN/>
        <w:bidi w:val="0"/>
        <w:adjustRightInd w:val="0"/>
        <w:spacing w:line="590" w:lineRule="exact"/>
        <w:ind w:firstLine="620" w:firstLineChars="200"/>
        <w:rPr>
          <w:rFonts w:hint="eastAsia" w:ascii="宋体" w:hAnsi="宋体" w:eastAsia="仿宋_GB2312" w:cs="黑体"/>
          <w:spacing w:val="-3"/>
          <w:lang w:val="en-US" w:eastAsia="zh-CN"/>
        </w:rPr>
      </w:pPr>
      <w:r>
        <w:rPr>
          <w:rFonts w:hint="eastAsia" w:ascii="宋体" w:hAnsi="宋体" w:eastAsia="仿宋_GB2312" w:cs="黑体"/>
          <w:spacing w:val="-3"/>
          <w:lang w:val="en-US" w:eastAsia="zh-CN"/>
        </w:rPr>
        <w:t>电信业务经营者应当对监测识别的涉诈高风险电话卡，进行身份信息二次核验，电话用户应当配合电信业务经营者开展身份信息核验。电信业务经营者应当通过线上核验、营业网点等多种渠道和便捷的方式为用户提供身份核验服务。真实身份核验未通过，或者在规定期限内不配合核验的，电信业务经营者可以暂停提供电信服务，有异议的，可以进行投诉反映，经核验通过的恢复功能。</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七、电信业务经营者按照本决定第六条规定暂停提供电信服务期间，不得向电信用户收取服务费用；终止提供电信服务的，应当简便快捷退还电信用户预存的剩余费用；电信合同另有约定的，从其约定。</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八、电信管理机构应当加强对电信用户真实身份信息登记工作的指导和监督检查。电信业务经营者应当自觉接受监督检查。</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九、电信用户认为电信业务经营者查验、登记电信用户真实身份信息时侵犯其合法权益，或者认为电信业务经营者作出不予办理电信业务或者停止提供电信服务的决定不当的，可以向电信管理机构举报、投诉，也可以依法提起诉讼。</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lang w:val="en-US" w:eastAsia="zh-CN"/>
        </w:rPr>
      </w:pPr>
      <w:r>
        <w:rPr>
          <w:rFonts w:hint="eastAsia" w:ascii="宋体" w:hAnsi="宋体"/>
          <w:lang w:val="en-US" w:eastAsia="zh-CN"/>
        </w:rPr>
        <w:t>　　电信管理机构对电信用户的举报、投诉，应当依法及时受理并处理。</w:t>
      </w:r>
    </w:p>
    <w:p>
      <w:pPr>
        <w:keepNext w:val="0"/>
        <w:keepLines w:val="0"/>
        <w:pageBreakBefore w:val="0"/>
        <w:widowControl w:val="0"/>
        <w:numPr>
          <w:ilvl w:val="0"/>
          <w:numId w:val="0"/>
        </w:numPr>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lang w:val="en-US" w:eastAsia="zh-CN"/>
        </w:rPr>
      </w:pPr>
      <w:r>
        <w:rPr>
          <w:rFonts w:hint="eastAsia" w:ascii="宋体" w:hAnsi="宋体"/>
          <w:lang w:val="en-US" w:eastAsia="zh-CN"/>
        </w:rPr>
        <w:t>十、电信用户冒用他人证件，使用伪造、变造证件或者信息进行登记，构成违反治安管理行为的，</w:t>
      </w:r>
      <w:r>
        <w:rPr>
          <w:rFonts w:hint="eastAsia" w:ascii="宋体" w:hAnsi="宋体" w:eastAsia="仿宋_GB2312" w:cs="黑体"/>
          <w:lang w:val="en-US" w:eastAsia="zh-CN"/>
        </w:rPr>
        <w:t>由公安机关</w:t>
      </w:r>
      <w:r>
        <w:rPr>
          <w:rFonts w:hint="eastAsia" w:ascii="宋体" w:hAnsi="宋体"/>
          <w:i w:val="0"/>
          <w:iCs w:val="0"/>
          <w:u w:val="none"/>
          <w:lang w:val="en-US" w:eastAsia="zh-CN"/>
        </w:rPr>
        <w:t>依法给予治安管理处罚</w:t>
      </w:r>
      <w:r>
        <w:rPr>
          <w:rFonts w:hint="eastAsia" w:ascii="宋体" w:hAnsi="宋体"/>
          <w:lang w:val="en-US" w:eastAsia="zh-CN"/>
        </w:rPr>
        <w:t>；构成犯罪的，依法追究刑事责任；侵害他人民事权益的，依法承担民事责任。</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i w:val="0"/>
          <w:iCs w:val="0"/>
          <w:u w:val="none"/>
          <w:lang w:val="en-US" w:eastAsia="zh-CN"/>
        </w:rPr>
      </w:pPr>
      <w:r>
        <w:rPr>
          <w:rFonts w:hint="eastAsia" w:ascii="宋体" w:hAnsi="宋体"/>
          <w:lang w:val="en-US" w:eastAsia="zh-CN"/>
        </w:rPr>
        <w:t xml:space="preserve">    十一、</w:t>
      </w:r>
      <w:r>
        <w:rPr>
          <w:rFonts w:hint="eastAsia" w:ascii="宋体" w:hAnsi="宋体"/>
          <w:i w:val="0"/>
          <w:iCs w:val="0"/>
          <w:u w:val="none"/>
          <w:lang w:val="en-US" w:eastAsia="zh-CN"/>
        </w:rPr>
        <w:t>违反本</w:t>
      </w:r>
      <w:r>
        <w:rPr>
          <w:rFonts w:hint="eastAsia" w:ascii="宋体" w:hAnsi="宋体" w:eastAsia="仿宋_GB2312" w:cs="黑体"/>
          <w:i w:val="0"/>
          <w:iCs w:val="0"/>
          <w:u w:val="none"/>
          <w:lang w:val="en-US" w:eastAsia="zh-CN"/>
        </w:rPr>
        <w:t>决</w:t>
      </w:r>
      <w:r>
        <w:rPr>
          <w:rFonts w:hint="eastAsia" w:ascii="宋体" w:hAnsi="宋体"/>
          <w:i w:val="0"/>
          <w:iCs w:val="0"/>
          <w:u w:val="none"/>
          <w:lang w:val="en-US" w:eastAsia="zh-CN"/>
        </w:rPr>
        <w:t>定第五条，电信业务经营者及其工作人员泄露、篡改、出售、非法向他人提供电信用户身份信息或者将电信用户身份信息用于提供电信服务以外目的的，</w:t>
      </w:r>
      <w:r>
        <w:rPr>
          <w:rFonts w:hint="eastAsia" w:ascii="宋体" w:hAnsi="宋体" w:eastAsia="仿宋_GB2312" w:cs="黑体"/>
          <w:i w:val="0"/>
          <w:iCs w:val="0"/>
          <w:u w:val="none"/>
          <w:lang w:val="en-US" w:eastAsia="zh-CN"/>
        </w:rPr>
        <w:t>依照《中华人民共和国网络安全法》的规定予以处罚</w:t>
      </w:r>
      <w:r>
        <w:rPr>
          <w:rFonts w:hint="eastAsia" w:ascii="宋体" w:hAnsi="宋体"/>
          <w:i w:val="0"/>
          <w:iCs w:val="0"/>
          <w:u w:val="none"/>
          <w:lang w:val="en-US" w:eastAsia="zh-CN"/>
        </w:rPr>
        <w:t xml:space="preserve">。 </w:t>
      </w:r>
    </w:p>
    <w:p>
      <w:pPr>
        <w:pageBreakBefore w:val="0"/>
        <w:widowControl w:val="0"/>
        <w:kinsoku/>
        <w:overflowPunct w:val="0"/>
        <w:topLinePunct w:val="0"/>
        <w:autoSpaceDE/>
        <w:autoSpaceDN/>
        <w:bidi w:val="0"/>
        <w:adjustRightInd w:val="0"/>
        <w:spacing w:line="590" w:lineRule="exact"/>
        <w:ind w:firstLine="0" w:firstLineChars="0"/>
        <w:rPr>
          <w:rFonts w:hint="default" w:ascii="宋体" w:hAnsi="宋体"/>
          <w:lang w:val="en-US" w:eastAsia="zh-CN"/>
        </w:rPr>
      </w:pPr>
      <w:r>
        <w:rPr>
          <w:rFonts w:hint="eastAsia" w:ascii="宋体" w:hAnsi="宋体"/>
          <w:lang w:val="en-US" w:eastAsia="zh-CN"/>
        </w:rPr>
        <w:t xml:space="preserve">　　十二、本决定自公布之日起施行。 </w:t>
      </w:r>
    </w:p>
    <w:p>
      <w:pPr>
        <w:keepNext w:val="0"/>
        <w:keepLines w:val="0"/>
        <w:pageBreakBefore w:val="0"/>
        <w:widowControl w:val="0"/>
        <w:kinsoku/>
        <w:topLinePunct w:val="0"/>
        <w:autoSpaceDE/>
        <w:autoSpaceDN/>
        <w:bidi w:val="0"/>
        <w:snapToGrid/>
        <w:spacing w:line="590" w:lineRule="exact"/>
        <w:ind w:left="0" w:leftChars="0" w:right="0" w:rightChars="0"/>
      </w:pPr>
    </w:p>
    <w:p>
      <w:pPr>
        <w:pageBreakBefore w:val="0"/>
        <w:widowControl w:val="0"/>
        <w:kinsoku/>
        <w:topLinePunct w:val="0"/>
        <w:autoSpaceDE/>
        <w:autoSpaceDN/>
        <w:bidi w:val="0"/>
        <w:spacing w:line="590" w:lineRule="exact"/>
      </w:pPr>
    </w:p>
    <w:p>
      <w:pPr>
        <w:pageBreakBefore w:val="0"/>
        <w:widowControl w:val="0"/>
        <w:kinsoku/>
        <w:topLinePunct w:val="0"/>
        <w:autoSpaceDE/>
        <w:autoSpaceDN/>
        <w:bidi w:val="0"/>
        <w:spacing w:line="590" w:lineRule="exact"/>
        <w:rPr>
          <w:rFonts w:hint="eastAsia"/>
          <w:lang w:eastAsia="zh-CN"/>
        </w:rPr>
      </w:pPr>
    </w:p>
    <w:p>
      <w:pPr>
        <w:pStyle w:val="4"/>
        <w:pageBreakBefore w:val="0"/>
        <w:widowControl w:val="0"/>
        <w:kinsoku/>
        <w:topLinePunct w:val="0"/>
        <w:autoSpaceDE/>
        <w:autoSpaceDN/>
        <w:bidi w:val="0"/>
        <w:spacing w:before="0" w:after="0" w:line="590" w:lineRule="exact"/>
        <w:rPr>
          <w:rFonts w:hint="eastAsia"/>
          <w:lang w:eastAsia="zh-CN"/>
        </w:rPr>
      </w:pPr>
    </w:p>
    <w:p>
      <w:pPr>
        <w:pageBreakBefore w:val="0"/>
        <w:widowControl w:val="0"/>
        <w:kinsoku/>
        <w:topLinePunct w:val="0"/>
        <w:autoSpaceDE/>
        <w:autoSpaceDN/>
        <w:bidi w:val="0"/>
        <w:spacing w:line="590" w:lineRule="exact"/>
        <w:rPr>
          <w:rFonts w:hint="eastAsia"/>
          <w:lang w:eastAsia="zh-CN"/>
        </w:rPr>
      </w:pPr>
    </w:p>
    <w:p>
      <w:pPr>
        <w:pStyle w:val="2"/>
        <w:pageBreakBefore w:val="0"/>
        <w:widowControl w:val="0"/>
        <w:kinsoku/>
        <w:topLinePunct w:val="0"/>
        <w:autoSpaceDE/>
        <w:autoSpaceDN/>
        <w:bidi w:val="0"/>
        <w:spacing w:line="590" w:lineRule="exact"/>
        <w:rPr>
          <w:rFonts w:hint="eastAsia"/>
          <w:lang w:eastAsia="zh-CN"/>
        </w:rPr>
      </w:pPr>
    </w:p>
    <w:p>
      <w:pPr>
        <w:pageBreakBefore w:val="0"/>
        <w:widowControl w:val="0"/>
        <w:kinsoku/>
        <w:topLinePunct w:val="0"/>
        <w:autoSpaceDE/>
        <w:autoSpaceDN/>
        <w:bidi w:val="0"/>
        <w:spacing w:line="590" w:lineRule="exact"/>
        <w:rPr>
          <w:rFonts w:hint="eastAsia"/>
          <w:lang w:eastAsia="zh-CN"/>
        </w:rPr>
      </w:pPr>
    </w:p>
    <w:p>
      <w:pPr>
        <w:pStyle w:val="2"/>
        <w:pageBreakBefore w:val="0"/>
        <w:widowControl w:val="0"/>
        <w:kinsoku/>
        <w:topLinePunct w:val="0"/>
        <w:autoSpaceDE/>
        <w:autoSpaceDN/>
        <w:bidi w:val="0"/>
        <w:spacing w:line="590" w:lineRule="exact"/>
        <w:rPr>
          <w:rFonts w:hint="eastAsia"/>
          <w:lang w:eastAsia="zh-CN"/>
        </w:rPr>
      </w:pPr>
    </w:p>
    <w:p>
      <w:pPr>
        <w:pageBreakBefore w:val="0"/>
        <w:widowControl w:val="0"/>
        <w:kinsoku/>
        <w:topLinePunct w:val="0"/>
        <w:autoSpaceDE/>
        <w:autoSpaceDN/>
        <w:bidi w:val="0"/>
        <w:spacing w:line="590" w:lineRule="exact"/>
        <w:rPr>
          <w:rFonts w:hint="eastAsia"/>
          <w:lang w:eastAsia="zh-CN"/>
        </w:rPr>
      </w:pPr>
    </w:p>
    <w:p>
      <w:pPr>
        <w:pStyle w:val="2"/>
        <w:pageBreakBefore w:val="0"/>
        <w:widowControl w:val="0"/>
        <w:kinsoku/>
        <w:topLinePunct w:val="0"/>
        <w:autoSpaceDE/>
        <w:autoSpaceDN/>
        <w:bidi w:val="0"/>
        <w:spacing w:line="590" w:lineRule="exact"/>
        <w:rPr>
          <w:rFonts w:hint="eastAsia"/>
          <w:lang w:eastAsia="zh-CN"/>
        </w:rPr>
      </w:pPr>
    </w:p>
    <w:p>
      <w:pPr>
        <w:pageBreakBefore w:val="0"/>
        <w:widowControl w:val="0"/>
        <w:kinsoku/>
        <w:topLinePunct w:val="0"/>
        <w:autoSpaceDE/>
        <w:autoSpaceDN/>
        <w:bidi w:val="0"/>
        <w:spacing w:line="590" w:lineRule="exact"/>
        <w:rPr>
          <w:rFonts w:hint="eastAsia"/>
          <w:lang w:eastAsia="zh-CN"/>
        </w:rPr>
      </w:pP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auto"/>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仿宋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ESI黑体-GB2312">
    <w:altName w:val="黑体"/>
    <w:panose1 w:val="02000500000000000000"/>
    <w:charset w:val="86"/>
    <w:family w:val="auto"/>
    <w:pitch w:val="default"/>
    <w:sig w:usb0="00000000" w:usb1="00000000" w:usb2="00000012" w:usb3="00000000" w:csb0="0004000F" w:csb1="00000000"/>
  </w:font>
  <w:font w:name="方正黑体_GBK">
    <w:panose1 w:val="03000509000000000000"/>
    <w:charset w:val="86"/>
    <w:family w:val="auto"/>
    <w:pitch w:val="default"/>
    <w:sig w:usb0="00000001" w:usb1="080E0000" w:usb2="00000000" w:usb3="00000000" w:csb0="00040000" w:csb1="00000000"/>
  </w:font>
  <w:font w:name="CESI小标宋-GB2312">
    <w:altName w:val="宋体"/>
    <w:panose1 w:val="02000500000000000000"/>
    <w:charset w:val="86"/>
    <w:family w:val="auto"/>
    <w:pitch w:val="default"/>
    <w:sig w:usb0="00000000" w:usb1="00000000" w:usb2="00000010" w:usb3="00000000" w:csb0="0004000F" w:csb1="00000000"/>
  </w:font>
  <w:font w:name="CESI楷体-GB2312">
    <w:altName w:val="楷体_GB2312"/>
    <w:panose1 w:val="02000500000000000000"/>
    <w:charset w:val="86"/>
    <w:family w:val="auto"/>
    <w:pitch w:val="default"/>
    <w:sig w:usb0="00000000" w:usb1="00000000" w:usb2="00000012" w:usb3="00000000" w:csb0="0004000F" w:csb1="00000000"/>
  </w:font>
  <w:font w:name="方正书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DejaVu Sans">
    <w:altName w:val="Segoe Print"/>
    <w:panose1 w:val="020B0603030804020204"/>
    <w:charset w:val="00"/>
    <w:family w:val="auto"/>
    <w:pitch w:val="default"/>
    <w:sig w:usb0="00000000" w:usb1="00000000" w:usb2="0A246029" w:usb3="0400200C" w:csb0="600001FF" w:csb1="DFFF0000"/>
  </w:font>
  <w:font w:name="Noto Sans Syriac Eastern">
    <w:altName w:val="宋体"/>
    <w:panose1 w:val="02040503050306020203"/>
    <w:charset w:val="86"/>
    <w:family w:val="auto"/>
    <w:pitch w:val="default"/>
    <w:sig w:usb0="00000000" w:usb1="00000000" w:usb2="00000080" w:usb3="00000000" w:csb0="203E0161" w:csb1="D7FF0000"/>
  </w:font>
  <w:font w:name="方正宋体S-超大字符集">
    <w:altName w:val="宋体"/>
    <w:panose1 w:val="02000000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wordWrap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wordWrap/>
      <w:adjustRightInd/>
      <w:snapToGrid w:val="0"/>
      <w:spacing w:line="240" w:lineRule="auto"/>
      <w:ind w:left="0" w:leftChars="0" w:right="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CDDAE"/>
    <w:multiLevelType w:val="singleLevel"/>
    <w:tmpl w:val="618CDDAE"/>
    <w:lvl w:ilvl="0" w:tentative="0">
      <w:start w:val="6"/>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5D13273"/>
    <w:rsid w:val="066673C8"/>
    <w:rsid w:val="077423D3"/>
    <w:rsid w:val="0A1707EC"/>
    <w:rsid w:val="0A54491A"/>
    <w:rsid w:val="0A8175F2"/>
    <w:rsid w:val="0B1D4E8A"/>
    <w:rsid w:val="0D5A220C"/>
    <w:rsid w:val="0DC10F3C"/>
    <w:rsid w:val="0F0C1338"/>
    <w:rsid w:val="0F3C7199"/>
    <w:rsid w:val="10330054"/>
    <w:rsid w:val="103C00B6"/>
    <w:rsid w:val="110A37A4"/>
    <w:rsid w:val="11361CF6"/>
    <w:rsid w:val="128D47BB"/>
    <w:rsid w:val="13033673"/>
    <w:rsid w:val="130F6095"/>
    <w:rsid w:val="131C3A9F"/>
    <w:rsid w:val="14741193"/>
    <w:rsid w:val="153E4447"/>
    <w:rsid w:val="15572784"/>
    <w:rsid w:val="158940FB"/>
    <w:rsid w:val="160521AB"/>
    <w:rsid w:val="16140A88"/>
    <w:rsid w:val="176B60F3"/>
    <w:rsid w:val="17A71441"/>
    <w:rsid w:val="17E71291"/>
    <w:rsid w:val="18394C82"/>
    <w:rsid w:val="19141140"/>
    <w:rsid w:val="191847CB"/>
    <w:rsid w:val="19926C46"/>
    <w:rsid w:val="19E97327"/>
    <w:rsid w:val="19EE1972"/>
    <w:rsid w:val="1BA65BBB"/>
    <w:rsid w:val="1BD31C6E"/>
    <w:rsid w:val="1BD6126C"/>
    <w:rsid w:val="1E5478C0"/>
    <w:rsid w:val="200A5205"/>
    <w:rsid w:val="20E36EDD"/>
    <w:rsid w:val="21FA07A1"/>
    <w:rsid w:val="23BE221E"/>
    <w:rsid w:val="258D454C"/>
    <w:rsid w:val="27080D6C"/>
    <w:rsid w:val="27693B29"/>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6418ED"/>
    <w:rsid w:val="2F853511"/>
    <w:rsid w:val="2F8F1151"/>
    <w:rsid w:val="300A0FE1"/>
    <w:rsid w:val="301B6270"/>
    <w:rsid w:val="309C11A1"/>
    <w:rsid w:val="324169E2"/>
    <w:rsid w:val="335133BF"/>
    <w:rsid w:val="34152DC2"/>
    <w:rsid w:val="341E6D68"/>
    <w:rsid w:val="34252356"/>
    <w:rsid w:val="35F9160F"/>
    <w:rsid w:val="36D50B06"/>
    <w:rsid w:val="36FF746E"/>
    <w:rsid w:val="37C707A3"/>
    <w:rsid w:val="38882FCA"/>
    <w:rsid w:val="388C40E8"/>
    <w:rsid w:val="38AB7D8C"/>
    <w:rsid w:val="38CD5536"/>
    <w:rsid w:val="38D80A26"/>
    <w:rsid w:val="39130050"/>
    <w:rsid w:val="3919750E"/>
    <w:rsid w:val="39C55EFF"/>
    <w:rsid w:val="3ADC390C"/>
    <w:rsid w:val="3B224807"/>
    <w:rsid w:val="3CED384C"/>
    <w:rsid w:val="3F0B7828"/>
    <w:rsid w:val="3FBB2606"/>
    <w:rsid w:val="40673A31"/>
    <w:rsid w:val="438B51D4"/>
    <w:rsid w:val="44CF252C"/>
    <w:rsid w:val="45CD1F56"/>
    <w:rsid w:val="478618DB"/>
    <w:rsid w:val="47F60ED7"/>
    <w:rsid w:val="4862267E"/>
    <w:rsid w:val="4A527932"/>
    <w:rsid w:val="4AF01A75"/>
    <w:rsid w:val="4B1D40BD"/>
    <w:rsid w:val="4B1D5138"/>
    <w:rsid w:val="4BF05C55"/>
    <w:rsid w:val="4C845E22"/>
    <w:rsid w:val="4D076608"/>
    <w:rsid w:val="4D7145C9"/>
    <w:rsid w:val="4DA05958"/>
    <w:rsid w:val="4F335376"/>
    <w:rsid w:val="50B0551C"/>
    <w:rsid w:val="50B86759"/>
    <w:rsid w:val="511D4D5B"/>
    <w:rsid w:val="51533045"/>
    <w:rsid w:val="515A66AF"/>
    <w:rsid w:val="5166023C"/>
    <w:rsid w:val="51B7661C"/>
    <w:rsid w:val="520703CB"/>
    <w:rsid w:val="53B42844"/>
    <w:rsid w:val="552737D4"/>
    <w:rsid w:val="567A46E2"/>
    <w:rsid w:val="571A1A87"/>
    <w:rsid w:val="573C1368"/>
    <w:rsid w:val="57D30A6D"/>
    <w:rsid w:val="5891480F"/>
    <w:rsid w:val="593E4648"/>
    <w:rsid w:val="5AB1597C"/>
    <w:rsid w:val="5BBA7455"/>
    <w:rsid w:val="5BDB7634"/>
    <w:rsid w:val="5C216CEF"/>
    <w:rsid w:val="5C2962D6"/>
    <w:rsid w:val="5C334EFE"/>
    <w:rsid w:val="5CC07E5A"/>
    <w:rsid w:val="5E617566"/>
    <w:rsid w:val="5F484E2D"/>
    <w:rsid w:val="603B07CD"/>
    <w:rsid w:val="6132442B"/>
    <w:rsid w:val="641104D4"/>
    <w:rsid w:val="64711DC6"/>
    <w:rsid w:val="64B62227"/>
    <w:rsid w:val="65DA60DB"/>
    <w:rsid w:val="66120C2F"/>
    <w:rsid w:val="664A32AF"/>
    <w:rsid w:val="664D7EF0"/>
    <w:rsid w:val="68F8002B"/>
    <w:rsid w:val="69124AC8"/>
    <w:rsid w:val="6ABE3898"/>
    <w:rsid w:val="6C5845E4"/>
    <w:rsid w:val="6C8303A1"/>
    <w:rsid w:val="6CEE14CF"/>
    <w:rsid w:val="6D336076"/>
    <w:rsid w:val="6EE84763"/>
    <w:rsid w:val="6F461695"/>
    <w:rsid w:val="6F66394D"/>
    <w:rsid w:val="6FA51309"/>
    <w:rsid w:val="6FF79F11"/>
    <w:rsid w:val="70481D52"/>
    <w:rsid w:val="70AD1945"/>
    <w:rsid w:val="70FA6FEE"/>
    <w:rsid w:val="712E3A7A"/>
    <w:rsid w:val="71A74628"/>
    <w:rsid w:val="722217A9"/>
    <w:rsid w:val="724D25A1"/>
    <w:rsid w:val="72517AA9"/>
    <w:rsid w:val="735215C5"/>
    <w:rsid w:val="738F1352"/>
    <w:rsid w:val="73C2091D"/>
    <w:rsid w:val="74C5727F"/>
    <w:rsid w:val="74CB1321"/>
    <w:rsid w:val="74D62D9C"/>
    <w:rsid w:val="758D0145"/>
    <w:rsid w:val="7594513B"/>
    <w:rsid w:val="769D666E"/>
    <w:rsid w:val="76DA649D"/>
    <w:rsid w:val="76E00EDF"/>
    <w:rsid w:val="78210BA4"/>
    <w:rsid w:val="784038DC"/>
    <w:rsid w:val="78A01794"/>
    <w:rsid w:val="79025A8E"/>
    <w:rsid w:val="7A8239AD"/>
    <w:rsid w:val="7BB40DDE"/>
    <w:rsid w:val="7C15252B"/>
    <w:rsid w:val="7C8A566B"/>
    <w:rsid w:val="7C996E3F"/>
    <w:rsid w:val="7D7FEF69"/>
    <w:rsid w:val="7DDF0F91"/>
    <w:rsid w:val="7DF974AE"/>
    <w:rsid w:val="7F6C6ACC"/>
    <w:rsid w:val="7F6CA199"/>
    <w:rsid w:val="CF1FB811"/>
    <w:rsid w:val="E7DF6002"/>
    <w:rsid w:val="F7FBFF58"/>
    <w:rsid w:val="FDDF83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First Indent"/>
    <w:basedOn w:val="7"/>
    <w:qFormat/>
    <w:uiPriority w:val="0"/>
    <w:pPr>
      <w:ind w:firstLine="420" w:firstLineChars="100"/>
    </w:pPr>
  </w:style>
  <w:style w:type="paragraph" w:styleId="7">
    <w:name w:val="Body Text"/>
    <w:basedOn w:val="1"/>
    <w:qFormat/>
    <w:uiPriority w:val="0"/>
    <w:rPr>
      <w:rFonts w:eastAsia="宋体"/>
      <w:sz w:val="44"/>
      <w:szCs w:val="24"/>
    </w:rPr>
  </w:style>
  <w:style w:type="paragraph" w:styleId="8">
    <w:name w:val="annotation text"/>
    <w:basedOn w:val="1"/>
    <w:qFormat/>
    <w:uiPriority w:val="0"/>
    <w:pPr>
      <w:jc w:val="left"/>
    </w:pPr>
  </w:style>
  <w:style w:type="paragraph" w:styleId="9">
    <w:name w:val="Body Text Indent"/>
    <w:basedOn w:val="1"/>
    <w:next w:val="1"/>
    <w:qFormat/>
    <w:uiPriority w:val="0"/>
    <w:pPr>
      <w:spacing w:after="120" w:afterLines="0"/>
      <w:ind w:left="420" w:leftChars="2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3">
    <w:name w:val="Body Text 2"/>
    <w:basedOn w:val="1"/>
    <w:qFormat/>
    <w:uiPriority w:val="0"/>
    <w:rPr>
      <w:rFonts w:eastAsia="仿宋_GB2312"/>
      <w:i/>
      <w:iCs/>
      <w:sz w:val="32"/>
      <w:u w:val="single"/>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7">
    <w:name w:val=" Char"/>
    <w:basedOn w:val="1"/>
    <w:link w:val="16"/>
    <w:qFormat/>
    <w:uiPriority w:val="0"/>
  </w:style>
  <w:style w:type="character" w:styleId="18">
    <w:name w:val="Strong"/>
    <w:qFormat/>
    <w:uiPriority w:val="0"/>
    <w:rPr>
      <w:b/>
      <w:bCs/>
    </w:rPr>
  </w:style>
  <w:style w:type="character" w:styleId="19">
    <w:name w:val="page number"/>
    <w:basedOn w:val="16"/>
    <w:qFormat/>
    <w:uiPriority w:val="0"/>
  </w:style>
  <w:style w:type="paragraph" w:customStyle="1" w:styleId="21">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4">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5">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7">
    <w:name w:val="p1"/>
    <w:basedOn w:val="1"/>
    <w:qFormat/>
    <w:uiPriority w:val="99"/>
    <w:pPr>
      <w:widowControl/>
      <w:jc w:val="center"/>
    </w:pPr>
    <w:rPr>
      <w:rFonts w:ascii=".PingFang SC" w:hAnsi=".PingFang SC" w:eastAsia=".PingFang SC"/>
      <w:color w:val="454545"/>
      <w:kern w:val="0"/>
      <w:sz w:val="18"/>
      <w:szCs w:val="18"/>
    </w:rPr>
  </w:style>
  <w:style w:type="paragraph" w:customStyle="1" w:styleId="28">
    <w:name w:val="p0"/>
    <w:basedOn w:val="1"/>
    <w:qFormat/>
    <w:uiPriority w:val="0"/>
    <w:pPr>
      <w:widowControl/>
    </w:pPr>
    <w:rPr>
      <w:rFonts w:hint="eastAsia" w:ascii="宋体" w:hAnsi="宋体"/>
      <w:sz w:val="32"/>
    </w:rPr>
  </w:style>
  <w:style w:type="paragraph" w:customStyle="1" w:styleId="29">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0">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1">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33">
    <w:name w:val="普通(网站)1"/>
    <w:basedOn w:val="1"/>
    <w:qFormat/>
    <w:uiPriority w:val="0"/>
    <w:rPr>
      <w:sz w:val="24"/>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6">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8">
    <w:name w:val="Normal Indent"/>
    <w:basedOn w:val="1"/>
    <w:next w:val="1"/>
    <w:qFormat/>
    <w:uiPriority w:val="0"/>
    <w:pPr>
      <w:ind w:firstLine="420" w:firstLineChars="200"/>
    </w:pPr>
    <w:rPr>
      <w:rFonts w:hint="eastAsia"/>
    </w:rPr>
  </w:style>
  <w:style w:type="paragraph" w:customStyle="1" w:styleId="39">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40">
    <w:name w:val="font_fulltext1"/>
    <w:basedOn w:val="16"/>
    <w:qFormat/>
    <w:uiPriority w:val="0"/>
    <w:rPr>
      <w:sz w:val="18"/>
      <w:szCs w:val="18"/>
    </w:rPr>
  </w:style>
  <w:style w:type="character" w:customStyle="1" w:styleId="41">
    <w:name w:val="15"/>
    <w:qFormat/>
    <w:uiPriority w:val="0"/>
    <w:rPr>
      <w:rFonts w:hint="default" w:ascii="Times New Roman" w:hAnsi="Times New Roman" w:cs="Times New Roman"/>
      <w:b/>
      <w:bCs/>
      <w:sz w:val="20"/>
      <w:szCs w:val="20"/>
    </w:rPr>
  </w:style>
  <w:style w:type="character" w:customStyle="1" w:styleId="42">
    <w:name w:val="form-textarea-print1"/>
    <w:basedOn w:val="16"/>
    <w:qFormat/>
    <w:uiPriority w:val="0"/>
    <w:rPr>
      <w:sz w:val="14"/>
      <w:szCs w:val="14"/>
    </w:rPr>
  </w:style>
  <w:style w:type="paragraph" w:customStyle="1" w:styleId="43">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6</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2019-04-12T15:40:00Z</dcterms:created>
  <dc:creator>谢浩然</dc:creator>
  <cp:lastModifiedBy>PC</cp:lastModifiedBy>
  <cp:lastPrinted>2021-10-19T15:47:00Z</cp:lastPrinted>
  <dcterms:modified xsi:type="dcterms:W3CDTF">2021-12-15T07:31:31Z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