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val="0"/>
        <w:topLinePunct w:val="0"/>
        <w:autoSpaceDE/>
        <w:autoSpaceDN/>
        <w:bidi w:val="0"/>
        <w:adjustRightInd w:val="0"/>
        <w:spacing w:beforeLines="0" w:beforeAutospacing="0" w:afterLines="0" w:afterAutospacing="0" w:line="590" w:lineRule="exact"/>
        <w:ind w:left="0" w:leftChars="0" w:right="0" w:rightChars="0"/>
        <w:jc w:val="center"/>
        <w:rPr>
          <w:rFonts w:hint="eastAsia" w:ascii="宋体" w:hAnsi="宋体" w:eastAsia="宋体" w:cs="宋体"/>
          <w:color w:val="auto"/>
          <w:kern w:val="2"/>
          <w:sz w:val="44"/>
          <w:szCs w:val="44"/>
          <w:lang w:val="en-US" w:eastAsia="zh-CN" w:bidi="ar"/>
        </w:rPr>
      </w:pPr>
    </w:p>
    <w:p>
      <w:pPr>
        <w:keepNext w:val="0"/>
        <w:keepLines w:val="0"/>
        <w:pageBreakBefore w:val="0"/>
        <w:widowControl w:val="0"/>
        <w:suppressLineNumbers w:val="0"/>
        <w:kinsoku/>
        <w:wordWrap/>
        <w:overflowPunct w:val="0"/>
        <w:topLinePunct w:val="0"/>
        <w:autoSpaceDE/>
        <w:autoSpaceDN/>
        <w:bidi w:val="0"/>
        <w:adjustRightInd w:val="0"/>
        <w:spacing w:beforeLines="0" w:beforeAutospacing="0" w:afterLines="0" w:afterAutospacing="0" w:line="590" w:lineRule="exact"/>
        <w:ind w:left="0" w:leftChars="0" w:right="0" w:rightChars="0"/>
        <w:jc w:val="center"/>
        <w:rPr>
          <w:rFonts w:hint="eastAsia" w:ascii="宋体" w:hAnsi="宋体" w:eastAsia="宋体" w:cs="宋体"/>
          <w:color w:val="auto"/>
          <w:kern w:val="2"/>
          <w:sz w:val="44"/>
          <w:szCs w:val="44"/>
          <w:lang w:val="en-US" w:eastAsia="zh-CN" w:bidi="ar"/>
        </w:rPr>
      </w:pPr>
      <w:r>
        <w:rPr>
          <w:rFonts w:hint="eastAsia" w:ascii="宋体" w:hAnsi="宋体" w:eastAsia="宋体" w:cs="宋体"/>
          <w:color w:val="auto"/>
          <w:kern w:val="2"/>
          <w:sz w:val="44"/>
          <w:szCs w:val="44"/>
          <w:lang w:val="en-US" w:eastAsia="zh-CN" w:bidi="ar"/>
        </w:rPr>
        <w:t>广东省优化营商环境条例</w:t>
      </w:r>
    </w:p>
    <w:p>
      <w:pPr>
        <w:pStyle w:val="7"/>
        <w:keepNext w:val="0"/>
        <w:keepLines w:val="0"/>
        <w:pageBreakBefore w:val="0"/>
        <w:widowControl w:val="0"/>
        <w:kinsoku/>
        <w:wordWrap/>
        <w:overflowPunct w:val="0"/>
        <w:topLinePunct w:val="0"/>
        <w:autoSpaceDE/>
        <w:autoSpaceDN/>
        <w:bidi w:val="0"/>
        <w:adjustRightInd w:val="0"/>
        <w:snapToGrid/>
        <w:spacing w:beforeLines="0" w:after="0" w:afterLines="0" w:line="590" w:lineRule="exact"/>
        <w:ind w:left="0" w:leftChars="0" w:right="22" w:rightChars="7" w:firstLine="638" w:firstLineChars="202"/>
        <w:jc w:val="both"/>
        <w:textAlignment w:val="auto"/>
        <w:outlineLvl w:val="9"/>
        <w:rPr>
          <w:rFonts w:hint="eastAsia" w:ascii="宋体" w:hAnsi="宋体" w:eastAsia="楷体_GB2312" w:cs="楷体_GB2312"/>
          <w:b w:val="0"/>
          <w:bCs/>
          <w:color w:val="000000"/>
          <w:szCs w:val="32"/>
        </w:rPr>
      </w:pPr>
    </w:p>
    <w:p>
      <w:pPr>
        <w:pStyle w:val="7"/>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22" w:rightChars="7" w:firstLine="638" w:firstLineChars="202"/>
        <w:jc w:val="both"/>
        <w:textAlignment w:val="auto"/>
        <w:outlineLvl w:val="9"/>
        <w:rPr>
          <w:rFonts w:hint="eastAsia" w:ascii="宋体" w:hAnsi="宋体" w:eastAsia="楷体_GB2312" w:cs="楷体_GB2312"/>
          <w:b w:val="0"/>
          <w:bCs/>
          <w:color w:val="000000"/>
          <w:szCs w:val="32"/>
          <w:lang w:val="en-US" w:eastAsia="zh-CN"/>
        </w:rPr>
      </w:pPr>
      <w:r>
        <w:rPr>
          <w:rFonts w:hint="eastAsia" w:ascii="宋体" w:hAnsi="宋体" w:eastAsia="楷体_GB2312" w:cs="楷体_GB2312"/>
          <w:b w:val="0"/>
          <w:bCs/>
          <w:color w:val="000000"/>
          <w:szCs w:val="32"/>
        </w:rPr>
        <w:t>（</w:t>
      </w:r>
      <w:r>
        <w:rPr>
          <w:rFonts w:hint="eastAsia" w:ascii="宋体" w:hAnsi="宋体" w:eastAsia="楷体_GB2312" w:cs="楷体_GB2312"/>
          <w:b w:val="0"/>
          <w:bCs/>
          <w:color w:val="000000"/>
          <w:szCs w:val="32"/>
          <w:lang w:val="en-US" w:eastAsia="zh-CN"/>
        </w:rPr>
        <w:t>2022</w:t>
      </w:r>
      <w:bookmarkStart w:id="0" w:name="_GoBack"/>
      <w:bookmarkEnd w:id="0"/>
      <w:r>
        <w:rPr>
          <w:rFonts w:hint="eastAsia" w:ascii="宋体" w:hAnsi="宋体" w:eastAsia="楷体_GB2312" w:cs="楷体_GB2312"/>
          <w:b w:val="0"/>
          <w:bCs/>
          <w:color w:val="000000"/>
          <w:szCs w:val="32"/>
          <w:lang w:val="en-US" w:eastAsia="zh-CN"/>
        </w:rPr>
        <w:t>年6月1日广东省第十三届人民代表大会常务</w:t>
      </w:r>
    </w:p>
    <w:p>
      <w:pPr>
        <w:pStyle w:val="7"/>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22" w:rightChars="7" w:firstLine="638" w:firstLineChars="202"/>
        <w:jc w:val="both"/>
        <w:textAlignment w:val="auto"/>
        <w:outlineLvl w:val="9"/>
        <w:rPr>
          <w:rFonts w:hint="eastAsia" w:ascii="宋体" w:hAnsi="宋体" w:eastAsia="楷体_GB2312" w:cs="楷体_GB2312"/>
          <w:b w:val="0"/>
          <w:bCs/>
          <w:color w:val="000000"/>
          <w:szCs w:val="32"/>
        </w:rPr>
      </w:pPr>
      <w:r>
        <w:rPr>
          <w:rFonts w:hint="eastAsia" w:ascii="宋体" w:hAnsi="宋体" w:eastAsia="楷体_GB2312" w:cs="楷体_GB2312"/>
          <w:b w:val="0"/>
          <w:bCs/>
          <w:color w:val="000000"/>
          <w:szCs w:val="32"/>
          <w:lang w:val="en-US" w:eastAsia="zh-CN"/>
        </w:rPr>
        <w:t>委员会第四十三次会议通过</w:t>
      </w:r>
      <w:r>
        <w:rPr>
          <w:rFonts w:hint="eastAsia" w:ascii="宋体" w:hAnsi="宋体" w:eastAsia="楷体_GB2312" w:cs="楷体_GB2312"/>
          <w:b w:val="0"/>
          <w:bCs/>
          <w:color w:val="000000"/>
          <w:szCs w:val="32"/>
        </w:rPr>
        <w:t>）</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jc w:val="left"/>
        <w:textAlignment w:val="auto"/>
        <w:outlineLvl w:val="9"/>
        <w:rPr>
          <w:rFonts w:hint="eastAsia" w:ascii="宋体" w:hAnsi="宋体" w:eastAsia="仿宋_GB2312" w:cs="仿宋_GB2312"/>
          <w:color w:val="auto"/>
          <w:sz w:val="32"/>
          <w:szCs w:val="32"/>
          <w:highlight w:val="none"/>
        </w:rPr>
      </w:pPr>
    </w:p>
    <w:p>
      <w:pPr>
        <w:pStyle w:val="3"/>
        <w:keepNext w:val="0"/>
        <w:keepLines w:val="0"/>
        <w:pageBreakBefore w:val="0"/>
        <w:widowControl w:val="0"/>
        <w:suppressLineNumbers w:val="0"/>
        <w:kinsoku/>
        <w:wordWrap/>
        <w:overflowPunct w:val="0"/>
        <w:topLinePunct w:val="0"/>
        <w:autoSpaceDE/>
        <w:autoSpaceDN/>
        <w:bidi w:val="0"/>
        <w:adjustRightInd w:val="0"/>
        <w:spacing w:before="0" w:beforeLines="0" w:beforeAutospacing="0" w:after="0" w:afterLines="0" w:afterAutospacing="0" w:line="590" w:lineRule="exact"/>
        <w:ind w:left="0" w:leftChars="0" w:right="0" w:rightChars="0"/>
        <w:jc w:val="center"/>
        <w:outlineLvl w:val="0"/>
        <w:rPr>
          <w:rFonts w:hint="eastAsia" w:ascii="宋体" w:hAnsi="宋体" w:eastAsia="楷体_GB2312" w:cs="楷体_GB2312"/>
          <w:b w:val="0"/>
          <w:color w:val="auto"/>
          <w:kern w:val="2"/>
          <w:sz w:val="32"/>
          <w:szCs w:val="32"/>
          <w:lang w:eastAsia="zh-CN"/>
        </w:rPr>
      </w:pPr>
      <w:r>
        <w:rPr>
          <w:rFonts w:hint="eastAsia" w:ascii="宋体" w:hAnsi="宋体" w:eastAsia="楷体_GB2312" w:cs="楷体_GB2312"/>
          <w:b w:val="0"/>
          <w:color w:val="auto"/>
          <w:kern w:val="2"/>
          <w:sz w:val="32"/>
          <w:szCs w:val="32"/>
          <w:lang w:eastAsia="zh-CN"/>
        </w:rPr>
        <w:t>目</w:t>
      </w:r>
      <w:r>
        <w:rPr>
          <w:rFonts w:hint="eastAsia" w:ascii="宋体" w:hAnsi="宋体" w:eastAsia="楷体_GB2312" w:cs="楷体_GB2312"/>
          <w:b w:val="0"/>
          <w:color w:val="auto"/>
          <w:kern w:val="2"/>
          <w:sz w:val="32"/>
          <w:szCs w:val="32"/>
          <w:lang w:val="en-US" w:eastAsia="zh-CN"/>
        </w:rPr>
        <w:t xml:space="preserve">    </w:t>
      </w:r>
      <w:r>
        <w:rPr>
          <w:rFonts w:hint="eastAsia" w:ascii="宋体" w:hAnsi="宋体" w:eastAsia="楷体_GB2312" w:cs="楷体_GB2312"/>
          <w:b w:val="0"/>
          <w:color w:val="auto"/>
          <w:kern w:val="2"/>
          <w:sz w:val="32"/>
          <w:szCs w:val="32"/>
          <w:lang w:eastAsia="zh-CN"/>
        </w:rPr>
        <w:t>录</w:t>
      </w:r>
    </w:p>
    <w:p>
      <w:pPr>
        <w:keepNext w:val="0"/>
        <w:keepLines w:val="0"/>
        <w:pageBreakBefore w:val="0"/>
        <w:numPr>
          <w:ilvl w:val="0"/>
          <w:numId w:val="0"/>
        </w:numPr>
        <w:kinsoku/>
        <w:wordWrap/>
        <w:overflowPunct w:val="0"/>
        <w:topLinePunct w:val="0"/>
        <w:autoSpaceDN/>
        <w:bidi w:val="0"/>
        <w:adjustRightInd w:val="0"/>
        <w:spacing w:beforeLines="0" w:afterLines="0" w:line="590" w:lineRule="exact"/>
        <w:ind w:firstLine="632" w:firstLineChars="200"/>
        <w:rPr>
          <w:rFonts w:hint="eastAsia" w:ascii="宋体" w:hAnsi="宋体" w:eastAsia="楷体_GB2312" w:cs="楷体_GB2312"/>
          <w:b w:val="0"/>
          <w:color w:val="auto"/>
          <w:kern w:val="2"/>
          <w:sz w:val="32"/>
          <w:szCs w:val="32"/>
        </w:rPr>
      </w:pPr>
      <w:r>
        <w:rPr>
          <w:rFonts w:hint="eastAsia" w:ascii="宋体" w:hAnsi="宋体" w:eastAsia="楷体_GB2312" w:cs="楷体_GB2312"/>
          <w:b w:val="0"/>
          <w:color w:val="auto"/>
          <w:kern w:val="2"/>
          <w:sz w:val="32"/>
          <w:szCs w:val="32"/>
          <w:lang w:eastAsia="zh-CN"/>
        </w:rPr>
        <w:t>第一章</w:t>
      </w:r>
      <w:r>
        <w:rPr>
          <w:rFonts w:hint="eastAsia" w:ascii="宋体" w:hAnsi="宋体" w:eastAsia="楷体_GB2312" w:cs="楷体_GB2312"/>
          <w:b w:val="0"/>
          <w:color w:val="auto"/>
          <w:kern w:val="2"/>
          <w:sz w:val="32"/>
          <w:szCs w:val="32"/>
          <w:lang w:val="en-US" w:eastAsia="zh-CN"/>
        </w:rPr>
        <w:t xml:space="preserve"> </w:t>
      </w:r>
      <w:r>
        <w:rPr>
          <w:rFonts w:hint="eastAsia" w:ascii="宋体" w:hAnsi="宋体" w:eastAsia="楷体_GB2312" w:cs="楷体_GB2312"/>
          <w:b w:val="0"/>
          <w:color w:val="auto"/>
          <w:kern w:val="2"/>
          <w:sz w:val="32"/>
          <w:szCs w:val="32"/>
        </w:rPr>
        <w:t xml:space="preserve"> 总则</w:t>
      </w:r>
    </w:p>
    <w:p>
      <w:pPr>
        <w:pStyle w:val="2"/>
        <w:keepNext w:val="0"/>
        <w:keepLines w:val="0"/>
        <w:pageBreakBefore w:val="0"/>
        <w:numPr>
          <w:ilvl w:val="0"/>
          <w:numId w:val="0"/>
        </w:numPr>
        <w:kinsoku/>
        <w:wordWrap/>
        <w:overflowPunct w:val="0"/>
        <w:topLinePunct w:val="0"/>
        <w:autoSpaceDN/>
        <w:bidi w:val="0"/>
        <w:adjustRightInd w:val="0"/>
        <w:spacing w:beforeLines="0" w:afterLines="0" w:line="590" w:lineRule="exact"/>
        <w:ind w:firstLine="631"/>
        <w:rPr>
          <w:rFonts w:hint="eastAsia" w:ascii="宋体" w:hAnsi="宋体" w:eastAsia="楷体_GB2312" w:cs="楷体_GB2312"/>
          <w:b w:val="0"/>
          <w:i w:val="0"/>
          <w:color w:val="auto"/>
          <w:kern w:val="2"/>
          <w:sz w:val="32"/>
          <w:szCs w:val="32"/>
        </w:rPr>
      </w:pPr>
      <w:r>
        <w:rPr>
          <w:rFonts w:hint="eastAsia" w:ascii="宋体" w:hAnsi="宋体" w:eastAsia="楷体_GB2312" w:cs="楷体_GB2312"/>
          <w:b w:val="0"/>
          <w:i w:val="0"/>
          <w:color w:val="auto"/>
          <w:kern w:val="2"/>
          <w:sz w:val="32"/>
          <w:szCs w:val="32"/>
        </w:rPr>
        <w:t>第二章  市场和要素环境</w:t>
      </w:r>
    </w:p>
    <w:p>
      <w:pPr>
        <w:pStyle w:val="3"/>
        <w:keepNext w:val="0"/>
        <w:keepLines w:val="0"/>
        <w:pageBreakBefore w:val="0"/>
        <w:widowControl w:val="0"/>
        <w:suppressLineNumbers w:val="0"/>
        <w:kinsoku/>
        <w:wordWrap/>
        <w:overflowPunct w:val="0"/>
        <w:topLinePunct w:val="0"/>
        <w:autoSpaceDE/>
        <w:autoSpaceDN/>
        <w:bidi w:val="0"/>
        <w:adjustRightInd w:val="0"/>
        <w:spacing w:before="0" w:beforeLines="0" w:beforeAutospacing="0" w:after="0" w:afterLines="0" w:afterAutospacing="0" w:line="590" w:lineRule="exact"/>
        <w:ind w:left="0" w:leftChars="0" w:right="0" w:rightChars="0" w:firstLine="632" w:firstLineChars="200"/>
        <w:jc w:val="both"/>
        <w:outlineLvl w:val="0"/>
        <w:rPr>
          <w:rFonts w:hint="eastAsia" w:ascii="宋体" w:hAnsi="宋体" w:eastAsia="楷体_GB2312" w:cs="楷体_GB2312"/>
          <w:b w:val="0"/>
          <w:color w:val="auto"/>
          <w:kern w:val="2"/>
          <w:sz w:val="32"/>
          <w:szCs w:val="32"/>
        </w:rPr>
      </w:pPr>
      <w:r>
        <w:rPr>
          <w:rFonts w:hint="eastAsia" w:ascii="宋体" w:hAnsi="宋体" w:eastAsia="楷体_GB2312" w:cs="楷体_GB2312"/>
          <w:b w:val="0"/>
          <w:color w:val="auto"/>
          <w:kern w:val="2"/>
          <w:sz w:val="32"/>
          <w:szCs w:val="32"/>
        </w:rPr>
        <w:t>第三章  政务服务</w:t>
      </w:r>
    </w:p>
    <w:p>
      <w:pPr>
        <w:pStyle w:val="3"/>
        <w:keepNext w:val="0"/>
        <w:keepLines w:val="0"/>
        <w:pageBreakBefore w:val="0"/>
        <w:widowControl w:val="0"/>
        <w:suppressLineNumbers w:val="0"/>
        <w:kinsoku/>
        <w:wordWrap/>
        <w:overflowPunct w:val="0"/>
        <w:topLinePunct w:val="0"/>
        <w:autoSpaceDE/>
        <w:autoSpaceDN/>
        <w:bidi w:val="0"/>
        <w:adjustRightInd w:val="0"/>
        <w:spacing w:before="0" w:beforeLines="0" w:beforeAutospacing="0" w:after="0" w:afterLines="0" w:afterAutospacing="0" w:line="590" w:lineRule="exact"/>
        <w:ind w:left="0" w:leftChars="0" w:right="0" w:rightChars="0" w:firstLine="632" w:firstLineChars="200"/>
        <w:jc w:val="both"/>
        <w:outlineLvl w:val="0"/>
        <w:rPr>
          <w:rFonts w:hint="eastAsia" w:ascii="宋体" w:hAnsi="宋体" w:eastAsia="楷体_GB2312" w:cs="楷体_GB2312"/>
          <w:b w:val="0"/>
          <w:color w:val="auto"/>
          <w:kern w:val="2"/>
          <w:sz w:val="32"/>
          <w:szCs w:val="32"/>
        </w:rPr>
      </w:pPr>
      <w:r>
        <w:rPr>
          <w:rFonts w:hint="eastAsia" w:ascii="宋体" w:hAnsi="宋体" w:eastAsia="楷体_GB2312" w:cs="楷体_GB2312"/>
          <w:b w:val="0"/>
          <w:i w:val="0"/>
          <w:color w:val="auto"/>
          <w:kern w:val="2"/>
          <w:sz w:val="32"/>
          <w:szCs w:val="32"/>
        </w:rPr>
        <w:t>第四章  法治环境</w:t>
      </w:r>
    </w:p>
    <w:p>
      <w:pPr>
        <w:pStyle w:val="3"/>
        <w:keepNext w:val="0"/>
        <w:keepLines w:val="0"/>
        <w:pageBreakBefore w:val="0"/>
        <w:widowControl w:val="0"/>
        <w:suppressLineNumbers w:val="0"/>
        <w:kinsoku/>
        <w:wordWrap/>
        <w:overflowPunct w:val="0"/>
        <w:topLinePunct w:val="0"/>
        <w:autoSpaceDE/>
        <w:autoSpaceDN/>
        <w:bidi w:val="0"/>
        <w:adjustRightInd w:val="0"/>
        <w:spacing w:before="0" w:beforeLines="0" w:beforeAutospacing="0" w:after="0" w:afterLines="0" w:afterAutospacing="0" w:line="590" w:lineRule="exact"/>
        <w:ind w:left="0" w:leftChars="0" w:right="0" w:rightChars="0" w:firstLine="632" w:firstLineChars="200"/>
        <w:jc w:val="both"/>
        <w:outlineLvl w:val="0"/>
        <w:rPr>
          <w:rFonts w:hint="eastAsia" w:ascii="宋体" w:hAnsi="宋体" w:eastAsia="楷体_GB2312" w:cs="楷体_GB2312"/>
          <w:b w:val="0"/>
          <w:color w:val="auto"/>
          <w:kern w:val="2"/>
          <w:sz w:val="32"/>
          <w:szCs w:val="32"/>
        </w:rPr>
      </w:pPr>
      <w:r>
        <w:rPr>
          <w:rFonts w:hint="eastAsia" w:ascii="宋体" w:hAnsi="宋体" w:eastAsia="楷体_GB2312" w:cs="楷体_GB2312"/>
          <w:b w:val="0"/>
          <w:color w:val="auto"/>
          <w:kern w:val="2"/>
          <w:sz w:val="32"/>
          <w:szCs w:val="32"/>
        </w:rPr>
        <w:t>第五章  监督保障</w:t>
      </w:r>
    </w:p>
    <w:p>
      <w:pPr>
        <w:pStyle w:val="3"/>
        <w:keepNext w:val="0"/>
        <w:keepLines w:val="0"/>
        <w:pageBreakBefore w:val="0"/>
        <w:widowControl w:val="0"/>
        <w:suppressLineNumbers w:val="0"/>
        <w:kinsoku/>
        <w:wordWrap/>
        <w:overflowPunct w:val="0"/>
        <w:topLinePunct w:val="0"/>
        <w:autoSpaceDE/>
        <w:autoSpaceDN/>
        <w:bidi w:val="0"/>
        <w:adjustRightInd w:val="0"/>
        <w:spacing w:before="0" w:beforeLines="0" w:beforeAutospacing="0" w:after="0" w:afterLines="0" w:afterAutospacing="0" w:line="590" w:lineRule="exact"/>
        <w:ind w:left="0" w:leftChars="0" w:right="0" w:rightChars="0" w:firstLine="632" w:firstLineChars="200"/>
        <w:jc w:val="both"/>
        <w:outlineLvl w:val="0"/>
        <w:rPr>
          <w:rFonts w:hint="eastAsia" w:ascii="宋体" w:hAnsi="宋体" w:eastAsia="楷体_GB2312" w:cs="楷体_GB2312"/>
          <w:b w:val="0"/>
          <w:color w:val="auto"/>
          <w:kern w:val="2"/>
          <w:sz w:val="32"/>
          <w:szCs w:val="32"/>
        </w:rPr>
      </w:pPr>
      <w:r>
        <w:rPr>
          <w:rFonts w:hint="eastAsia" w:ascii="宋体" w:hAnsi="宋体" w:eastAsia="楷体_GB2312" w:cs="楷体_GB2312"/>
          <w:b w:val="0"/>
          <w:color w:val="auto"/>
          <w:kern w:val="2"/>
          <w:sz w:val="32"/>
          <w:szCs w:val="32"/>
          <w:lang w:eastAsia="zh-CN"/>
        </w:rPr>
        <w:t>第六章</w:t>
      </w:r>
      <w:r>
        <w:rPr>
          <w:rFonts w:hint="eastAsia" w:ascii="宋体" w:hAnsi="宋体" w:eastAsia="楷体_GB2312" w:cs="楷体_GB2312"/>
          <w:b w:val="0"/>
          <w:color w:val="auto"/>
          <w:kern w:val="2"/>
          <w:sz w:val="32"/>
          <w:szCs w:val="32"/>
          <w:lang w:val="en-US" w:eastAsia="zh-CN"/>
        </w:rPr>
        <w:t xml:space="preserve">  </w:t>
      </w:r>
      <w:r>
        <w:rPr>
          <w:rFonts w:hint="eastAsia" w:ascii="宋体" w:hAnsi="宋体" w:eastAsia="楷体_GB2312" w:cs="楷体_GB2312"/>
          <w:b w:val="0"/>
          <w:color w:val="auto"/>
          <w:kern w:val="2"/>
          <w:sz w:val="32"/>
          <w:szCs w:val="32"/>
        </w:rPr>
        <w:t>附则</w:t>
      </w:r>
    </w:p>
    <w:p>
      <w:pPr>
        <w:pStyle w:val="2"/>
        <w:overflowPunct w:val="0"/>
        <w:adjustRightInd w:val="0"/>
        <w:spacing w:beforeLines="0" w:afterLines="0" w:line="590" w:lineRule="exact"/>
        <w:rPr>
          <w:rFonts w:hint="eastAsia"/>
          <w:lang w:eastAsia="zh-CN"/>
        </w:rPr>
      </w:pP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beforeAutospacing="0" w:afterLines="0" w:afterAutospacing="0" w:line="590" w:lineRule="exact"/>
        <w:jc w:val="center"/>
        <w:textAlignment w:val="auto"/>
        <w:outlineLvl w:val="9"/>
        <w:rPr>
          <w:rFonts w:hint="eastAsia" w:ascii="宋体" w:hAnsi="宋体" w:eastAsia="黑体" w:cs="黑体"/>
          <w:color w:val="auto"/>
          <w:sz w:val="32"/>
          <w:szCs w:val="32"/>
          <w:highlight w:val="none"/>
        </w:rPr>
      </w:pPr>
      <w:r>
        <w:rPr>
          <w:rFonts w:hint="eastAsia" w:ascii="宋体" w:hAnsi="宋体" w:eastAsia="黑体" w:cs="黑体"/>
          <w:color w:val="auto"/>
          <w:sz w:val="32"/>
          <w:szCs w:val="32"/>
          <w:highlight w:val="none"/>
          <w:lang w:eastAsia="zh-CN"/>
        </w:rPr>
        <w:t>第一章</w:t>
      </w:r>
      <w:r>
        <w:rPr>
          <w:rFonts w:hint="eastAsia" w:ascii="宋体" w:hAnsi="宋体" w:eastAsia="黑体" w:cs="黑体"/>
          <w:color w:val="auto"/>
          <w:sz w:val="32"/>
          <w:szCs w:val="32"/>
          <w:highlight w:val="none"/>
          <w:lang w:val="en-US" w:eastAsia="zh-CN"/>
        </w:rPr>
        <w:t xml:space="preserve">  </w:t>
      </w:r>
      <w:r>
        <w:rPr>
          <w:rFonts w:hint="eastAsia" w:ascii="宋体" w:hAnsi="宋体" w:eastAsia="黑体" w:cs="黑体"/>
          <w:color w:val="auto"/>
          <w:sz w:val="32"/>
          <w:szCs w:val="32"/>
          <w:highlight w:val="none"/>
        </w:rPr>
        <w:t>总则</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left"/>
        <w:textAlignment w:val="auto"/>
        <w:outlineLvl w:val="9"/>
        <w:rPr>
          <w:rFonts w:hint="eastAsia" w:ascii="宋体" w:hAnsi="宋体" w:eastAsia="仿宋_GB2312" w:cs="仿宋_GB2312"/>
          <w:color w:val="auto"/>
          <w:sz w:val="32"/>
          <w:szCs w:val="32"/>
          <w:highlight w:val="none"/>
        </w:rPr>
      </w:pP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color w:val="auto"/>
          <w:sz w:val="32"/>
          <w:szCs w:val="32"/>
          <w:highlight w:val="none"/>
          <w:lang w:eastAsia="zh-CN"/>
        </w:rPr>
        <w:t>第一条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为了优化营商环境，维护各类市场主体合法权益，激发市场主体活力和创造力，推</w:t>
      </w:r>
      <w:r>
        <w:rPr>
          <w:rFonts w:hint="eastAsia" w:ascii="宋体" w:hAnsi="宋体" w:eastAsia="仿宋_GB2312" w:cs="仿宋_GB2312"/>
          <w:color w:val="auto"/>
          <w:sz w:val="32"/>
          <w:szCs w:val="32"/>
          <w:highlight w:val="none"/>
          <w:lang w:eastAsia="zh-CN"/>
        </w:rPr>
        <w:t>动经济高质量发展</w:t>
      </w:r>
      <w:r>
        <w:rPr>
          <w:rFonts w:hint="eastAsia" w:ascii="宋体" w:hAnsi="宋体" w:eastAsia="仿宋_GB2312" w:cs="仿宋_GB2312"/>
          <w:color w:val="auto"/>
          <w:sz w:val="32"/>
          <w:szCs w:val="32"/>
          <w:highlight w:val="none"/>
        </w:rPr>
        <w:t>，根据《优化营商环境条例》等法律、行政法规，结合本省实际，制定本条例。</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color w:val="auto"/>
          <w:sz w:val="32"/>
          <w:szCs w:val="32"/>
          <w:highlight w:val="none"/>
          <w:lang w:eastAsia="zh-CN"/>
        </w:rPr>
        <w:t>第二条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本条例适用于本省行政区域内优化营商环境相关工作。</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i w:val="0"/>
          <w:iCs w:val="0"/>
          <w:color w:val="auto"/>
          <w:sz w:val="32"/>
          <w:szCs w:val="32"/>
          <w:highlight w:val="none"/>
          <w:u w:val="none"/>
        </w:rPr>
      </w:pPr>
      <w:r>
        <w:rPr>
          <w:rFonts w:hint="eastAsia" w:ascii="宋体" w:hAnsi="宋体" w:eastAsia="黑体" w:cs="黑体"/>
          <w:color w:val="auto"/>
          <w:sz w:val="32"/>
          <w:szCs w:val="32"/>
          <w:highlight w:val="none"/>
          <w:lang w:eastAsia="zh-CN"/>
        </w:rPr>
        <w:t>第三条</w:t>
      </w:r>
      <w:r>
        <w:rPr>
          <w:rFonts w:hint="eastAsia" w:ascii="宋体" w:hAnsi="宋体" w:eastAsia="仿宋_GB2312" w:cs="仿宋_GB2312"/>
          <w:i w:val="0"/>
          <w:iCs w:val="0"/>
          <w:color w:val="auto"/>
          <w:sz w:val="32"/>
          <w:szCs w:val="32"/>
          <w:highlight w:val="none"/>
          <w:u w:val="none"/>
          <w:lang w:val="en-US" w:eastAsia="zh-CN"/>
        </w:rPr>
        <w:t xml:space="preserve">  </w:t>
      </w:r>
      <w:r>
        <w:rPr>
          <w:rFonts w:hint="eastAsia" w:ascii="宋体" w:hAnsi="宋体" w:eastAsia="仿宋_GB2312" w:cs="仿宋_GB2312"/>
          <w:i w:val="0"/>
          <w:iCs w:val="0"/>
          <w:color w:val="auto"/>
          <w:sz w:val="32"/>
          <w:szCs w:val="32"/>
          <w:highlight w:val="none"/>
          <w:u w:val="none"/>
        </w:rPr>
        <w:t>优化营商环境应当坚持市场化、法治化、国际化原则，充分发挥市场在资源配置中的决定性作用，更好发挥政府作用，有效降低制度性交易成本，营造稳定、公平、透明、可预期的发展环境。</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i/>
          <w:iCs/>
          <w:color w:val="auto"/>
          <w:sz w:val="32"/>
          <w:szCs w:val="32"/>
          <w:highlight w:val="none"/>
          <w:u w:val="single"/>
        </w:rPr>
      </w:pPr>
      <w:r>
        <w:rPr>
          <w:rFonts w:hint="eastAsia" w:ascii="宋体" w:hAnsi="宋体" w:eastAsia="黑体" w:cs="黑体"/>
          <w:i w:val="0"/>
          <w:iCs w:val="0"/>
          <w:color w:val="auto"/>
          <w:sz w:val="32"/>
          <w:szCs w:val="32"/>
          <w:highlight w:val="none"/>
          <w:u w:val="none"/>
        </w:rPr>
        <w:t>第四条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各类市场主体在经济活动中权利平等、机会平等、规则平等。市场主体人身权利、财产权利和经营自主权</w:t>
      </w:r>
      <w:r>
        <w:rPr>
          <w:rFonts w:hint="eastAsia" w:ascii="宋体" w:hAnsi="宋体" w:eastAsia="仿宋_GB2312" w:cs="仿宋_GB2312"/>
          <w:color w:val="auto"/>
          <w:sz w:val="32"/>
          <w:szCs w:val="32"/>
          <w:highlight w:val="none"/>
          <w:lang w:eastAsia="zh-CN"/>
        </w:rPr>
        <w:t>受法律保护</w:t>
      </w:r>
      <w:r>
        <w:rPr>
          <w:rFonts w:hint="eastAsia" w:ascii="宋体" w:hAnsi="宋体" w:eastAsia="仿宋_GB2312" w:cs="仿宋_GB2312"/>
          <w:color w:val="auto"/>
          <w:sz w:val="32"/>
          <w:szCs w:val="32"/>
          <w:highlight w:val="none"/>
        </w:rPr>
        <w:t>。</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i w:val="0"/>
          <w:iCs w:val="0"/>
          <w:color w:val="auto"/>
          <w:spacing w:val="-6"/>
          <w:sz w:val="32"/>
          <w:szCs w:val="32"/>
          <w:highlight w:val="none"/>
          <w:u w:val="none"/>
        </w:rPr>
      </w:pPr>
      <w:r>
        <w:rPr>
          <w:rFonts w:hint="eastAsia" w:ascii="宋体" w:hAnsi="宋体" w:eastAsia="仿宋_GB2312" w:cs="仿宋_GB2312"/>
          <w:i w:val="0"/>
          <w:iCs w:val="0"/>
          <w:color w:val="auto"/>
          <w:sz w:val="32"/>
          <w:szCs w:val="32"/>
          <w:highlight w:val="none"/>
          <w:u w:val="none"/>
        </w:rPr>
        <w:t>市场主体应当遵守法律法规，恪守社会公德和商业道德，诚</w:t>
      </w:r>
      <w:r>
        <w:rPr>
          <w:rFonts w:hint="eastAsia" w:ascii="宋体" w:hAnsi="宋体" w:eastAsia="仿宋_GB2312" w:cs="仿宋_GB2312"/>
          <w:i w:val="0"/>
          <w:iCs w:val="0"/>
          <w:color w:val="auto"/>
          <w:spacing w:val="-6"/>
          <w:sz w:val="32"/>
          <w:szCs w:val="32"/>
          <w:highlight w:val="none"/>
          <w:u w:val="none"/>
        </w:rPr>
        <w:t>实守信、公平竞争，维护市场秩序，履行法定义务，承担社会责任。</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i w:val="0"/>
          <w:iCs w:val="0"/>
          <w:color w:val="auto"/>
          <w:sz w:val="32"/>
          <w:szCs w:val="32"/>
          <w:highlight w:val="none"/>
          <w:u w:val="none"/>
          <w:shd w:val="clear" w:color="auto" w:fill="FFFFFF"/>
          <w:lang w:eastAsia="zh-CN"/>
        </w:rPr>
        <w:t>第五条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各级人民政府应当加强对优化营商环境工作的组织领导，统筹推进、督促落实优化营商环境工作，协调解决工作中遇到的重大问题。</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lang w:val="en-US" w:eastAsia="zh-CN"/>
        </w:rPr>
        <w:t>省人民政府发展改革部门是省优化营商环境工作的主管部门；地级以上市和</w:t>
      </w:r>
      <w:r>
        <w:rPr>
          <w:rFonts w:hint="eastAsia" w:ascii="宋体" w:hAnsi="宋体" w:eastAsia="仿宋_GB2312" w:cs="仿宋_GB2312"/>
          <w:color w:val="auto"/>
          <w:sz w:val="32"/>
          <w:szCs w:val="32"/>
          <w:highlight w:val="none"/>
        </w:rPr>
        <w:t>县级人民政府应当明确负责组织、协调优化营商环境日常工作的主管部门。县级以上人民政府有关部门应当按照职责分工，做好优化营商环境的相关工作。</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i w:val="0"/>
          <w:iCs w:val="0"/>
          <w:color w:val="auto"/>
          <w:sz w:val="32"/>
          <w:szCs w:val="32"/>
          <w:highlight w:val="none"/>
          <w:u w:val="none"/>
          <w:shd w:val="clear" w:color="auto" w:fill="FFFFFF"/>
          <w:lang w:eastAsia="zh-CN"/>
        </w:rPr>
        <w:t>第六条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各级人民政府及其有关部门</w:t>
      </w:r>
      <w:r>
        <w:rPr>
          <w:rFonts w:hint="eastAsia" w:ascii="宋体" w:hAnsi="宋体" w:eastAsia="仿宋_GB2312" w:cs="仿宋_GB2312"/>
          <w:color w:val="auto"/>
          <w:sz w:val="32"/>
          <w:szCs w:val="32"/>
          <w:highlight w:val="none"/>
          <w:lang w:eastAsia="zh-CN"/>
        </w:rPr>
        <w:t>应当及时总结、复制、推广行之有效的经验和做法，并</w:t>
      </w:r>
      <w:r>
        <w:rPr>
          <w:rFonts w:hint="eastAsia" w:ascii="宋体" w:hAnsi="宋体" w:eastAsia="仿宋_GB2312" w:cs="仿宋_GB2312"/>
          <w:color w:val="auto"/>
          <w:sz w:val="32"/>
          <w:szCs w:val="32"/>
          <w:highlight w:val="none"/>
        </w:rPr>
        <w:t>结</w:t>
      </w:r>
      <w:r>
        <w:rPr>
          <w:rFonts w:hint="eastAsia" w:ascii="宋体" w:hAnsi="宋体" w:eastAsia="仿宋_GB2312" w:cs="仿宋_GB2312"/>
          <w:color w:val="auto"/>
          <w:sz w:val="32"/>
          <w:szCs w:val="32"/>
          <w:highlight w:val="none"/>
          <w:lang w:eastAsia="zh-CN"/>
        </w:rPr>
        <w:t>合本地实际，在法治框架内积极探索原创性、差异化的优化营商环境改革措施；对探索中出现失误或者偏差，符合规定条件的，可以予以免责或者减轻责任。</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i w:val="0"/>
          <w:iCs w:val="0"/>
          <w:color w:val="auto"/>
          <w:sz w:val="32"/>
          <w:szCs w:val="32"/>
          <w:highlight w:val="none"/>
          <w:u w:val="none"/>
          <w:shd w:val="clear" w:color="auto" w:fill="FFFFFF"/>
          <w:lang w:eastAsia="zh-CN"/>
        </w:rPr>
        <w:t>第七条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省人民政府营商环境主管部门应当</w:t>
      </w:r>
      <w:r>
        <w:rPr>
          <w:rFonts w:hint="eastAsia" w:ascii="宋体" w:hAnsi="宋体" w:eastAsia="仿宋_GB2312" w:cs="仿宋_GB2312"/>
          <w:color w:val="auto"/>
          <w:sz w:val="32"/>
          <w:szCs w:val="32"/>
          <w:highlight w:val="none"/>
          <w:lang w:eastAsia="zh-CN"/>
        </w:rPr>
        <w:t>完善</w:t>
      </w:r>
      <w:r>
        <w:rPr>
          <w:rFonts w:hint="eastAsia" w:ascii="宋体" w:hAnsi="宋体" w:eastAsia="仿宋_GB2312" w:cs="仿宋_GB2312"/>
          <w:color w:val="auto"/>
          <w:sz w:val="32"/>
          <w:szCs w:val="32"/>
          <w:highlight w:val="none"/>
        </w:rPr>
        <w:t>以市场主体和社会公众满意度为导向的营商环境评价机制，</w:t>
      </w:r>
      <w:r>
        <w:rPr>
          <w:rFonts w:hint="eastAsia" w:ascii="宋体" w:hAnsi="宋体" w:eastAsia="仿宋_GB2312" w:cs="仿宋_GB2312"/>
          <w:color w:val="auto"/>
          <w:sz w:val="32"/>
          <w:szCs w:val="32"/>
          <w:highlight w:val="none"/>
          <w:lang w:eastAsia="zh-CN"/>
        </w:rPr>
        <w:t>采取公开信息分析、问卷调查、暗访和直接听取市场主体和</w:t>
      </w:r>
      <w:r>
        <w:rPr>
          <w:rFonts w:hint="eastAsia" w:ascii="宋体" w:hAnsi="宋体" w:eastAsia="仿宋_GB2312" w:cs="仿宋_GB2312"/>
          <w:color w:val="auto"/>
          <w:sz w:val="32"/>
          <w:szCs w:val="32"/>
          <w:highlight w:val="none"/>
          <w:lang w:val="en-US" w:eastAsia="zh-CN"/>
        </w:rPr>
        <w:t>行业</w:t>
      </w:r>
      <w:r>
        <w:rPr>
          <w:rFonts w:hint="eastAsia" w:ascii="宋体" w:hAnsi="宋体" w:eastAsia="仿宋_GB2312" w:cs="仿宋_GB2312"/>
          <w:color w:val="auto"/>
          <w:sz w:val="32"/>
          <w:szCs w:val="32"/>
          <w:highlight w:val="none"/>
          <w:lang w:eastAsia="zh-CN"/>
        </w:rPr>
        <w:t>协会商会意见建议等方式，</w:t>
      </w:r>
      <w:r>
        <w:rPr>
          <w:rFonts w:hint="eastAsia" w:ascii="宋体" w:hAnsi="宋体" w:eastAsia="仿宋_GB2312" w:cs="仿宋_GB2312"/>
          <w:color w:val="auto"/>
          <w:sz w:val="32"/>
          <w:szCs w:val="32"/>
          <w:highlight w:val="none"/>
          <w:lang w:val="en-US" w:eastAsia="zh-CN"/>
        </w:rPr>
        <w:t>按照国家和省的营商环境评价指标</w:t>
      </w:r>
      <w:r>
        <w:rPr>
          <w:rFonts w:hint="eastAsia" w:ascii="宋体" w:hAnsi="宋体" w:eastAsia="仿宋_GB2312" w:cs="仿宋_GB2312"/>
          <w:color w:val="auto"/>
          <w:sz w:val="32"/>
          <w:szCs w:val="32"/>
          <w:highlight w:val="none"/>
        </w:rPr>
        <w:t>定期开展营商环境评价</w:t>
      </w:r>
      <w:r>
        <w:rPr>
          <w:rFonts w:hint="eastAsia" w:ascii="宋体" w:hAnsi="宋体" w:eastAsia="仿宋_GB2312" w:cs="仿宋_GB2312"/>
          <w:color w:val="auto"/>
          <w:sz w:val="32"/>
          <w:szCs w:val="32"/>
          <w:highlight w:val="none"/>
          <w:lang w:eastAsia="zh-CN"/>
        </w:rPr>
        <w:t>，并向社会公布评价结果</w:t>
      </w:r>
      <w:r>
        <w:rPr>
          <w:rFonts w:hint="eastAsia" w:ascii="宋体" w:hAnsi="宋体" w:eastAsia="仿宋_GB2312" w:cs="仿宋_GB2312"/>
          <w:color w:val="auto"/>
          <w:sz w:val="32"/>
          <w:szCs w:val="32"/>
          <w:highlight w:val="none"/>
        </w:rPr>
        <w:t>。</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eastAsia="zh-CN"/>
        </w:rPr>
      </w:pPr>
      <w:r>
        <w:rPr>
          <w:rFonts w:hint="eastAsia" w:ascii="宋体" w:hAnsi="宋体" w:eastAsia="仿宋_GB2312" w:cs="仿宋_GB2312"/>
          <w:color w:val="auto"/>
          <w:sz w:val="32"/>
          <w:szCs w:val="32"/>
          <w:highlight w:val="none"/>
        </w:rPr>
        <w:t>省人民政府营商环境主管部门</w:t>
      </w:r>
      <w:r>
        <w:rPr>
          <w:rFonts w:hint="eastAsia" w:ascii="宋体" w:hAnsi="宋体" w:eastAsia="仿宋_GB2312" w:cs="仿宋_GB2312"/>
          <w:color w:val="auto"/>
          <w:sz w:val="32"/>
          <w:szCs w:val="32"/>
          <w:highlight w:val="none"/>
          <w:lang w:eastAsia="zh-CN"/>
        </w:rPr>
        <w:t>可以委托符合条件的第三方机构对营商环境状况进行评价。</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val="en-US" w:eastAsia="zh-CN"/>
        </w:rPr>
      </w:pPr>
      <w:r>
        <w:rPr>
          <w:rFonts w:hint="eastAsia" w:ascii="宋体" w:hAnsi="宋体" w:eastAsia="仿宋_GB2312" w:cs="仿宋_GB2312"/>
          <w:color w:val="auto"/>
          <w:sz w:val="32"/>
          <w:szCs w:val="32"/>
          <w:highlight w:val="none"/>
          <w:lang w:val="en-US" w:eastAsia="zh-CN"/>
        </w:rPr>
        <w:t>省人民政府有关部门应当规范营商环境评价工作，加强对其委托或者隶属的研究机构、社会团体等评价机构的监督，撤销没有实质作用的评价活动，防止多头评价、重复评价。任何单位不得利用营商环境评价谋取利益，不得冒用国家机关的名义开展评价或者发布评价结果。</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lang w:eastAsia="zh-CN"/>
        </w:rPr>
        <w:t>县</w:t>
      </w:r>
      <w:r>
        <w:rPr>
          <w:rFonts w:hint="eastAsia" w:ascii="宋体" w:hAnsi="宋体" w:eastAsia="仿宋_GB2312" w:cs="仿宋_GB2312"/>
          <w:color w:val="auto"/>
          <w:sz w:val="32"/>
          <w:szCs w:val="32"/>
          <w:highlight w:val="none"/>
        </w:rPr>
        <w:t>级</w:t>
      </w:r>
      <w:r>
        <w:rPr>
          <w:rFonts w:hint="eastAsia" w:ascii="宋体" w:hAnsi="宋体" w:eastAsia="仿宋_GB2312" w:cs="仿宋_GB2312"/>
          <w:color w:val="auto"/>
          <w:sz w:val="32"/>
          <w:szCs w:val="32"/>
          <w:highlight w:val="none"/>
          <w:lang w:eastAsia="zh-CN"/>
        </w:rPr>
        <w:t>以上</w:t>
      </w:r>
      <w:r>
        <w:rPr>
          <w:rFonts w:hint="eastAsia" w:ascii="宋体" w:hAnsi="宋体" w:eastAsia="仿宋_GB2312" w:cs="仿宋_GB2312"/>
          <w:color w:val="auto"/>
          <w:sz w:val="32"/>
          <w:szCs w:val="32"/>
          <w:highlight w:val="none"/>
        </w:rPr>
        <w:t>人民政府及其有关部门应当结合本地实际，参照营商环境评价结果，完善优化营商环境的政策措施。</w:t>
      </w:r>
    </w:p>
    <w:p>
      <w:pPr>
        <w:pStyle w:val="30"/>
        <w:keepNext w:val="0"/>
        <w:keepLines w:val="0"/>
        <w:pageBreakBefore w:val="0"/>
        <w:widowControl w:val="0"/>
        <w:numPr>
          <w:ilvl w:val="0"/>
          <w:numId w:val="0"/>
        </w:numPr>
        <w:kinsoku/>
        <w:wordWrap/>
        <w:overflowPunct w:val="0"/>
        <w:topLinePunct w:val="0"/>
        <w:autoSpaceDE/>
        <w:autoSpaceDN/>
        <w:bidi w:val="0"/>
        <w:adjustRightInd w:val="0"/>
        <w:spacing w:beforeLines="0" w:beforeAutospacing="0" w:afterLines="0" w:afterAutospacing="0" w:line="590" w:lineRule="exact"/>
        <w:ind w:right="0" w:rightChars="0" w:firstLine="632" w:firstLineChars="200"/>
        <w:jc w:val="both"/>
        <w:textAlignment w:val="auto"/>
        <w:outlineLvl w:val="9"/>
        <w:rPr>
          <w:rFonts w:hint="eastAsia" w:ascii="宋体" w:hAnsi="宋体" w:eastAsia="仿宋_GB2312" w:cs="仿宋_GB2312"/>
          <w:color w:val="auto"/>
          <w:kern w:val="2"/>
          <w:sz w:val="32"/>
          <w:szCs w:val="32"/>
          <w:highlight w:val="none"/>
          <w:lang w:val="en-US" w:eastAsia="zh-CN" w:bidi="ar-SA"/>
        </w:rPr>
      </w:pPr>
      <w:r>
        <w:rPr>
          <w:rFonts w:hint="eastAsia" w:ascii="宋体" w:hAnsi="宋体" w:eastAsia="黑体" w:cs="黑体"/>
          <w:color w:val="auto"/>
          <w:sz w:val="32"/>
          <w:szCs w:val="32"/>
          <w:highlight w:val="none"/>
          <w:lang w:val="en-US" w:eastAsia="zh-CN" w:bidi="ar-SA"/>
        </w:rPr>
        <w:t>第</w:t>
      </w:r>
      <w:r>
        <w:rPr>
          <w:rFonts w:hint="eastAsia" w:ascii="宋体" w:hAnsi="宋体" w:eastAsia="黑体" w:cs="黑体"/>
          <w:i w:val="0"/>
          <w:iCs w:val="0"/>
          <w:color w:val="auto"/>
          <w:sz w:val="32"/>
          <w:szCs w:val="32"/>
          <w:highlight w:val="none"/>
          <w:u w:val="none"/>
          <w:shd w:val="clear" w:color="auto" w:fill="FFFFFF"/>
          <w:lang w:val="en-US" w:eastAsia="zh-CN" w:bidi="ar-SA"/>
        </w:rPr>
        <w:t>八</w:t>
      </w:r>
      <w:r>
        <w:rPr>
          <w:rFonts w:hint="eastAsia" w:ascii="宋体" w:hAnsi="宋体" w:eastAsia="黑体" w:cs="黑体"/>
          <w:color w:val="auto"/>
          <w:sz w:val="32"/>
          <w:szCs w:val="32"/>
          <w:highlight w:val="none"/>
          <w:lang w:val="en-US" w:eastAsia="zh-CN" w:bidi="ar-SA"/>
        </w:rPr>
        <w:t>条</w:t>
      </w:r>
      <w:r>
        <w:rPr>
          <w:rFonts w:hint="eastAsia" w:ascii="宋体" w:hAnsi="宋体" w:eastAsia="仿宋_GB2312" w:cs="仿宋_GB2312"/>
          <w:color w:val="auto"/>
          <w:kern w:val="2"/>
          <w:sz w:val="32"/>
          <w:szCs w:val="32"/>
          <w:highlight w:val="none"/>
          <w:lang w:val="en-US" w:eastAsia="zh-CN" w:bidi="ar-SA"/>
        </w:rPr>
        <w:t xml:space="preserve">  加强与香港、澳门特别行政区在优化营商环境方面的交流合作，推动在投资和贸易、市场准入、标准认定、产权保护、政务服务、法律服务等方面实现规则衔接和机制对接，促进各类要素跨境便捷流动和优化配置。</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jc w:val="center"/>
        <w:textAlignment w:val="auto"/>
        <w:outlineLvl w:val="9"/>
        <w:rPr>
          <w:rFonts w:hint="eastAsia" w:ascii="宋体" w:hAnsi="宋体" w:eastAsia="仿宋_GB2312" w:cs="仿宋_GB2312"/>
          <w:color w:val="auto"/>
          <w:sz w:val="32"/>
          <w:szCs w:val="32"/>
          <w:highlight w:val="none"/>
        </w:rPr>
      </w:pP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jc w:val="center"/>
        <w:textAlignment w:val="auto"/>
        <w:outlineLvl w:val="9"/>
        <w:rPr>
          <w:rFonts w:hint="eastAsia" w:ascii="宋体" w:hAnsi="宋体" w:eastAsia="黑体" w:cs="黑体"/>
          <w:color w:val="auto"/>
          <w:sz w:val="32"/>
          <w:szCs w:val="32"/>
          <w:highlight w:val="none"/>
        </w:rPr>
      </w:pPr>
      <w:r>
        <w:rPr>
          <w:rFonts w:hint="eastAsia" w:ascii="宋体" w:hAnsi="宋体" w:eastAsia="黑体" w:cs="黑体"/>
          <w:color w:val="auto"/>
          <w:sz w:val="32"/>
          <w:szCs w:val="32"/>
          <w:highlight w:val="none"/>
        </w:rPr>
        <w:t>第二章</w:t>
      </w:r>
      <w:r>
        <w:rPr>
          <w:rFonts w:hint="eastAsia" w:ascii="宋体" w:hAnsi="宋体" w:eastAsia="黑体" w:cs="黑体"/>
          <w:color w:val="auto"/>
          <w:sz w:val="32"/>
          <w:szCs w:val="32"/>
          <w:highlight w:val="none"/>
          <w:lang w:val="en-US" w:eastAsia="zh-CN"/>
        </w:rPr>
        <w:t xml:space="preserve">  </w:t>
      </w:r>
      <w:r>
        <w:rPr>
          <w:rFonts w:hint="eastAsia" w:ascii="宋体" w:hAnsi="宋体" w:eastAsia="黑体" w:cs="黑体"/>
          <w:color w:val="auto"/>
          <w:sz w:val="32"/>
          <w:szCs w:val="32"/>
          <w:highlight w:val="none"/>
        </w:rPr>
        <w:t>市场和要素环境</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left"/>
        <w:textAlignment w:val="auto"/>
        <w:outlineLvl w:val="9"/>
        <w:rPr>
          <w:rFonts w:hint="eastAsia" w:ascii="宋体" w:hAnsi="宋体" w:eastAsia="仿宋_GB2312" w:cs="仿宋_GB2312"/>
          <w:color w:val="auto"/>
          <w:sz w:val="32"/>
          <w:szCs w:val="32"/>
          <w:highlight w:val="none"/>
        </w:rPr>
      </w:pP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color w:val="auto"/>
          <w:sz w:val="32"/>
          <w:szCs w:val="32"/>
          <w:highlight w:val="none"/>
        </w:rPr>
        <w:t>第</w:t>
      </w:r>
      <w:r>
        <w:rPr>
          <w:rFonts w:hint="eastAsia" w:ascii="宋体" w:hAnsi="宋体" w:eastAsia="黑体" w:cs="黑体"/>
          <w:color w:val="auto"/>
          <w:sz w:val="32"/>
          <w:szCs w:val="32"/>
          <w:highlight w:val="none"/>
          <w:lang w:eastAsia="zh-CN"/>
        </w:rPr>
        <w:t>九</w:t>
      </w:r>
      <w:r>
        <w:rPr>
          <w:rFonts w:hint="eastAsia" w:ascii="宋体" w:hAnsi="宋体" w:eastAsia="黑体" w:cs="黑体"/>
          <w:color w:val="auto"/>
          <w:sz w:val="32"/>
          <w:szCs w:val="32"/>
          <w:highlight w:val="none"/>
        </w:rPr>
        <w:t>条</w:t>
      </w:r>
      <w:r>
        <w:rPr>
          <w:rFonts w:hint="eastAsia" w:ascii="宋体" w:hAnsi="宋体" w:eastAsia="仿宋_GB2312" w:cs="仿宋_GB2312"/>
          <w:color w:val="auto"/>
          <w:sz w:val="32"/>
          <w:szCs w:val="32"/>
          <w:highlight w:val="none"/>
          <w:lang w:val="en-US" w:eastAsia="zh-CN"/>
        </w:rPr>
        <w:t xml:space="preserve">  各级人民政府及其有关部门应当</w:t>
      </w:r>
      <w:r>
        <w:rPr>
          <w:rFonts w:hint="eastAsia" w:ascii="宋体" w:hAnsi="宋体" w:eastAsia="仿宋_GB2312" w:cs="仿宋_GB2312"/>
          <w:color w:val="auto"/>
          <w:sz w:val="32"/>
          <w:szCs w:val="32"/>
          <w:highlight w:val="none"/>
        </w:rPr>
        <w:t>全面落实</w:t>
      </w:r>
      <w:r>
        <w:rPr>
          <w:rFonts w:hint="eastAsia" w:ascii="宋体" w:hAnsi="宋体" w:eastAsia="仿宋_GB2312" w:cs="仿宋_GB2312"/>
          <w:color w:val="auto"/>
          <w:sz w:val="32"/>
          <w:szCs w:val="32"/>
          <w:highlight w:val="none"/>
          <w:lang w:eastAsia="zh-CN"/>
        </w:rPr>
        <w:t>全国</w:t>
      </w:r>
      <w:r>
        <w:rPr>
          <w:rFonts w:hint="eastAsia" w:ascii="宋体" w:hAnsi="宋体" w:eastAsia="仿宋_GB2312" w:cs="仿宋_GB2312"/>
          <w:i w:val="0"/>
          <w:iCs w:val="0"/>
          <w:color w:val="auto"/>
          <w:sz w:val="32"/>
          <w:szCs w:val="32"/>
          <w:highlight w:val="none"/>
          <w:u w:val="none"/>
        </w:rPr>
        <w:t>统一</w:t>
      </w:r>
      <w:r>
        <w:rPr>
          <w:rFonts w:hint="eastAsia" w:ascii="宋体" w:hAnsi="宋体" w:eastAsia="仿宋_GB2312" w:cs="仿宋_GB2312"/>
          <w:color w:val="auto"/>
          <w:sz w:val="32"/>
          <w:szCs w:val="32"/>
          <w:highlight w:val="none"/>
        </w:rPr>
        <w:t>的市场准入负面清单制度</w:t>
      </w:r>
      <w:r>
        <w:rPr>
          <w:rFonts w:hint="eastAsia" w:ascii="宋体" w:hAnsi="宋体" w:eastAsia="仿宋_GB2312" w:cs="仿宋_GB2312"/>
          <w:color w:val="auto"/>
          <w:sz w:val="32"/>
          <w:szCs w:val="32"/>
          <w:highlight w:val="none"/>
          <w:lang w:eastAsia="zh-CN"/>
        </w:rPr>
        <w:t>，</w:t>
      </w:r>
      <w:r>
        <w:rPr>
          <w:rFonts w:hint="eastAsia" w:ascii="宋体" w:hAnsi="宋体" w:eastAsia="仿宋_GB2312" w:cs="仿宋_GB2312"/>
          <w:color w:val="auto"/>
          <w:sz w:val="32"/>
          <w:szCs w:val="32"/>
          <w:highlight w:val="none"/>
        </w:rPr>
        <w:t>不得另行制定市场准入性质的负面清单</w:t>
      </w:r>
      <w:r>
        <w:rPr>
          <w:rFonts w:hint="eastAsia" w:ascii="宋体" w:hAnsi="宋体" w:eastAsia="仿宋_GB2312" w:cs="仿宋_GB2312"/>
          <w:color w:val="auto"/>
          <w:sz w:val="32"/>
          <w:szCs w:val="32"/>
          <w:highlight w:val="none"/>
          <w:lang w:val="en-US" w:eastAsia="zh-CN"/>
        </w:rPr>
        <w:t>，不得在市场准入方面对市场主体的资质、资金、股比、人员、场所等设置不合理条件</w:t>
      </w:r>
      <w:r>
        <w:rPr>
          <w:rFonts w:hint="eastAsia" w:ascii="宋体" w:hAnsi="宋体" w:eastAsia="仿宋_GB2312" w:cs="仿宋_GB2312"/>
          <w:color w:val="auto"/>
          <w:sz w:val="32"/>
          <w:szCs w:val="32"/>
          <w:highlight w:val="none"/>
        </w:rPr>
        <w:t>。</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rPr>
        <w:t>县级以上人民政府及其有关部门应当建立适应市场准入负面清单管理的审批、监管等配套制度。</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val="en-US" w:eastAsia="zh-CN"/>
        </w:rPr>
      </w:pPr>
      <w:r>
        <w:rPr>
          <w:rFonts w:hint="eastAsia" w:ascii="宋体" w:hAnsi="宋体" w:eastAsia="仿宋_GB2312" w:cs="仿宋_GB2312"/>
          <w:color w:val="auto"/>
          <w:sz w:val="32"/>
          <w:szCs w:val="32"/>
          <w:highlight w:val="none"/>
          <w:lang w:eastAsia="zh-CN"/>
        </w:rPr>
        <w:t>推动</w:t>
      </w:r>
      <w:r>
        <w:rPr>
          <w:rFonts w:hint="eastAsia" w:ascii="宋体" w:hAnsi="宋体" w:eastAsia="仿宋_GB2312" w:cs="仿宋_GB2312"/>
          <w:color w:val="auto"/>
          <w:sz w:val="32"/>
          <w:szCs w:val="32"/>
          <w:highlight w:val="none"/>
        </w:rPr>
        <w:t>在符合</w:t>
      </w:r>
      <w:r>
        <w:rPr>
          <w:rFonts w:hint="eastAsia" w:ascii="宋体" w:hAnsi="宋体" w:eastAsia="仿宋_GB2312" w:cs="仿宋_GB2312"/>
          <w:color w:val="auto"/>
          <w:sz w:val="32"/>
          <w:szCs w:val="32"/>
          <w:highlight w:val="none"/>
          <w:lang w:eastAsia="zh-CN"/>
        </w:rPr>
        <w:t>国家规定</w:t>
      </w:r>
      <w:r>
        <w:rPr>
          <w:rFonts w:hint="eastAsia" w:ascii="宋体" w:hAnsi="宋体" w:eastAsia="仿宋_GB2312" w:cs="仿宋_GB2312"/>
          <w:color w:val="auto"/>
          <w:sz w:val="32"/>
          <w:szCs w:val="32"/>
          <w:highlight w:val="none"/>
        </w:rPr>
        <w:t>条件的地区试行放宽市场准入特别措施。</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i w:val="0"/>
          <w:iCs w:val="0"/>
          <w:color w:val="auto"/>
          <w:sz w:val="32"/>
          <w:szCs w:val="32"/>
          <w:highlight w:val="none"/>
          <w:u w:val="none"/>
        </w:rPr>
      </w:pPr>
      <w:r>
        <w:rPr>
          <w:rFonts w:hint="eastAsia" w:ascii="宋体" w:hAnsi="宋体" w:eastAsia="黑体" w:cs="黑体"/>
          <w:i w:val="0"/>
          <w:iCs w:val="0"/>
          <w:color w:val="auto"/>
          <w:sz w:val="32"/>
          <w:szCs w:val="32"/>
          <w:highlight w:val="none"/>
          <w:u w:val="none"/>
        </w:rPr>
        <w:t>第</w:t>
      </w:r>
      <w:r>
        <w:rPr>
          <w:rFonts w:hint="eastAsia" w:ascii="宋体" w:hAnsi="宋体" w:eastAsia="黑体" w:cs="黑体"/>
          <w:color w:val="auto"/>
          <w:sz w:val="32"/>
          <w:szCs w:val="32"/>
          <w:highlight w:val="none"/>
          <w:lang w:eastAsia="zh-CN"/>
        </w:rPr>
        <w:t>十</w:t>
      </w:r>
      <w:r>
        <w:rPr>
          <w:rFonts w:hint="eastAsia" w:ascii="宋体" w:hAnsi="宋体" w:eastAsia="黑体" w:cs="黑体"/>
          <w:i w:val="0"/>
          <w:iCs w:val="0"/>
          <w:color w:val="auto"/>
          <w:sz w:val="32"/>
          <w:szCs w:val="32"/>
          <w:highlight w:val="none"/>
          <w:u w:val="none"/>
        </w:rPr>
        <w:t>条</w:t>
      </w:r>
      <w:r>
        <w:rPr>
          <w:rFonts w:hint="eastAsia" w:ascii="宋体" w:hAnsi="宋体" w:eastAsia="仿宋_GB2312" w:cs="仿宋_GB2312"/>
          <w:i w:val="0"/>
          <w:iCs w:val="0"/>
          <w:color w:val="auto"/>
          <w:sz w:val="32"/>
          <w:szCs w:val="32"/>
          <w:highlight w:val="none"/>
          <w:u w:val="none"/>
          <w:lang w:val="en-US" w:eastAsia="zh-CN"/>
        </w:rPr>
        <w:t xml:space="preserve">  </w:t>
      </w:r>
      <w:r>
        <w:rPr>
          <w:rFonts w:hint="eastAsia" w:ascii="宋体" w:hAnsi="宋体" w:eastAsia="仿宋_GB2312" w:cs="仿宋_GB2312"/>
          <w:i w:val="0"/>
          <w:iCs w:val="0"/>
          <w:color w:val="auto"/>
          <w:sz w:val="32"/>
          <w:szCs w:val="32"/>
          <w:highlight w:val="none"/>
          <w:u w:val="none"/>
        </w:rPr>
        <w:t>各类市场主体依法平等获取和使用资金、技术、人力资源、数据、土地使用权及其他自然资源等各类生产要素</w:t>
      </w:r>
      <w:r>
        <w:rPr>
          <w:rFonts w:hint="eastAsia" w:ascii="宋体" w:hAnsi="宋体" w:eastAsia="仿宋_GB2312" w:cs="仿宋_GB2312"/>
          <w:i w:val="0"/>
          <w:iCs w:val="0"/>
          <w:color w:val="auto"/>
          <w:sz w:val="32"/>
          <w:szCs w:val="32"/>
          <w:highlight w:val="none"/>
          <w:u w:val="none"/>
          <w:lang w:eastAsia="zh-CN"/>
        </w:rPr>
        <w:t>和</w:t>
      </w:r>
      <w:r>
        <w:rPr>
          <w:rFonts w:hint="eastAsia" w:ascii="宋体" w:hAnsi="宋体" w:eastAsia="仿宋_GB2312" w:cs="仿宋_GB2312"/>
          <w:i w:val="0"/>
          <w:iCs w:val="0"/>
          <w:color w:val="auto"/>
          <w:sz w:val="32"/>
          <w:szCs w:val="32"/>
          <w:highlight w:val="none"/>
          <w:u w:val="none"/>
        </w:rPr>
        <w:t>公共服务资源，平等适用支持发展的政策措施。</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i w:val="0"/>
          <w:iCs w:val="0"/>
          <w:color w:val="auto"/>
          <w:sz w:val="32"/>
          <w:szCs w:val="32"/>
          <w:highlight w:val="none"/>
          <w:u w:val="none"/>
        </w:rPr>
      </w:pPr>
      <w:r>
        <w:rPr>
          <w:rFonts w:hint="eastAsia" w:ascii="宋体" w:hAnsi="宋体" w:eastAsia="仿宋_GB2312" w:cs="仿宋_GB2312"/>
          <w:i w:val="0"/>
          <w:iCs w:val="0"/>
          <w:color w:val="auto"/>
          <w:sz w:val="32"/>
          <w:szCs w:val="32"/>
          <w:highlight w:val="none"/>
          <w:u w:val="none"/>
        </w:rPr>
        <w:t>各级人民政府及其有关部门不得制定和实施歧视性政策或者设置隐性障碍。</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i w:val="0"/>
          <w:iCs w:val="0"/>
          <w:color w:val="auto"/>
          <w:sz w:val="32"/>
          <w:szCs w:val="32"/>
          <w:highlight w:val="none"/>
          <w:u w:val="none"/>
          <w:lang w:eastAsia="zh-CN"/>
        </w:rPr>
      </w:pPr>
      <w:r>
        <w:rPr>
          <w:rFonts w:hint="eastAsia" w:ascii="宋体" w:hAnsi="宋体" w:eastAsia="黑体" w:cs="黑体"/>
          <w:color w:val="auto"/>
          <w:sz w:val="32"/>
          <w:szCs w:val="32"/>
          <w:highlight w:val="none"/>
        </w:rPr>
        <w:t>第</w:t>
      </w:r>
      <w:r>
        <w:rPr>
          <w:rFonts w:hint="eastAsia" w:ascii="宋体" w:hAnsi="宋体" w:eastAsia="黑体" w:cs="黑体"/>
          <w:i w:val="0"/>
          <w:iCs w:val="0"/>
          <w:color w:val="auto"/>
          <w:sz w:val="32"/>
          <w:szCs w:val="32"/>
          <w:highlight w:val="none"/>
          <w:u w:val="none"/>
          <w:lang w:eastAsia="zh-CN"/>
        </w:rPr>
        <w:t>十一</w:t>
      </w:r>
      <w:r>
        <w:rPr>
          <w:rFonts w:hint="eastAsia" w:ascii="宋体" w:hAnsi="宋体" w:eastAsia="黑体" w:cs="黑体"/>
          <w:color w:val="auto"/>
          <w:sz w:val="32"/>
          <w:szCs w:val="32"/>
          <w:highlight w:val="none"/>
        </w:rPr>
        <w:t>条</w:t>
      </w:r>
      <w:r>
        <w:rPr>
          <w:rFonts w:hint="eastAsia" w:ascii="宋体" w:hAnsi="宋体" w:eastAsia="仿宋_GB2312" w:cs="仿宋_GB2312"/>
          <w:i w:val="0"/>
          <w:iCs w:val="0"/>
          <w:color w:val="auto"/>
          <w:sz w:val="32"/>
          <w:szCs w:val="32"/>
          <w:highlight w:val="none"/>
          <w:u w:val="none"/>
          <w:lang w:val="en-US" w:eastAsia="zh-CN"/>
        </w:rPr>
        <w:t xml:space="preserve">  </w:t>
      </w:r>
      <w:r>
        <w:rPr>
          <w:rFonts w:hint="eastAsia" w:ascii="宋体" w:hAnsi="宋体" w:eastAsia="仿宋_GB2312" w:cs="仿宋_GB2312"/>
          <w:i w:val="0"/>
          <w:iCs w:val="0"/>
          <w:color w:val="auto"/>
          <w:sz w:val="32"/>
          <w:szCs w:val="32"/>
          <w:highlight w:val="none"/>
          <w:u w:val="none"/>
        </w:rPr>
        <w:t>县级以上人民政府及其</w:t>
      </w:r>
      <w:r>
        <w:rPr>
          <w:rFonts w:hint="eastAsia" w:ascii="宋体" w:hAnsi="宋体" w:eastAsia="仿宋_GB2312" w:cs="仿宋_GB2312"/>
          <w:i w:val="0"/>
          <w:iCs w:val="0"/>
          <w:color w:val="auto"/>
          <w:sz w:val="32"/>
          <w:szCs w:val="32"/>
          <w:highlight w:val="none"/>
          <w:u w:val="none"/>
          <w:lang w:eastAsia="zh-CN"/>
        </w:rPr>
        <w:t>市场监管等</w:t>
      </w:r>
      <w:r>
        <w:rPr>
          <w:rFonts w:hint="eastAsia" w:ascii="宋体" w:hAnsi="宋体" w:eastAsia="仿宋_GB2312" w:cs="仿宋_GB2312"/>
          <w:i w:val="0"/>
          <w:iCs w:val="0"/>
          <w:color w:val="auto"/>
          <w:sz w:val="32"/>
          <w:szCs w:val="32"/>
          <w:highlight w:val="none"/>
          <w:u w:val="none"/>
        </w:rPr>
        <w:t>有关部门应当</w:t>
      </w:r>
      <w:r>
        <w:rPr>
          <w:rFonts w:hint="eastAsia" w:ascii="宋体" w:hAnsi="宋体" w:eastAsia="仿宋_GB2312" w:cs="仿宋_GB2312"/>
          <w:i w:val="0"/>
          <w:iCs w:val="0"/>
          <w:color w:val="auto"/>
          <w:sz w:val="32"/>
          <w:szCs w:val="32"/>
          <w:highlight w:val="none"/>
          <w:u w:val="none"/>
          <w:lang w:eastAsia="zh-CN"/>
        </w:rPr>
        <w:t>按照法定职责</w:t>
      </w:r>
      <w:r>
        <w:rPr>
          <w:rFonts w:hint="eastAsia" w:ascii="宋体" w:hAnsi="宋体" w:eastAsia="仿宋_GB2312" w:cs="仿宋_GB2312"/>
          <w:i w:val="0"/>
          <w:iCs w:val="0"/>
          <w:color w:val="auto"/>
          <w:sz w:val="32"/>
          <w:szCs w:val="32"/>
          <w:highlight w:val="none"/>
          <w:u w:val="none"/>
        </w:rPr>
        <w:t>加大反垄断和反不正当竞争执法力度，</w:t>
      </w:r>
      <w:r>
        <w:rPr>
          <w:rFonts w:hint="eastAsia" w:ascii="宋体" w:hAnsi="宋体" w:eastAsia="仿宋_GB2312" w:cs="仿宋_GB2312"/>
          <w:i w:val="0"/>
          <w:iCs w:val="0"/>
          <w:color w:val="auto"/>
          <w:sz w:val="32"/>
          <w:szCs w:val="32"/>
          <w:highlight w:val="none"/>
          <w:u w:val="none"/>
          <w:lang w:eastAsia="zh-CN"/>
        </w:rPr>
        <w:t>依法查处或者配合查处市场主体达成垄断协议、滥用市场支配地位等行为以及</w:t>
      </w:r>
      <w:r>
        <w:rPr>
          <w:rFonts w:hint="eastAsia" w:ascii="宋体" w:hAnsi="宋体" w:eastAsia="仿宋_GB2312" w:cs="仿宋_GB2312"/>
          <w:i w:val="0"/>
          <w:iCs w:val="0"/>
          <w:color w:val="auto"/>
          <w:sz w:val="32"/>
          <w:szCs w:val="32"/>
          <w:highlight w:val="none"/>
          <w:u w:val="none"/>
        </w:rPr>
        <w:t>行政主体滥用行政权力排除</w:t>
      </w:r>
      <w:r>
        <w:rPr>
          <w:rFonts w:hint="eastAsia" w:ascii="宋体" w:hAnsi="宋体" w:eastAsia="仿宋_GB2312" w:cs="仿宋_GB2312"/>
          <w:i w:val="0"/>
          <w:iCs w:val="0"/>
          <w:color w:val="auto"/>
          <w:sz w:val="32"/>
          <w:szCs w:val="32"/>
          <w:highlight w:val="none"/>
          <w:u w:val="none"/>
          <w:lang w:eastAsia="zh-CN"/>
        </w:rPr>
        <w:t>、</w:t>
      </w:r>
      <w:r>
        <w:rPr>
          <w:rFonts w:hint="eastAsia" w:ascii="宋体" w:hAnsi="宋体" w:eastAsia="仿宋_GB2312" w:cs="仿宋_GB2312"/>
          <w:i w:val="0"/>
          <w:iCs w:val="0"/>
          <w:color w:val="auto"/>
          <w:sz w:val="32"/>
          <w:szCs w:val="32"/>
          <w:highlight w:val="none"/>
          <w:u w:val="none"/>
        </w:rPr>
        <w:t>限制竞争</w:t>
      </w:r>
      <w:r>
        <w:rPr>
          <w:rFonts w:hint="eastAsia" w:ascii="宋体" w:hAnsi="宋体" w:eastAsia="仿宋_GB2312" w:cs="仿宋_GB2312"/>
          <w:i w:val="0"/>
          <w:iCs w:val="0"/>
          <w:color w:val="auto"/>
          <w:sz w:val="32"/>
          <w:szCs w:val="32"/>
          <w:highlight w:val="none"/>
          <w:u w:val="none"/>
          <w:lang w:eastAsia="zh-CN"/>
        </w:rPr>
        <w:t>等行为。</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lang w:eastAsia="zh-CN"/>
        </w:rPr>
        <w:t>县</w:t>
      </w:r>
      <w:r>
        <w:rPr>
          <w:rFonts w:hint="eastAsia" w:ascii="宋体" w:hAnsi="宋体" w:eastAsia="仿宋_GB2312" w:cs="仿宋_GB2312"/>
          <w:color w:val="auto"/>
          <w:sz w:val="32"/>
          <w:szCs w:val="32"/>
          <w:highlight w:val="none"/>
        </w:rPr>
        <w:t>级以上人民政府及其</w:t>
      </w:r>
      <w:r>
        <w:rPr>
          <w:rFonts w:hint="eastAsia" w:ascii="宋体" w:hAnsi="宋体" w:eastAsia="仿宋_GB2312" w:cs="仿宋_GB2312"/>
          <w:color w:val="auto"/>
          <w:sz w:val="32"/>
          <w:szCs w:val="32"/>
          <w:highlight w:val="none"/>
          <w:lang w:eastAsia="zh-CN"/>
        </w:rPr>
        <w:t>市场监管等</w:t>
      </w:r>
      <w:r>
        <w:rPr>
          <w:rFonts w:hint="eastAsia" w:ascii="宋体" w:hAnsi="宋体" w:eastAsia="仿宋_GB2312" w:cs="仿宋_GB2312"/>
          <w:color w:val="auto"/>
          <w:sz w:val="32"/>
          <w:szCs w:val="32"/>
          <w:highlight w:val="none"/>
        </w:rPr>
        <w:t>有关部门应当加强平台经济、共享经济等新业态领域</w:t>
      </w:r>
      <w:r>
        <w:rPr>
          <w:rFonts w:hint="eastAsia" w:ascii="宋体" w:hAnsi="宋体" w:eastAsia="仿宋_GB2312" w:cs="仿宋_GB2312"/>
          <w:color w:val="auto"/>
          <w:sz w:val="32"/>
          <w:szCs w:val="32"/>
          <w:highlight w:val="none"/>
          <w:lang w:eastAsia="zh-CN"/>
        </w:rPr>
        <w:t>反垄断和反不正当竞争规制，依法查处</w:t>
      </w:r>
      <w:r>
        <w:rPr>
          <w:rFonts w:hint="eastAsia" w:ascii="宋体" w:hAnsi="宋体" w:eastAsia="仿宋_GB2312" w:cs="仿宋_GB2312"/>
          <w:color w:val="auto"/>
          <w:sz w:val="32"/>
          <w:szCs w:val="32"/>
          <w:highlight w:val="none"/>
        </w:rPr>
        <w:t>新型网络不正当竞争行为。</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i w:val="0"/>
          <w:iCs w:val="0"/>
          <w:color w:val="auto"/>
          <w:sz w:val="32"/>
          <w:szCs w:val="32"/>
          <w:highlight w:val="none"/>
          <w:u w:val="none"/>
        </w:rPr>
        <w:t>第</w:t>
      </w:r>
      <w:r>
        <w:rPr>
          <w:rFonts w:hint="eastAsia" w:ascii="宋体" w:hAnsi="宋体" w:eastAsia="黑体" w:cs="黑体"/>
          <w:i w:val="0"/>
          <w:iCs w:val="0"/>
          <w:color w:val="auto"/>
          <w:sz w:val="32"/>
          <w:szCs w:val="32"/>
          <w:highlight w:val="none"/>
          <w:u w:val="none"/>
          <w:lang w:eastAsia="zh-CN"/>
        </w:rPr>
        <w:t>十二</w:t>
      </w:r>
      <w:r>
        <w:rPr>
          <w:rFonts w:hint="eastAsia" w:ascii="宋体" w:hAnsi="宋体" w:eastAsia="黑体" w:cs="黑体"/>
          <w:i w:val="0"/>
          <w:iCs w:val="0"/>
          <w:color w:val="auto"/>
          <w:sz w:val="32"/>
          <w:szCs w:val="32"/>
          <w:highlight w:val="none"/>
          <w:u w:val="none"/>
        </w:rPr>
        <w:t>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lang w:eastAsia="zh-CN"/>
        </w:rPr>
        <w:t>市场主体</w:t>
      </w:r>
      <w:r>
        <w:rPr>
          <w:rFonts w:hint="eastAsia" w:ascii="宋体" w:hAnsi="宋体" w:eastAsia="仿宋_GB2312" w:cs="仿宋_GB2312"/>
          <w:color w:val="auto"/>
          <w:sz w:val="32"/>
          <w:szCs w:val="32"/>
          <w:highlight w:val="none"/>
        </w:rPr>
        <w:t>登记机关及有关部门应当优化</w:t>
      </w:r>
      <w:r>
        <w:rPr>
          <w:rFonts w:hint="eastAsia" w:ascii="宋体" w:hAnsi="宋体" w:eastAsia="仿宋_GB2312" w:cs="仿宋_GB2312"/>
          <w:color w:val="auto"/>
          <w:sz w:val="32"/>
          <w:szCs w:val="32"/>
          <w:highlight w:val="none"/>
          <w:lang w:val="en-US" w:eastAsia="zh-CN"/>
        </w:rPr>
        <w:t>市场主体设立登记的</w:t>
      </w:r>
      <w:r>
        <w:rPr>
          <w:rFonts w:hint="eastAsia" w:ascii="宋体" w:hAnsi="宋体" w:eastAsia="仿宋_GB2312" w:cs="仿宋_GB2312"/>
          <w:color w:val="auto"/>
          <w:sz w:val="32"/>
          <w:szCs w:val="32"/>
          <w:highlight w:val="none"/>
        </w:rPr>
        <w:t>服务流程，设</w:t>
      </w:r>
      <w:r>
        <w:rPr>
          <w:rFonts w:hint="eastAsia" w:ascii="宋体" w:hAnsi="宋体" w:eastAsia="仿宋_GB2312" w:cs="仿宋_GB2312"/>
          <w:color w:val="auto"/>
          <w:sz w:val="32"/>
          <w:szCs w:val="32"/>
          <w:highlight w:val="none"/>
          <w:lang w:val="en-US" w:eastAsia="zh-CN"/>
        </w:rPr>
        <w:t>置市场主体登记</w:t>
      </w:r>
      <w:r>
        <w:rPr>
          <w:rFonts w:hint="eastAsia" w:ascii="宋体" w:hAnsi="宋体" w:eastAsia="仿宋_GB2312" w:cs="仿宋_GB2312"/>
          <w:color w:val="auto"/>
          <w:sz w:val="32"/>
          <w:szCs w:val="32"/>
          <w:highlight w:val="none"/>
        </w:rPr>
        <w:t>综合服务窗口，实现一次性申请办理营业执照、公章刻制、发票申领、社保登记、住房公积金缴存登记、银行预约开户等业务，一次性领取营业执照、印章、发票、税控设备等。</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20" w:firstLineChars="200"/>
        <w:jc w:val="both"/>
        <w:textAlignment w:val="auto"/>
        <w:outlineLvl w:val="9"/>
        <w:rPr>
          <w:rFonts w:hint="eastAsia" w:ascii="宋体" w:hAnsi="宋体" w:eastAsia="仿宋_GB2312" w:cs="仿宋_GB2312"/>
          <w:color w:val="auto"/>
          <w:spacing w:val="-3"/>
          <w:sz w:val="32"/>
          <w:szCs w:val="32"/>
          <w:highlight w:val="none"/>
          <w:lang w:eastAsia="zh-CN"/>
        </w:rPr>
      </w:pPr>
      <w:r>
        <w:rPr>
          <w:rFonts w:hint="eastAsia" w:ascii="宋体" w:hAnsi="宋体" w:eastAsia="仿宋_GB2312" w:cs="仿宋_GB2312"/>
          <w:color w:val="auto"/>
          <w:spacing w:val="-3"/>
          <w:sz w:val="32"/>
          <w:szCs w:val="32"/>
          <w:highlight w:val="none"/>
          <w:lang w:eastAsia="zh-CN"/>
        </w:rPr>
        <w:t>市场主体登记机关及有关部门应当推行市场主体设立登记的全程网上办理，依托网上政务服务平台实现</w:t>
      </w:r>
      <w:r>
        <w:rPr>
          <w:rFonts w:hint="eastAsia" w:ascii="宋体" w:hAnsi="宋体" w:eastAsia="仿宋_GB2312" w:cs="仿宋_GB2312"/>
          <w:color w:val="auto"/>
          <w:spacing w:val="-3"/>
          <w:sz w:val="32"/>
          <w:szCs w:val="32"/>
          <w:highlight w:val="none"/>
          <w:lang w:val="en-US" w:eastAsia="zh-CN"/>
        </w:rPr>
        <w:t>在线填报、审批、发证</w:t>
      </w:r>
      <w:r>
        <w:rPr>
          <w:rFonts w:hint="eastAsia" w:ascii="宋体" w:hAnsi="宋体" w:eastAsia="仿宋_GB2312" w:cs="仿宋_GB2312"/>
          <w:color w:val="auto"/>
          <w:spacing w:val="-3"/>
          <w:sz w:val="32"/>
          <w:szCs w:val="32"/>
          <w:highlight w:val="none"/>
          <w:lang w:eastAsia="zh-CN"/>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i w:val="0"/>
          <w:iCs w:val="0"/>
          <w:color w:val="auto"/>
          <w:sz w:val="32"/>
          <w:szCs w:val="32"/>
          <w:highlight w:val="none"/>
          <w:u w:val="none"/>
        </w:rPr>
        <w:t>第</w:t>
      </w:r>
      <w:r>
        <w:rPr>
          <w:rFonts w:hint="eastAsia" w:ascii="宋体" w:hAnsi="宋体" w:eastAsia="黑体" w:cs="黑体"/>
          <w:i w:val="0"/>
          <w:iCs w:val="0"/>
          <w:color w:val="auto"/>
          <w:sz w:val="32"/>
          <w:szCs w:val="32"/>
          <w:highlight w:val="none"/>
          <w:u w:val="none"/>
          <w:lang w:eastAsia="zh-CN"/>
        </w:rPr>
        <w:t>十三</w:t>
      </w:r>
      <w:r>
        <w:rPr>
          <w:rFonts w:hint="eastAsia" w:ascii="宋体" w:hAnsi="宋体" w:eastAsia="黑体" w:cs="黑体"/>
          <w:i w:val="0"/>
          <w:iCs w:val="0"/>
          <w:color w:val="auto"/>
          <w:sz w:val="32"/>
          <w:szCs w:val="32"/>
          <w:highlight w:val="none"/>
          <w:u w:val="none"/>
        </w:rPr>
        <w:t>条</w:t>
      </w:r>
      <w:r>
        <w:rPr>
          <w:rFonts w:hint="eastAsia" w:ascii="宋体" w:hAnsi="宋体" w:eastAsia="仿宋_GB2312" w:cs="仿宋_GB2312"/>
          <w:i w:val="0"/>
          <w:iCs w:val="0"/>
          <w:color w:val="auto"/>
          <w:sz w:val="32"/>
          <w:szCs w:val="32"/>
          <w:highlight w:val="none"/>
          <w:u w:val="none"/>
          <w:lang w:val="en-US" w:eastAsia="zh-CN"/>
        </w:rPr>
        <w:t xml:space="preserve">  </w:t>
      </w:r>
      <w:r>
        <w:rPr>
          <w:rFonts w:hint="eastAsia" w:ascii="宋体" w:hAnsi="宋体" w:eastAsia="仿宋_GB2312" w:cs="仿宋_GB2312"/>
          <w:i w:val="0"/>
          <w:iCs w:val="0"/>
          <w:color w:val="auto"/>
          <w:sz w:val="32"/>
          <w:szCs w:val="32"/>
          <w:highlight w:val="none"/>
          <w:u w:val="none"/>
        </w:rPr>
        <w:t>省人民政府应当对所有涉企经营许可事项建立清单管理制度，按照直接取消审批、审批改为备案、实行告知承诺、优化审批服务等方式</w:t>
      </w:r>
      <w:r>
        <w:rPr>
          <w:rFonts w:hint="eastAsia" w:ascii="宋体" w:hAnsi="宋体" w:eastAsia="仿宋_GB2312" w:cs="仿宋_GB2312"/>
          <w:i w:val="0"/>
          <w:iCs w:val="0"/>
          <w:color w:val="auto"/>
          <w:sz w:val="32"/>
          <w:szCs w:val="32"/>
          <w:highlight w:val="none"/>
          <w:u w:val="none"/>
          <w:lang w:eastAsia="zh-CN"/>
        </w:rPr>
        <w:t>进行</w:t>
      </w:r>
      <w:r>
        <w:rPr>
          <w:rFonts w:hint="eastAsia" w:ascii="宋体" w:hAnsi="宋体" w:eastAsia="仿宋_GB2312" w:cs="仿宋_GB2312"/>
          <w:i w:val="0"/>
          <w:iCs w:val="0"/>
          <w:color w:val="auto"/>
          <w:sz w:val="32"/>
          <w:szCs w:val="32"/>
          <w:highlight w:val="none"/>
          <w:u w:val="none"/>
        </w:rPr>
        <w:t>分类管理。除法律、行政法规规定的特定领域外，涉企经营许可事项不得作为企业登记</w:t>
      </w:r>
      <w:r>
        <w:rPr>
          <w:rFonts w:hint="eastAsia" w:ascii="宋体" w:hAnsi="宋体" w:eastAsia="仿宋_GB2312" w:cs="仿宋_GB2312"/>
          <w:color w:val="auto"/>
          <w:sz w:val="32"/>
          <w:szCs w:val="32"/>
          <w:highlight w:val="none"/>
        </w:rPr>
        <w:t>的前置条件。</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rPr>
        <w:t>在符合条件的行业推行涉企经营许可按照企业需求整合，企业办理营业执照时，可以同时申办经营涉及的多项许可事项。</w:t>
      </w:r>
      <w:r>
        <w:rPr>
          <w:rFonts w:hint="eastAsia" w:ascii="宋体" w:hAnsi="宋体" w:eastAsia="仿宋_GB2312" w:cs="仿宋_GB2312"/>
          <w:color w:val="auto"/>
          <w:sz w:val="32"/>
          <w:szCs w:val="32"/>
          <w:highlight w:val="none"/>
          <w:lang w:eastAsia="zh-CN"/>
        </w:rPr>
        <w:t>市场主体</w:t>
      </w:r>
      <w:r>
        <w:rPr>
          <w:rFonts w:hint="eastAsia" w:ascii="宋体" w:hAnsi="宋体" w:eastAsia="仿宋_GB2312" w:cs="仿宋_GB2312"/>
          <w:color w:val="auto"/>
          <w:sz w:val="32"/>
          <w:szCs w:val="32"/>
          <w:highlight w:val="none"/>
        </w:rPr>
        <w:t>登记机关及有关部门应当将各类许可证信息归集至营业执照，减少审批发证。</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i w:val="0"/>
          <w:iCs w:val="0"/>
          <w:color w:val="auto"/>
          <w:sz w:val="32"/>
          <w:szCs w:val="32"/>
          <w:highlight w:val="none"/>
          <w:u w:val="none"/>
        </w:rPr>
        <w:t>第</w:t>
      </w:r>
      <w:r>
        <w:rPr>
          <w:rFonts w:hint="eastAsia" w:ascii="宋体" w:hAnsi="宋体" w:eastAsia="黑体" w:cs="黑体"/>
          <w:i w:val="0"/>
          <w:iCs w:val="0"/>
          <w:color w:val="auto"/>
          <w:sz w:val="32"/>
          <w:szCs w:val="32"/>
          <w:highlight w:val="none"/>
          <w:u w:val="none"/>
          <w:lang w:val="en-US" w:eastAsia="zh-CN"/>
        </w:rPr>
        <w:t>十四</w:t>
      </w:r>
      <w:r>
        <w:rPr>
          <w:rFonts w:hint="eastAsia" w:ascii="宋体" w:hAnsi="宋体" w:eastAsia="黑体" w:cs="黑体"/>
          <w:i w:val="0"/>
          <w:iCs w:val="0"/>
          <w:color w:val="auto"/>
          <w:sz w:val="32"/>
          <w:szCs w:val="32"/>
          <w:highlight w:val="none"/>
          <w:u w:val="none"/>
        </w:rPr>
        <w:t>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市场主体登记的住所、经营场所及其确认的其他地址为纸质法律文书送达地址。</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rPr>
        <w:t>市场主体同意</w:t>
      </w:r>
      <w:r>
        <w:rPr>
          <w:rFonts w:hint="eastAsia" w:ascii="宋体" w:hAnsi="宋体" w:eastAsia="仿宋_GB2312" w:cs="仿宋_GB2312"/>
          <w:color w:val="auto"/>
          <w:sz w:val="32"/>
          <w:szCs w:val="32"/>
          <w:highlight w:val="none"/>
          <w:lang w:val="en-US" w:eastAsia="zh-CN"/>
        </w:rPr>
        <w:t>适</w:t>
      </w:r>
      <w:r>
        <w:rPr>
          <w:rFonts w:hint="eastAsia" w:ascii="宋体" w:hAnsi="宋体" w:eastAsia="仿宋_GB2312" w:cs="仿宋_GB2312"/>
          <w:color w:val="auto"/>
          <w:sz w:val="32"/>
          <w:szCs w:val="32"/>
          <w:highlight w:val="none"/>
        </w:rPr>
        <w:t>用电子送达方式</w:t>
      </w:r>
      <w:r>
        <w:rPr>
          <w:rFonts w:hint="eastAsia" w:ascii="宋体" w:hAnsi="宋体" w:eastAsia="仿宋_GB2312" w:cs="仿宋_GB2312"/>
          <w:color w:val="auto"/>
          <w:sz w:val="32"/>
          <w:szCs w:val="32"/>
          <w:highlight w:val="none"/>
          <w:lang w:eastAsia="zh-CN"/>
        </w:rPr>
        <w:t>并签订确认书</w:t>
      </w:r>
      <w:r>
        <w:rPr>
          <w:rFonts w:hint="eastAsia" w:ascii="宋体" w:hAnsi="宋体" w:eastAsia="仿宋_GB2312" w:cs="仿宋_GB2312"/>
          <w:color w:val="auto"/>
          <w:sz w:val="32"/>
          <w:szCs w:val="32"/>
          <w:highlight w:val="none"/>
        </w:rPr>
        <w:t>的，</w:t>
      </w:r>
      <w:r>
        <w:rPr>
          <w:rFonts w:hint="eastAsia" w:ascii="宋体" w:hAnsi="宋体" w:eastAsia="仿宋_GB2312" w:cs="仿宋_GB2312"/>
          <w:color w:val="auto"/>
          <w:sz w:val="32"/>
          <w:szCs w:val="32"/>
          <w:highlight w:val="none"/>
          <w:lang w:eastAsia="zh-CN"/>
        </w:rPr>
        <w:t>行政执法主体可以向市场主体送达电子法律文书。市场主体确认</w:t>
      </w:r>
      <w:r>
        <w:rPr>
          <w:rFonts w:hint="eastAsia" w:ascii="宋体" w:hAnsi="宋体" w:eastAsia="仿宋_GB2312" w:cs="仿宋_GB2312"/>
          <w:color w:val="auto"/>
          <w:sz w:val="32"/>
          <w:szCs w:val="32"/>
          <w:highlight w:val="none"/>
        </w:rPr>
        <w:t>的手机号码、电子邮箱、即时通讯账号等为电子法律文书送达地址，但法律、法规另有规定的除外。</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i w:val="0"/>
          <w:iCs w:val="0"/>
          <w:color w:val="auto"/>
          <w:sz w:val="32"/>
          <w:szCs w:val="32"/>
          <w:highlight w:val="none"/>
          <w:u w:val="none"/>
        </w:rPr>
        <w:t>第</w:t>
      </w:r>
      <w:r>
        <w:rPr>
          <w:rFonts w:hint="eastAsia" w:ascii="宋体" w:hAnsi="宋体" w:eastAsia="黑体" w:cs="黑体"/>
          <w:i w:val="0"/>
          <w:iCs w:val="0"/>
          <w:color w:val="auto"/>
          <w:sz w:val="32"/>
          <w:szCs w:val="32"/>
          <w:highlight w:val="none"/>
          <w:u w:val="none"/>
          <w:lang w:val="en-US" w:eastAsia="zh-CN"/>
        </w:rPr>
        <w:t>十五</w:t>
      </w:r>
      <w:r>
        <w:rPr>
          <w:rFonts w:hint="eastAsia" w:ascii="宋体" w:hAnsi="宋体" w:eastAsia="黑体" w:cs="黑体"/>
          <w:i w:val="0"/>
          <w:iCs w:val="0"/>
          <w:color w:val="auto"/>
          <w:sz w:val="32"/>
          <w:szCs w:val="32"/>
          <w:highlight w:val="none"/>
          <w:u w:val="none"/>
        </w:rPr>
        <w:t>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lang w:eastAsia="zh-CN"/>
        </w:rPr>
        <w:t>市场主体</w:t>
      </w:r>
      <w:r>
        <w:rPr>
          <w:rFonts w:hint="eastAsia" w:ascii="宋体" w:hAnsi="宋体" w:eastAsia="仿宋_GB2312" w:cs="仿宋_GB2312"/>
          <w:color w:val="auto"/>
          <w:sz w:val="32"/>
          <w:szCs w:val="32"/>
          <w:highlight w:val="none"/>
        </w:rPr>
        <w:t>登记机关及有关部门应当优化市场主体注销</w:t>
      </w:r>
      <w:r>
        <w:rPr>
          <w:rFonts w:hint="eastAsia" w:ascii="宋体" w:hAnsi="宋体" w:eastAsia="仿宋_GB2312" w:cs="仿宋_GB2312"/>
          <w:color w:val="auto"/>
          <w:sz w:val="32"/>
          <w:szCs w:val="32"/>
          <w:highlight w:val="none"/>
          <w:lang w:eastAsia="zh-CN"/>
        </w:rPr>
        <w:t>登记的</w:t>
      </w:r>
      <w:r>
        <w:rPr>
          <w:rFonts w:hint="eastAsia" w:ascii="宋体" w:hAnsi="宋体" w:eastAsia="仿宋_GB2312" w:cs="仿宋_GB2312"/>
          <w:color w:val="auto"/>
          <w:sz w:val="32"/>
          <w:szCs w:val="32"/>
          <w:highlight w:val="none"/>
        </w:rPr>
        <w:t>办理流程</w:t>
      </w:r>
      <w:r>
        <w:rPr>
          <w:rFonts w:hint="eastAsia" w:ascii="宋体" w:hAnsi="宋体" w:eastAsia="仿宋_GB2312" w:cs="仿宋_GB2312"/>
          <w:color w:val="auto"/>
          <w:sz w:val="32"/>
          <w:szCs w:val="32"/>
          <w:highlight w:val="none"/>
          <w:lang w:eastAsia="zh-CN"/>
        </w:rPr>
        <w:t>，规范办理时限，精简申请材料；</w:t>
      </w:r>
      <w:r>
        <w:rPr>
          <w:rFonts w:hint="eastAsia" w:ascii="宋体" w:hAnsi="宋体" w:eastAsia="仿宋_GB2312" w:cs="仿宋_GB2312"/>
          <w:color w:val="auto"/>
          <w:sz w:val="32"/>
          <w:szCs w:val="32"/>
          <w:highlight w:val="none"/>
        </w:rPr>
        <w:t>建立线上、线下注销服务专区，集中受理营业执照、税务、社会保险、海关等各类注销业务申请，一次办结注销相关事项。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outlineLvl w:val="9"/>
        <w:rPr>
          <w:rFonts w:hint="eastAsia" w:ascii="宋体" w:hAnsi="宋体" w:eastAsia="仿宋_GB2312" w:cs="仿宋_GB2312"/>
          <w:color w:val="auto"/>
          <w:sz w:val="32"/>
          <w:szCs w:val="32"/>
          <w:highlight w:val="none"/>
          <w:lang w:eastAsia="zh-CN"/>
        </w:rPr>
      </w:pPr>
      <w:r>
        <w:rPr>
          <w:rFonts w:hint="eastAsia" w:ascii="宋体" w:hAnsi="宋体" w:eastAsia="仿宋_GB2312" w:cs="仿宋_GB2312"/>
          <w:color w:val="auto"/>
          <w:sz w:val="32"/>
          <w:szCs w:val="32"/>
          <w:highlight w:val="none"/>
          <w:lang w:eastAsia="zh-CN"/>
        </w:rPr>
        <w:t>对符合条件的市场主体，市场主体登记机关可以按照简易程序办理注销登记。</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rPr>
        <w:t>企业办理注销登记时，应当清算并提交清算报告、清税证明等文件。企业申请税务注销后，税务机关未在</w:t>
      </w:r>
      <w:r>
        <w:rPr>
          <w:rFonts w:hint="eastAsia" w:ascii="宋体" w:hAnsi="宋体" w:eastAsia="仿宋_GB2312" w:cs="仿宋_GB2312"/>
          <w:color w:val="auto"/>
          <w:sz w:val="32"/>
          <w:szCs w:val="32"/>
          <w:highlight w:val="none"/>
          <w:lang w:eastAsia="zh-CN"/>
        </w:rPr>
        <w:t>十</w:t>
      </w:r>
      <w:r>
        <w:rPr>
          <w:rFonts w:hint="eastAsia" w:ascii="宋体" w:hAnsi="宋体" w:eastAsia="仿宋_GB2312" w:cs="仿宋_GB2312"/>
          <w:color w:val="auto"/>
          <w:sz w:val="32"/>
          <w:szCs w:val="32"/>
          <w:highlight w:val="none"/>
        </w:rPr>
        <w:t>个工作日内完成核查或者未将结果告知企业，企业全体投资人书面承诺对企业债务及税收清缴承担清偿责任的，免于提交清税证明。</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rPr>
        <w:t>支持有条件的地区探索依职权注销制度。</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i w:val="0"/>
          <w:iCs w:val="0"/>
          <w:color w:val="auto"/>
          <w:sz w:val="32"/>
          <w:szCs w:val="32"/>
          <w:highlight w:val="none"/>
          <w:u w:val="none"/>
        </w:rPr>
        <w:t>第</w:t>
      </w:r>
      <w:r>
        <w:rPr>
          <w:rFonts w:hint="eastAsia" w:ascii="宋体" w:hAnsi="宋体" w:eastAsia="黑体" w:cs="黑体"/>
          <w:i w:val="0"/>
          <w:iCs w:val="0"/>
          <w:color w:val="auto"/>
          <w:sz w:val="32"/>
          <w:szCs w:val="32"/>
          <w:highlight w:val="none"/>
          <w:u w:val="none"/>
          <w:lang w:val="en-US" w:eastAsia="zh-CN"/>
        </w:rPr>
        <w:t>十六</w:t>
      </w:r>
      <w:r>
        <w:rPr>
          <w:rFonts w:hint="eastAsia" w:ascii="宋体" w:hAnsi="宋体" w:eastAsia="黑体" w:cs="黑体"/>
          <w:i w:val="0"/>
          <w:iCs w:val="0"/>
          <w:color w:val="auto"/>
          <w:sz w:val="32"/>
          <w:szCs w:val="32"/>
          <w:highlight w:val="none"/>
          <w:u w:val="none"/>
        </w:rPr>
        <w:t>条</w:t>
      </w:r>
      <w:r>
        <w:rPr>
          <w:rFonts w:hint="eastAsia" w:ascii="宋体" w:hAnsi="宋体" w:eastAsia="仿宋_GB2312" w:cs="仿宋_GB2312"/>
          <w:color w:val="auto"/>
          <w:sz w:val="32"/>
          <w:szCs w:val="32"/>
          <w:highlight w:val="none"/>
          <w:lang w:val="en-US" w:eastAsia="zh-CN"/>
        </w:rPr>
        <w:t xml:space="preserve">  各级人民政府及其有关部门应当</w:t>
      </w:r>
      <w:r>
        <w:rPr>
          <w:rFonts w:hint="eastAsia" w:ascii="宋体" w:hAnsi="宋体" w:eastAsia="仿宋_GB2312" w:cs="仿宋_GB2312"/>
          <w:color w:val="auto"/>
          <w:sz w:val="32"/>
          <w:szCs w:val="32"/>
          <w:highlight w:val="none"/>
        </w:rPr>
        <w:t>依法保障各类市场主体平等参与政府采购和招标投标等公共资源交易活动，不得实施限制或者排斥潜在供应商或者投标人的行为。</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highlight w:val="none"/>
          <w:lang w:val="en-US" w:eastAsia="zh-CN"/>
        </w:rPr>
      </w:pPr>
      <w:r>
        <w:rPr>
          <w:rFonts w:hint="eastAsia" w:ascii="宋体" w:hAnsi="宋体" w:eastAsia="仿宋_GB2312" w:cs="仿宋_GB2312"/>
          <w:color w:val="auto"/>
          <w:sz w:val="32"/>
          <w:szCs w:val="32"/>
          <w:highlight w:val="none"/>
          <w:lang w:val="en-US" w:eastAsia="zh-CN"/>
        </w:rPr>
        <w:t>政府采购活动以及</w:t>
      </w:r>
      <w:r>
        <w:rPr>
          <w:rFonts w:hint="eastAsia" w:ascii="宋体" w:hAnsi="宋体" w:eastAsia="仿宋_GB2312" w:cs="仿宋_GB2312"/>
          <w:color w:val="auto"/>
          <w:sz w:val="32"/>
          <w:szCs w:val="32"/>
          <w:highlight w:val="none"/>
        </w:rPr>
        <w:t>对依法必须进行招标的项目，应当允许投标人自主选择以保函、保险等方式提交投标保证金和履约保证</w:t>
      </w:r>
      <w:r>
        <w:rPr>
          <w:rFonts w:hint="eastAsia" w:ascii="宋体" w:hAnsi="宋体" w:eastAsia="仿宋_GB2312" w:cs="仿宋_GB2312"/>
          <w:i w:val="0"/>
          <w:iCs w:val="0"/>
          <w:color w:val="auto"/>
          <w:sz w:val="32"/>
          <w:szCs w:val="32"/>
          <w:highlight w:val="none"/>
          <w:u w:val="none"/>
        </w:rPr>
        <w:t>金，不得强制要求支付现金。</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highlight w:val="none"/>
          <w:lang w:val="en-US" w:eastAsia="zh-CN"/>
        </w:rPr>
      </w:pPr>
      <w:r>
        <w:rPr>
          <w:rFonts w:hint="eastAsia" w:ascii="宋体" w:hAnsi="宋体" w:eastAsia="仿宋_GB2312" w:cs="仿宋_GB2312"/>
          <w:color w:val="auto"/>
          <w:sz w:val="32"/>
          <w:szCs w:val="32"/>
          <w:highlight w:val="none"/>
        </w:rPr>
        <w:t>政府采购活动推广不收取投标保证金，以责任承诺书</w:t>
      </w:r>
      <w:r>
        <w:rPr>
          <w:rFonts w:hint="eastAsia" w:ascii="宋体" w:hAnsi="宋体" w:eastAsia="仿宋_GB2312" w:cs="仿宋_GB2312"/>
          <w:color w:val="auto"/>
          <w:sz w:val="32"/>
          <w:szCs w:val="32"/>
          <w:highlight w:val="none"/>
          <w:lang w:val="en-US" w:eastAsia="zh-CN"/>
        </w:rPr>
        <w:t>的方式</w:t>
      </w:r>
      <w:r>
        <w:rPr>
          <w:rFonts w:hint="eastAsia" w:ascii="宋体" w:hAnsi="宋体" w:eastAsia="仿宋_GB2312" w:cs="仿宋_GB2312"/>
          <w:color w:val="auto"/>
          <w:sz w:val="32"/>
          <w:szCs w:val="32"/>
          <w:highlight w:val="none"/>
        </w:rPr>
        <w:t>替代投标保证金。</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i w:val="0"/>
          <w:iCs w:val="0"/>
          <w:color w:val="auto"/>
          <w:sz w:val="32"/>
          <w:szCs w:val="32"/>
          <w:highlight w:val="none"/>
          <w:u w:val="none"/>
        </w:rPr>
        <w:t>第</w:t>
      </w:r>
      <w:r>
        <w:rPr>
          <w:rFonts w:hint="eastAsia" w:ascii="宋体" w:hAnsi="宋体" w:eastAsia="黑体" w:cs="黑体"/>
          <w:i w:val="0"/>
          <w:iCs w:val="0"/>
          <w:color w:val="auto"/>
          <w:sz w:val="32"/>
          <w:szCs w:val="32"/>
          <w:highlight w:val="none"/>
          <w:u w:val="none"/>
          <w:lang w:val="en-US" w:eastAsia="zh-CN"/>
        </w:rPr>
        <w:t>十七</w:t>
      </w:r>
      <w:r>
        <w:rPr>
          <w:rFonts w:hint="eastAsia" w:ascii="宋体" w:hAnsi="宋体" w:eastAsia="黑体" w:cs="黑体"/>
          <w:i w:val="0"/>
          <w:iCs w:val="0"/>
          <w:color w:val="auto"/>
          <w:sz w:val="32"/>
          <w:szCs w:val="32"/>
          <w:highlight w:val="none"/>
          <w:u w:val="none"/>
        </w:rPr>
        <w:t>条</w:t>
      </w:r>
      <w:r>
        <w:rPr>
          <w:rFonts w:hint="eastAsia" w:ascii="宋体" w:hAnsi="宋体" w:eastAsia="仿宋_GB2312" w:cs="仿宋_GB2312"/>
          <w:color w:val="auto"/>
          <w:sz w:val="32"/>
          <w:szCs w:val="32"/>
          <w:highlight w:val="none"/>
          <w:lang w:val="en-US" w:eastAsia="zh-CN"/>
        </w:rPr>
        <w:t xml:space="preserve">  县级以上人民政府及其工业和信息化、地方金融监管等有关部门应当加强企业上市指导，</w:t>
      </w:r>
      <w:r>
        <w:rPr>
          <w:rFonts w:hint="eastAsia" w:ascii="宋体" w:hAnsi="宋体" w:eastAsia="仿宋_GB2312" w:cs="仿宋_GB2312"/>
          <w:color w:val="auto"/>
          <w:sz w:val="32"/>
          <w:szCs w:val="32"/>
          <w:highlight w:val="none"/>
        </w:rPr>
        <w:t>支持符合产业政策、具有发展潜力的企业上市挂牌融资</w:t>
      </w:r>
      <w:r>
        <w:rPr>
          <w:rFonts w:hint="eastAsia" w:ascii="宋体" w:hAnsi="宋体" w:eastAsia="仿宋_GB2312" w:cs="仿宋_GB2312"/>
          <w:color w:val="auto"/>
          <w:sz w:val="32"/>
          <w:szCs w:val="32"/>
          <w:highlight w:val="none"/>
          <w:lang w:eastAsia="zh-CN"/>
        </w:rPr>
        <w:t>；</w:t>
      </w:r>
      <w:r>
        <w:rPr>
          <w:rFonts w:hint="eastAsia" w:ascii="宋体" w:hAnsi="宋体" w:eastAsia="仿宋_GB2312" w:cs="仿宋_GB2312"/>
          <w:color w:val="auto"/>
          <w:sz w:val="32"/>
          <w:szCs w:val="32"/>
          <w:highlight w:val="none"/>
        </w:rPr>
        <w:t>对准备上市、挂牌企业因改制、重组、并购而涉及的土地手续完善、税费补缴、产权过户等</w:t>
      </w:r>
      <w:r>
        <w:rPr>
          <w:rFonts w:hint="eastAsia" w:ascii="宋体" w:hAnsi="宋体" w:eastAsia="仿宋_GB2312" w:cs="仿宋_GB2312"/>
          <w:color w:val="auto"/>
          <w:sz w:val="32"/>
          <w:szCs w:val="32"/>
          <w:highlight w:val="none"/>
          <w:lang w:eastAsia="zh-CN"/>
        </w:rPr>
        <w:t>事项</w:t>
      </w:r>
      <w:r>
        <w:rPr>
          <w:rFonts w:hint="eastAsia" w:ascii="宋体" w:hAnsi="宋体" w:eastAsia="仿宋_GB2312" w:cs="仿宋_GB2312"/>
          <w:color w:val="auto"/>
          <w:sz w:val="32"/>
          <w:szCs w:val="32"/>
          <w:highlight w:val="none"/>
        </w:rPr>
        <w:t>，应当通过建立健全绿色通道、限时办结等制度，加强政策指导和服务，协助企业妥善处理。</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lang w:val="en-US" w:eastAsia="zh-CN"/>
        </w:rPr>
        <w:t>地级以上市人民政府应当</w:t>
      </w:r>
      <w:r>
        <w:rPr>
          <w:rFonts w:hint="eastAsia" w:ascii="宋体" w:hAnsi="宋体" w:eastAsia="仿宋_GB2312" w:cs="仿宋_GB2312"/>
          <w:color w:val="auto"/>
          <w:sz w:val="32"/>
          <w:szCs w:val="32"/>
          <w:highlight w:val="none"/>
        </w:rPr>
        <w:t>支持区域股权交易中心建设非上市股</w:t>
      </w:r>
      <w:r>
        <w:rPr>
          <w:rFonts w:hint="eastAsia" w:ascii="宋体" w:hAnsi="宋体" w:eastAsia="仿宋_GB2312" w:cs="仿宋_GB2312"/>
          <w:color w:val="auto"/>
          <w:sz w:val="32"/>
          <w:szCs w:val="32"/>
          <w:highlight w:val="none"/>
          <w:lang w:eastAsia="zh-CN"/>
        </w:rPr>
        <w:t>权</w:t>
      </w:r>
      <w:r>
        <w:rPr>
          <w:rFonts w:hint="eastAsia" w:ascii="宋体" w:hAnsi="宋体" w:eastAsia="仿宋_GB2312" w:cs="仿宋_GB2312"/>
          <w:color w:val="auto"/>
          <w:sz w:val="32"/>
          <w:szCs w:val="32"/>
          <w:highlight w:val="none"/>
        </w:rPr>
        <w:t>公司股</w:t>
      </w:r>
      <w:r>
        <w:rPr>
          <w:rFonts w:hint="eastAsia" w:ascii="宋体" w:hAnsi="宋体" w:eastAsia="仿宋_GB2312" w:cs="仿宋_GB2312"/>
          <w:color w:val="auto"/>
          <w:sz w:val="32"/>
          <w:szCs w:val="32"/>
          <w:highlight w:val="none"/>
          <w:lang w:eastAsia="zh-CN"/>
        </w:rPr>
        <w:t>权</w:t>
      </w:r>
      <w:r>
        <w:rPr>
          <w:rFonts w:hint="eastAsia" w:ascii="宋体" w:hAnsi="宋体" w:eastAsia="仿宋_GB2312" w:cs="仿宋_GB2312"/>
          <w:color w:val="auto"/>
          <w:sz w:val="32"/>
          <w:szCs w:val="32"/>
          <w:highlight w:val="none"/>
        </w:rPr>
        <w:t>托管平台，为企业提供股权登记、托管、转让和融资等综合金融服务。</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val="en-US" w:eastAsia="zh-CN"/>
        </w:rPr>
      </w:pPr>
      <w:r>
        <w:rPr>
          <w:rFonts w:hint="eastAsia" w:ascii="宋体" w:hAnsi="宋体" w:eastAsia="仿宋_GB2312" w:cs="仿宋_GB2312"/>
          <w:color w:val="auto"/>
          <w:sz w:val="32"/>
          <w:szCs w:val="32"/>
          <w:highlight w:val="none"/>
        </w:rPr>
        <w:t>参与政府采购的中小企业</w:t>
      </w:r>
      <w:r>
        <w:rPr>
          <w:rFonts w:hint="eastAsia" w:ascii="宋体" w:hAnsi="宋体" w:eastAsia="仿宋_GB2312" w:cs="仿宋_GB2312"/>
          <w:color w:val="auto"/>
          <w:sz w:val="32"/>
          <w:szCs w:val="32"/>
          <w:highlight w:val="none"/>
          <w:lang w:val="en-US" w:eastAsia="zh-CN"/>
        </w:rPr>
        <w:t>供应商可以凭借中标通知书、成交通知书或者政府采购合同向金融机构申请融资，政府采购人应当支持配合中标的中小企业供应商办理政府采购合同融资业务。鼓励金融机构依托应收账款融资服务平台为符合条件的中小企业供应商提供应收账款融资服务。</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val="en-US" w:eastAsia="zh-CN"/>
        </w:rPr>
      </w:pPr>
      <w:r>
        <w:rPr>
          <w:rFonts w:hint="eastAsia" w:ascii="宋体" w:hAnsi="宋体" w:eastAsia="黑体" w:cs="黑体"/>
          <w:i w:val="0"/>
          <w:iCs w:val="0"/>
          <w:color w:val="auto"/>
          <w:sz w:val="32"/>
          <w:szCs w:val="32"/>
          <w:highlight w:val="none"/>
          <w:u w:val="none"/>
        </w:rPr>
        <w:t>第</w:t>
      </w:r>
      <w:r>
        <w:rPr>
          <w:rFonts w:hint="eastAsia" w:ascii="宋体" w:hAnsi="宋体" w:eastAsia="黑体" w:cs="黑体"/>
          <w:i w:val="0"/>
          <w:iCs w:val="0"/>
          <w:color w:val="auto"/>
          <w:sz w:val="32"/>
          <w:szCs w:val="32"/>
          <w:highlight w:val="none"/>
          <w:u w:val="none"/>
          <w:lang w:val="en-US" w:eastAsia="zh-CN"/>
        </w:rPr>
        <w:t>十八</w:t>
      </w:r>
      <w:r>
        <w:rPr>
          <w:rFonts w:hint="eastAsia" w:ascii="宋体" w:hAnsi="宋体" w:eastAsia="黑体" w:cs="黑体"/>
          <w:i w:val="0"/>
          <w:iCs w:val="0"/>
          <w:color w:val="auto"/>
          <w:sz w:val="32"/>
          <w:szCs w:val="32"/>
          <w:highlight w:val="none"/>
          <w:u w:val="none"/>
        </w:rPr>
        <w:t>条</w:t>
      </w:r>
      <w:r>
        <w:rPr>
          <w:rFonts w:hint="eastAsia" w:ascii="宋体" w:hAnsi="宋体" w:eastAsia="仿宋_GB2312" w:cs="仿宋_GB2312"/>
          <w:color w:val="auto"/>
          <w:sz w:val="32"/>
          <w:szCs w:val="32"/>
          <w:highlight w:val="none"/>
          <w:lang w:val="en-US" w:eastAsia="zh-CN"/>
        </w:rPr>
        <w:t xml:space="preserve">  商业银行等金融机构应当制定并公开收费目录及标准，不得向小微企业收取贷款承诺费、资金管理费等不合理费用，严格限制收取财务顾问费、咨询费等费用。</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lang w:val="en-US" w:eastAsia="zh-CN"/>
        </w:rPr>
        <w:t>商业银行等金融机构不得设置贷款审批歧视性规定，不得强制设定条款或者协商约定将企业的部分贷款转为存款，不得以存</w:t>
      </w:r>
      <w:r>
        <w:rPr>
          <w:rFonts w:hint="eastAsia" w:ascii="宋体" w:hAnsi="宋体" w:eastAsia="仿宋_GB2312" w:cs="仿宋_GB2312"/>
          <w:color w:val="auto"/>
          <w:sz w:val="32"/>
          <w:szCs w:val="32"/>
          <w:highlight w:val="none"/>
        </w:rPr>
        <w:t>款作为审批和发放贷款的前提条件。</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i w:val="0"/>
          <w:iCs w:val="0"/>
          <w:color w:val="auto"/>
          <w:sz w:val="32"/>
          <w:szCs w:val="32"/>
          <w:highlight w:val="none"/>
          <w:u w:val="none"/>
        </w:rPr>
        <w:t>第</w:t>
      </w:r>
      <w:r>
        <w:rPr>
          <w:rFonts w:hint="eastAsia" w:ascii="宋体" w:hAnsi="宋体" w:eastAsia="黑体" w:cs="黑体"/>
          <w:i w:val="0"/>
          <w:iCs w:val="0"/>
          <w:color w:val="auto"/>
          <w:sz w:val="32"/>
          <w:szCs w:val="32"/>
          <w:highlight w:val="none"/>
          <w:u w:val="none"/>
          <w:lang w:val="en-US" w:eastAsia="zh-CN"/>
        </w:rPr>
        <w:t>十九</w:t>
      </w:r>
      <w:r>
        <w:rPr>
          <w:rFonts w:hint="eastAsia" w:ascii="宋体" w:hAnsi="宋体" w:eastAsia="黑体" w:cs="黑体"/>
          <w:i w:val="0"/>
          <w:iCs w:val="0"/>
          <w:color w:val="auto"/>
          <w:sz w:val="32"/>
          <w:szCs w:val="32"/>
          <w:highlight w:val="none"/>
          <w:u w:val="none"/>
        </w:rPr>
        <w:t>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省人民政府及其</w:t>
      </w:r>
      <w:r>
        <w:rPr>
          <w:rFonts w:hint="eastAsia" w:ascii="宋体" w:hAnsi="宋体" w:eastAsia="仿宋_GB2312" w:cs="仿宋_GB2312"/>
          <w:color w:val="auto"/>
          <w:sz w:val="32"/>
          <w:szCs w:val="32"/>
          <w:highlight w:val="none"/>
          <w:lang w:eastAsia="zh-CN"/>
        </w:rPr>
        <w:t>自然资源</w:t>
      </w:r>
      <w:r>
        <w:rPr>
          <w:rFonts w:hint="eastAsia" w:ascii="宋体" w:hAnsi="宋体" w:eastAsia="仿宋_GB2312" w:cs="仿宋_GB2312"/>
          <w:color w:val="auto"/>
          <w:sz w:val="32"/>
          <w:szCs w:val="32"/>
          <w:highlight w:val="none"/>
        </w:rPr>
        <w:t>部门应当</w:t>
      </w:r>
      <w:r>
        <w:rPr>
          <w:rFonts w:hint="eastAsia" w:ascii="宋体" w:hAnsi="宋体" w:eastAsia="仿宋_GB2312" w:cs="仿宋_GB2312"/>
          <w:color w:val="auto"/>
          <w:sz w:val="32"/>
          <w:szCs w:val="32"/>
          <w:highlight w:val="none"/>
          <w:lang w:val="en-US" w:eastAsia="zh-CN"/>
        </w:rPr>
        <w:t>科学</w:t>
      </w:r>
      <w:r>
        <w:rPr>
          <w:rFonts w:hint="eastAsia" w:ascii="宋体" w:hAnsi="宋体" w:eastAsia="仿宋_GB2312" w:cs="仿宋_GB2312"/>
          <w:color w:val="auto"/>
          <w:sz w:val="32"/>
          <w:szCs w:val="32"/>
          <w:highlight w:val="none"/>
        </w:rPr>
        <w:t>统筹土地利用计划指标，建立健全城乡建设用地供应定期滚动</w:t>
      </w:r>
      <w:r>
        <w:rPr>
          <w:rFonts w:hint="eastAsia" w:ascii="宋体" w:hAnsi="宋体" w:eastAsia="仿宋_GB2312" w:cs="仿宋_GB2312"/>
          <w:color w:val="auto"/>
          <w:sz w:val="32"/>
          <w:szCs w:val="32"/>
          <w:highlight w:val="none"/>
          <w:lang w:eastAsia="zh-CN"/>
        </w:rPr>
        <w:t>计划</w:t>
      </w:r>
      <w:r>
        <w:rPr>
          <w:rFonts w:hint="eastAsia" w:ascii="宋体" w:hAnsi="宋体" w:eastAsia="仿宋_GB2312" w:cs="仿宋_GB2312"/>
          <w:color w:val="auto"/>
          <w:sz w:val="32"/>
          <w:szCs w:val="32"/>
          <w:highlight w:val="none"/>
        </w:rPr>
        <w:t>，重点保障有效投资用地需求。</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rPr>
        <w:t>县级以上人民政府自然资源部门及有关部门应当优化对用地规划、项目招商、土地供应、供后管理和退出等各环节的协同监管，实行产业用地全周期管理机制。</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i w:val="0"/>
          <w:iCs w:val="0"/>
          <w:color w:val="auto"/>
          <w:sz w:val="32"/>
          <w:szCs w:val="32"/>
          <w:highlight w:val="none"/>
          <w:u w:val="none"/>
        </w:rPr>
        <w:t>第</w:t>
      </w:r>
      <w:r>
        <w:rPr>
          <w:rFonts w:hint="eastAsia" w:ascii="宋体" w:hAnsi="宋体" w:eastAsia="黑体" w:cs="黑体"/>
          <w:i w:val="0"/>
          <w:iCs w:val="0"/>
          <w:color w:val="auto"/>
          <w:sz w:val="32"/>
          <w:szCs w:val="32"/>
          <w:highlight w:val="none"/>
          <w:u w:val="none"/>
          <w:lang w:val="en-US" w:eastAsia="zh-CN"/>
        </w:rPr>
        <w:t>二十</w:t>
      </w:r>
      <w:r>
        <w:rPr>
          <w:rFonts w:hint="eastAsia" w:ascii="宋体" w:hAnsi="宋体" w:eastAsia="黑体" w:cs="黑体"/>
          <w:i w:val="0"/>
          <w:iCs w:val="0"/>
          <w:color w:val="auto"/>
          <w:sz w:val="32"/>
          <w:szCs w:val="32"/>
          <w:highlight w:val="none"/>
          <w:u w:val="none"/>
        </w:rPr>
        <w:t>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省人民政府</w:t>
      </w:r>
      <w:r>
        <w:rPr>
          <w:rFonts w:hint="eastAsia" w:ascii="宋体" w:hAnsi="宋体" w:eastAsia="仿宋_GB2312" w:cs="仿宋_GB2312"/>
          <w:color w:val="auto"/>
          <w:sz w:val="32"/>
          <w:szCs w:val="32"/>
          <w:highlight w:val="none"/>
          <w:lang w:eastAsia="zh-CN"/>
        </w:rPr>
        <w:t>人力资源社会保障部门</w:t>
      </w:r>
      <w:r>
        <w:rPr>
          <w:rFonts w:hint="eastAsia" w:ascii="宋体" w:hAnsi="宋体" w:eastAsia="仿宋_GB2312" w:cs="仿宋_GB2312"/>
          <w:color w:val="auto"/>
          <w:sz w:val="32"/>
          <w:szCs w:val="32"/>
          <w:highlight w:val="none"/>
        </w:rPr>
        <w:t>应当建立全省统一归集的流动人员人事档案信息</w:t>
      </w:r>
      <w:r>
        <w:rPr>
          <w:rFonts w:hint="eastAsia" w:ascii="宋体" w:hAnsi="宋体" w:eastAsia="仿宋_GB2312" w:cs="仿宋_GB2312"/>
          <w:color w:val="auto"/>
          <w:sz w:val="32"/>
          <w:szCs w:val="32"/>
          <w:highlight w:val="none"/>
          <w:lang w:eastAsia="zh-CN"/>
        </w:rPr>
        <w:t>系</w:t>
      </w:r>
      <w:r>
        <w:rPr>
          <w:rFonts w:hint="eastAsia" w:ascii="宋体" w:hAnsi="宋体" w:eastAsia="仿宋_GB2312" w:cs="仿宋_GB2312"/>
          <w:color w:val="auto"/>
          <w:sz w:val="32"/>
          <w:szCs w:val="32"/>
          <w:highlight w:val="none"/>
        </w:rPr>
        <w:t>统和基础信息资源库，</w:t>
      </w:r>
      <w:r>
        <w:rPr>
          <w:rFonts w:hint="eastAsia" w:ascii="宋体" w:hAnsi="宋体" w:eastAsia="仿宋_GB2312" w:cs="仿宋_GB2312"/>
          <w:color w:val="auto"/>
          <w:sz w:val="32"/>
          <w:szCs w:val="32"/>
          <w:highlight w:val="none"/>
          <w:lang w:val="en-US" w:eastAsia="zh-CN"/>
        </w:rPr>
        <w:t>实现专业技术人才职称信息跨地区在线核验，</w:t>
      </w:r>
      <w:r>
        <w:rPr>
          <w:rFonts w:hint="eastAsia" w:ascii="宋体" w:hAnsi="宋体" w:eastAsia="仿宋_GB2312" w:cs="仿宋_GB2312"/>
          <w:color w:val="auto"/>
          <w:sz w:val="32"/>
          <w:szCs w:val="32"/>
          <w:highlight w:val="none"/>
        </w:rPr>
        <w:t>整合就业服务资源，完善就业岗位信息归集发布制度，为市场主体用工提供便利。</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rPr>
        <w:t>县级以上人民政府人力资源社会保障部门应当为市场主体提供用工指导、劳动关系协调等服务。支持市场主体采用灵活用工机制，引导有需求的市场主体通过用工余缺调剂开展共享用工。</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val="en-US" w:eastAsia="zh-CN"/>
        </w:rPr>
      </w:pPr>
      <w:r>
        <w:rPr>
          <w:rFonts w:hint="eastAsia" w:ascii="宋体" w:hAnsi="宋体" w:eastAsia="仿宋_GB2312" w:cs="仿宋_GB2312"/>
          <w:color w:val="auto"/>
          <w:sz w:val="32"/>
          <w:szCs w:val="32"/>
          <w:highlight w:val="none"/>
        </w:rPr>
        <w:t>县级以上人民政府</w:t>
      </w:r>
      <w:r>
        <w:rPr>
          <w:rFonts w:hint="eastAsia" w:ascii="宋体" w:hAnsi="宋体" w:eastAsia="仿宋_GB2312" w:cs="仿宋_GB2312"/>
          <w:color w:val="auto"/>
          <w:sz w:val="32"/>
          <w:szCs w:val="32"/>
          <w:highlight w:val="none"/>
          <w:lang w:val="en-US" w:eastAsia="zh-CN"/>
        </w:rPr>
        <w:t>应当建立城镇教育、就业创业、医疗卫生等基本公共服务与常住人口挂钩机制，推动公共资源按照常住人口规模配置。</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val="en-US" w:eastAsia="zh-CN"/>
        </w:rPr>
      </w:pPr>
      <w:r>
        <w:rPr>
          <w:rFonts w:hint="eastAsia" w:ascii="宋体" w:hAnsi="宋体" w:eastAsia="仿宋_GB2312" w:cs="仿宋_GB2312"/>
          <w:color w:val="auto"/>
          <w:sz w:val="32"/>
          <w:szCs w:val="32"/>
          <w:highlight w:val="none"/>
          <w:lang w:val="en-US" w:eastAsia="zh-CN"/>
        </w:rPr>
        <w:t>县级以上人民政府及其教育、科技、人力资源社会保障等有关部门应当深化产教融合，推进校企合作，支持普通高等学校、职业学校（含技工学校）培养与市场主体需求相适应的产业人才。</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val="en-US" w:eastAsia="zh-CN"/>
        </w:rPr>
      </w:pPr>
      <w:r>
        <w:rPr>
          <w:rFonts w:hint="eastAsia" w:ascii="宋体" w:hAnsi="宋体" w:eastAsia="仿宋_GB2312" w:cs="仿宋_GB2312"/>
          <w:color w:val="auto"/>
          <w:sz w:val="32"/>
          <w:szCs w:val="32"/>
          <w:highlight w:val="none"/>
          <w:lang w:val="en-US" w:eastAsia="zh-CN"/>
        </w:rPr>
        <w:t>省人民政府及其人力资源社会保障等部门推动完善外籍高层次人才在创新创业方面的便利措施。</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val="en-US" w:eastAsia="zh-CN"/>
        </w:rPr>
      </w:pPr>
      <w:r>
        <w:rPr>
          <w:rFonts w:hint="eastAsia" w:ascii="宋体" w:hAnsi="宋体" w:eastAsia="黑体" w:cs="黑体"/>
          <w:i w:val="0"/>
          <w:iCs w:val="0"/>
          <w:color w:val="auto"/>
          <w:sz w:val="32"/>
          <w:szCs w:val="32"/>
          <w:highlight w:val="none"/>
          <w:u w:val="none"/>
        </w:rPr>
        <w:t>第</w:t>
      </w:r>
      <w:r>
        <w:rPr>
          <w:rFonts w:hint="eastAsia" w:ascii="宋体" w:hAnsi="宋体" w:eastAsia="黑体" w:cs="黑体"/>
          <w:i w:val="0"/>
          <w:iCs w:val="0"/>
          <w:color w:val="auto"/>
          <w:sz w:val="32"/>
          <w:szCs w:val="32"/>
          <w:highlight w:val="none"/>
          <w:u w:val="none"/>
          <w:lang w:val="en-US" w:eastAsia="zh-CN"/>
        </w:rPr>
        <w:t>二十一</w:t>
      </w:r>
      <w:r>
        <w:rPr>
          <w:rFonts w:hint="eastAsia" w:ascii="宋体" w:hAnsi="宋体" w:eastAsia="黑体" w:cs="黑体"/>
          <w:i w:val="0"/>
          <w:iCs w:val="0"/>
          <w:color w:val="auto"/>
          <w:sz w:val="32"/>
          <w:szCs w:val="32"/>
          <w:highlight w:val="none"/>
          <w:u w:val="none"/>
        </w:rPr>
        <w:t>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县</w:t>
      </w:r>
      <w:r>
        <w:rPr>
          <w:rFonts w:hint="eastAsia" w:ascii="宋体" w:hAnsi="宋体" w:eastAsia="仿宋_GB2312" w:cs="仿宋_GB2312"/>
          <w:color w:val="auto"/>
          <w:sz w:val="32"/>
          <w:szCs w:val="32"/>
          <w:highlight w:val="none"/>
          <w:lang w:val="en-US" w:eastAsia="zh-CN"/>
        </w:rPr>
        <w:t>级以上人民政府及其科技等有关部门应当建立主要由市场决定的科技项目遴选、经费分配、成果评价机制，完善支持市场主体技术创新的扶持政策和激励措施。</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val="en-US" w:eastAsia="zh-CN"/>
        </w:rPr>
      </w:pPr>
      <w:r>
        <w:rPr>
          <w:rFonts w:hint="eastAsia" w:ascii="宋体" w:hAnsi="宋体" w:eastAsia="仿宋_GB2312" w:cs="仿宋_GB2312"/>
          <w:color w:val="auto"/>
          <w:sz w:val="32"/>
          <w:szCs w:val="32"/>
          <w:highlight w:val="none"/>
          <w:lang w:val="en-US" w:eastAsia="zh-CN"/>
        </w:rPr>
        <w:t>县级以上人民政府及其科技等有关部门应当推动市场主体与科研机构、高等学校以及其他组织通过合作开发、委托研发、技术入股、共建新型研发机构、科技创新平台和公共技术服务平台等产学研合作方式，共同开展研究开发、成果应用与推广、标准研究与制定等活动，提高市场主体自主创新和科技成果转化能力。</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rPr>
        <w:t>市场主体开展研究开发活动，按照有关规定享受研究开发费用税前加计扣除、科研仪器设备加速折旧、技术开发和转让税收减免等优惠待遇。</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i w:val="0"/>
          <w:iCs w:val="0"/>
          <w:color w:val="auto"/>
          <w:sz w:val="32"/>
          <w:szCs w:val="32"/>
          <w:highlight w:val="none"/>
          <w:u w:val="none"/>
        </w:rPr>
        <w:t>第</w:t>
      </w:r>
      <w:r>
        <w:rPr>
          <w:rFonts w:hint="eastAsia" w:ascii="宋体" w:hAnsi="宋体" w:eastAsia="黑体" w:cs="黑体"/>
          <w:i w:val="0"/>
          <w:iCs w:val="0"/>
          <w:color w:val="auto"/>
          <w:sz w:val="32"/>
          <w:szCs w:val="32"/>
          <w:highlight w:val="none"/>
          <w:u w:val="none"/>
          <w:lang w:val="en-US" w:eastAsia="zh-CN"/>
        </w:rPr>
        <w:t>二十二</w:t>
      </w:r>
      <w:r>
        <w:rPr>
          <w:rFonts w:hint="eastAsia" w:ascii="宋体" w:hAnsi="宋体" w:eastAsia="黑体" w:cs="黑体"/>
          <w:i w:val="0"/>
          <w:iCs w:val="0"/>
          <w:color w:val="auto"/>
          <w:sz w:val="32"/>
          <w:szCs w:val="32"/>
          <w:highlight w:val="none"/>
          <w:u w:val="none"/>
        </w:rPr>
        <w:t>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县级以上人民政府及其</w:t>
      </w:r>
      <w:r>
        <w:rPr>
          <w:rFonts w:hint="eastAsia" w:ascii="宋体" w:hAnsi="宋体" w:eastAsia="仿宋_GB2312" w:cs="仿宋_GB2312"/>
          <w:color w:val="auto"/>
          <w:sz w:val="32"/>
          <w:szCs w:val="32"/>
          <w:highlight w:val="none"/>
          <w:lang w:val="en-US" w:eastAsia="zh-CN"/>
        </w:rPr>
        <w:t>政务服务数据管理等</w:t>
      </w:r>
      <w:r>
        <w:rPr>
          <w:rFonts w:hint="eastAsia" w:ascii="宋体" w:hAnsi="宋体" w:eastAsia="仿宋_GB2312" w:cs="仿宋_GB2312"/>
          <w:color w:val="auto"/>
          <w:sz w:val="32"/>
          <w:szCs w:val="32"/>
          <w:highlight w:val="none"/>
        </w:rPr>
        <w:t>有关部门应当推进公共数据开放共享</w:t>
      </w:r>
      <w:r>
        <w:rPr>
          <w:rFonts w:hint="eastAsia" w:ascii="宋体" w:hAnsi="宋体" w:eastAsia="仿宋_GB2312" w:cs="仿宋_GB2312"/>
          <w:color w:val="auto"/>
          <w:sz w:val="32"/>
          <w:szCs w:val="32"/>
          <w:highlight w:val="none"/>
          <w:lang w:val="en-US" w:eastAsia="zh-CN"/>
        </w:rPr>
        <w:t>，优化经济治理基础数据库，建立健全政府及公共服务机构数据开放共享规则，推动公共交通、路政管理、医疗卫生、养老等公共服务领域和政府部门数据有序开放</w:t>
      </w:r>
      <w:r>
        <w:rPr>
          <w:rFonts w:hint="eastAsia" w:ascii="宋体" w:hAnsi="宋体" w:eastAsia="仿宋_GB2312" w:cs="仿宋_GB2312"/>
          <w:color w:val="auto"/>
          <w:sz w:val="32"/>
          <w:szCs w:val="32"/>
          <w:highlight w:val="none"/>
        </w:rPr>
        <w:t>。</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eastAsia="zh-CN"/>
        </w:rPr>
      </w:pPr>
      <w:r>
        <w:rPr>
          <w:rFonts w:hint="eastAsia" w:ascii="宋体" w:hAnsi="宋体" w:eastAsia="仿宋_GB2312" w:cs="仿宋_GB2312"/>
          <w:color w:val="auto"/>
          <w:sz w:val="32"/>
          <w:szCs w:val="32"/>
          <w:highlight w:val="none"/>
          <w:lang w:val="en-US" w:eastAsia="zh-CN"/>
        </w:rPr>
        <w:t>县级以上人民政府以及网信、公安、政务服务数据管理等有关部门应当</w:t>
      </w:r>
      <w:r>
        <w:rPr>
          <w:rFonts w:hint="eastAsia" w:ascii="宋体" w:hAnsi="宋体" w:eastAsia="仿宋_GB2312" w:cs="仿宋_GB2312"/>
          <w:color w:val="auto"/>
          <w:sz w:val="32"/>
          <w:szCs w:val="32"/>
          <w:highlight w:val="none"/>
        </w:rPr>
        <w:t>建立数据隐私保护和安全审查制度，加强对政务、商业秘密、个人隐私和个人信息等数据的保护。</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i w:val="0"/>
          <w:iCs w:val="0"/>
          <w:color w:val="auto"/>
          <w:sz w:val="32"/>
          <w:szCs w:val="32"/>
          <w:highlight w:val="none"/>
          <w:u w:val="none"/>
        </w:rPr>
        <w:t>第</w:t>
      </w:r>
      <w:r>
        <w:rPr>
          <w:rFonts w:hint="eastAsia" w:ascii="宋体" w:hAnsi="宋体" w:eastAsia="黑体" w:cs="黑体"/>
          <w:i w:val="0"/>
          <w:iCs w:val="0"/>
          <w:color w:val="auto"/>
          <w:sz w:val="32"/>
          <w:szCs w:val="32"/>
          <w:highlight w:val="none"/>
          <w:u w:val="none"/>
          <w:lang w:val="en-US" w:eastAsia="zh-CN"/>
        </w:rPr>
        <w:t>二十三</w:t>
      </w:r>
      <w:r>
        <w:rPr>
          <w:rFonts w:hint="eastAsia" w:ascii="宋体" w:hAnsi="宋体" w:eastAsia="黑体" w:cs="黑体"/>
          <w:i w:val="0"/>
          <w:iCs w:val="0"/>
          <w:color w:val="auto"/>
          <w:sz w:val="32"/>
          <w:szCs w:val="32"/>
          <w:highlight w:val="none"/>
          <w:u w:val="none"/>
        </w:rPr>
        <w:t>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lang w:eastAsia="zh-CN"/>
        </w:rPr>
        <w:t>省</w:t>
      </w:r>
      <w:r>
        <w:rPr>
          <w:rFonts w:hint="eastAsia" w:ascii="宋体" w:hAnsi="宋体" w:eastAsia="仿宋_GB2312" w:cs="仿宋_GB2312"/>
          <w:color w:val="auto"/>
          <w:sz w:val="32"/>
          <w:szCs w:val="32"/>
          <w:highlight w:val="none"/>
        </w:rPr>
        <w:t>人民政府</w:t>
      </w:r>
      <w:r>
        <w:rPr>
          <w:rFonts w:hint="eastAsia" w:ascii="宋体" w:hAnsi="宋体" w:eastAsia="仿宋_GB2312" w:cs="仿宋_GB2312"/>
          <w:color w:val="auto"/>
          <w:sz w:val="32"/>
          <w:szCs w:val="32"/>
          <w:highlight w:val="none"/>
          <w:lang w:eastAsia="zh-CN"/>
        </w:rPr>
        <w:t>应当推动建立多式联运公共信息平台，</w:t>
      </w:r>
      <w:r>
        <w:rPr>
          <w:rFonts w:hint="eastAsia" w:ascii="宋体" w:hAnsi="宋体" w:eastAsia="仿宋_GB2312" w:cs="仿宋_GB2312"/>
          <w:color w:val="auto"/>
          <w:sz w:val="32"/>
          <w:szCs w:val="32"/>
          <w:highlight w:val="none"/>
          <w:lang w:val="en-US" w:eastAsia="zh-CN"/>
        </w:rPr>
        <w:t>实现</w:t>
      </w:r>
      <w:r>
        <w:rPr>
          <w:rFonts w:hint="eastAsia" w:ascii="宋体" w:hAnsi="宋体" w:eastAsia="仿宋_GB2312" w:cs="仿宋_GB2312"/>
          <w:color w:val="auto"/>
          <w:sz w:val="32"/>
          <w:szCs w:val="32"/>
          <w:highlight w:val="none"/>
        </w:rPr>
        <w:t>海运、空运、铁路、公路运输信息共享，构建货运信息可查、全程实时追踪的多式联运体系；推进货运运输工具、载运装备等设施的标准化建设，提升货物运输效率。</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lang w:val="en-US" w:eastAsia="zh-CN"/>
        </w:rPr>
        <w:t>交通运输、市场监管等部门</w:t>
      </w:r>
      <w:r>
        <w:rPr>
          <w:rFonts w:hint="eastAsia" w:ascii="宋体" w:hAnsi="宋体" w:eastAsia="仿宋_GB2312" w:cs="仿宋_GB2312"/>
          <w:color w:val="auto"/>
          <w:sz w:val="32"/>
          <w:szCs w:val="32"/>
          <w:highlight w:val="none"/>
        </w:rPr>
        <w:t>应当</w:t>
      </w:r>
      <w:r>
        <w:rPr>
          <w:rFonts w:hint="eastAsia" w:ascii="宋体" w:hAnsi="宋体" w:eastAsia="仿宋_GB2312" w:cs="仿宋_GB2312"/>
          <w:color w:val="auto"/>
          <w:sz w:val="32"/>
          <w:szCs w:val="32"/>
          <w:highlight w:val="none"/>
          <w:lang w:eastAsia="zh-CN"/>
        </w:rPr>
        <w:t>按照各自职责</w:t>
      </w:r>
      <w:r>
        <w:rPr>
          <w:rFonts w:hint="eastAsia" w:ascii="宋体" w:hAnsi="宋体" w:eastAsia="仿宋_GB2312" w:cs="仿宋_GB2312"/>
          <w:color w:val="auto"/>
          <w:sz w:val="32"/>
          <w:szCs w:val="32"/>
          <w:highlight w:val="none"/>
        </w:rPr>
        <w:t>加强对货运收费的监管、指导，监督落实收费公示和明码标价制度，取消无依据、无实质服务内容的收费项目。推进高速公路按照车型、时段、路段等实施差异化收费。鼓励有条件的地区通过政府回购等方式降低公路通行成本。</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rPr>
        <w:t>县级以上人民政府应当规范车辆限行措施，清理不合理的车辆限行政策。</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color w:val="auto"/>
          <w:sz w:val="32"/>
          <w:szCs w:val="32"/>
          <w:highlight w:val="none"/>
        </w:rPr>
        <w:t>第</w:t>
      </w:r>
      <w:r>
        <w:rPr>
          <w:rFonts w:hint="eastAsia" w:ascii="宋体" w:hAnsi="宋体" w:eastAsia="黑体" w:cs="黑体"/>
          <w:color w:val="auto"/>
          <w:sz w:val="32"/>
          <w:szCs w:val="32"/>
          <w:highlight w:val="none"/>
          <w:lang w:val="en-US" w:eastAsia="zh-CN"/>
        </w:rPr>
        <w:t>二十四</w:t>
      </w:r>
      <w:r>
        <w:rPr>
          <w:rFonts w:hint="eastAsia" w:ascii="宋体" w:hAnsi="宋体" w:eastAsia="黑体" w:cs="黑体"/>
          <w:color w:val="auto"/>
          <w:sz w:val="32"/>
          <w:szCs w:val="32"/>
          <w:highlight w:val="none"/>
        </w:rPr>
        <w:t>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供水、供电、供气、通信等公用企</w:t>
      </w:r>
      <w:r>
        <w:rPr>
          <w:rFonts w:hint="eastAsia" w:ascii="宋体" w:hAnsi="宋体" w:eastAsia="仿宋_GB2312" w:cs="仿宋_GB2312"/>
          <w:color w:val="auto"/>
          <w:sz w:val="32"/>
          <w:szCs w:val="32"/>
          <w:highlight w:val="none"/>
          <w:lang w:val="en-US" w:eastAsia="zh-CN"/>
        </w:rPr>
        <w:t>事</w:t>
      </w:r>
      <w:r>
        <w:rPr>
          <w:rFonts w:hint="eastAsia" w:ascii="宋体" w:hAnsi="宋体" w:eastAsia="仿宋_GB2312" w:cs="仿宋_GB2312"/>
          <w:color w:val="auto"/>
          <w:sz w:val="32"/>
          <w:szCs w:val="32"/>
          <w:highlight w:val="none"/>
        </w:rPr>
        <w:t>业</w:t>
      </w:r>
      <w:r>
        <w:rPr>
          <w:rFonts w:hint="eastAsia" w:ascii="宋体" w:hAnsi="宋体" w:eastAsia="仿宋_GB2312" w:cs="仿宋_GB2312"/>
          <w:color w:val="auto"/>
          <w:sz w:val="32"/>
          <w:szCs w:val="32"/>
          <w:highlight w:val="none"/>
          <w:lang w:val="en-US" w:eastAsia="zh-CN"/>
        </w:rPr>
        <w:t>单位</w:t>
      </w:r>
      <w:r>
        <w:rPr>
          <w:rFonts w:hint="eastAsia" w:ascii="宋体" w:hAnsi="宋体" w:eastAsia="仿宋_GB2312" w:cs="仿宋_GB2312"/>
          <w:color w:val="auto"/>
          <w:sz w:val="32"/>
          <w:szCs w:val="32"/>
          <w:highlight w:val="none"/>
        </w:rPr>
        <w:t>应当向社会公开依法依规确定的收费范围、收费标准、服务标准、服务流程和服务时限等内容，向市场主体提供安全、方便、快捷、稳定和价格合理的服务，不得以指定交易、拖延服务等方式强迫市场主体接受不合理条件，不得</w:t>
      </w:r>
      <w:r>
        <w:rPr>
          <w:rFonts w:hint="eastAsia" w:ascii="宋体" w:hAnsi="宋体" w:eastAsia="仿宋_GB2312" w:cs="仿宋_GB2312"/>
          <w:color w:val="auto"/>
          <w:sz w:val="32"/>
          <w:szCs w:val="32"/>
          <w:highlight w:val="none"/>
          <w:lang w:val="en-US" w:eastAsia="zh-CN"/>
        </w:rPr>
        <w:t>以任何名义</w:t>
      </w:r>
      <w:r>
        <w:rPr>
          <w:rFonts w:hint="eastAsia" w:ascii="宋体" w:hAnsi="宋体" w:eastAsia="仿宋_GB2312" w:cs="仿宋_GB2312"/>
          <w:color w:val="auto"/>
          <w:sz w:val="32"/>
          <w:szCs w:val="32"/>
          <w:highlight w:val="none"/>
        </w:rPr>
        <w:t>收取不合理费用。</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rPr>
        <w:t>公用企</w:t>
      </w:r>
      <w:r>
        <w:rPr>
          <w:rFonts w:hint="eastAsia" w:ascii="宋体" w:hAnsi="宋体" w:eastAsia="仿宋_GB2312" w:cs="仿宋_GB2312"/>
          <w:color w:val="auto"/>
          <w:sz w:val="32"/>
          <w:szCs w:val="32"/>
          <w:highlight w:val="none"/>
          <w:lang w:val="en-US" w:eastAsia="zh-CN"/>
        </w:rPr>
        <w:t>事</w:t>
      </w:r>
      <w:r>
        <w:rPr>
          <w:rFonts w:hint="eastAsia" w:ascii="宋体" w:hAnsi="宋体" w:eastAsia="仿宋_GB2312" w:cs="仿宋_GB2312"/>
          <w:color w:val="auto"/>
          <w:sz w:val="32"/>
          <w:szCs w:val="32"/>
          <w:highlight w:val="none"/>
        </w:rPr>
        <w:t>业</w:t>
      </w:r>
      <w:r>
        <w:rPr>
          <w:rFonts w:hint="eastAsia" w:ascii="宋体" w:hAnsi="宋体" w:eastAsia="仿宋_GB2312" w:cs="仿宋_GB2312"/>
          <w:color w:val="auto"/>
          <w:sz w:val="32"/>
          <w:szCs w:val="32"/>
          <w:highlight w:val="none"/>
          <w:lang w:val="en-US" w:eastAsia="zh-CN"/>
        </w:rPr>
        <w:t>单位</w:t>
      </w:r>
      <w:r>
        <w:rPr>
          <w:rFonts w:hint="eastAsia" w:ascii="宋体" w:hAnsi="宋体" w:eastAsia="仿宋_GB2312" w:cs="仿宋_GB2312"/>
          <w:color w:val="auto"/>
          <w:sz w:val="32"/>
          <w:szCs w:val="32"/>
          <w:highlight w:val="none"/>
        </w:rPr>
        <w:t>应当优化报装审批流程，精简报装材料，压缩办理时间，实现报装申请全流程网上办理；不得设置与技术规范无关的非必要前置条件。</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color w:val="auto"/>
          <w:sz w:val="32"/>
          <w:szCs w:val="32"/>
          <w:highlight w:val="none"/>
        </w:rPr>
        <w:t>第</w:t>
      </w:r>
      <w:r>
        <w:rPr>
          <w:rFonts w:hint="eastAsia" w:ascii="宋体" w:hAnsi="宋体" w:eastAsia="黑体" w:cs="黑体"/>
          <w:color w:val="auto"/>
          <w:sz w:val="32"/>
          <w:szCs w:val="32"/>
          <w:highlight w:val="none"/>
          <w:lang w:val="en-US" w:eastAsia="zh-CN"/>
        </w:rPr>
        <w:t>二十五</w:t>
      </w:r>
      <w:r>
        <w:rPr>
          <w:rFonts w:hint="eastAsia" w:ascii="宋体" w:hAnsi="宋体" w:eastAsia="黑体" w:cs="黑体"/>
          <w:color w:val="auto"/>
          <w:sz w:val="32"/>
          <w:szCs w:val="32"/>
          <w:highlight w:val="none"/>
        </w:rPr>
        <w:t>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行业协会商会应当完善自律性管理约束机制，规范会员行为，收集并反映会员合理诉求，维护市场秩序。</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rPr>
        <w:t>行业协会商会及其工作人员不得有下列行为：</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rPr>
        <w:t>（一）组织市场主体从事联合抵制、固定价格等排除、限制竞争行为；</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rPr>
        <w:t>（二）出具虚假证明或者报告</w:t>
      </w:r>
      <w:r>
        <w:rPr>
          <w:rFonts w:hint="eastAsia" w:ascii="宋体" w:hAnsi="宋体" w:eastAsia="仿宋_GB2312" w:cs="仿宋_GB2312"/>
          <w:color w:val="auto"/>
          <w:sz w:val="32"/>
          <w:szCs w:val="32"/>
          <w:highlight w:val="none"/>
          <w:lang w:eastAsia="zh-CN"/>
        </w:rPr>
        <w:t>，</w:t>
      </w:r>
      <w:r>
        <w:rPr>
          <w:rFonts w:hint="eastAsia" w:ascii="宋体" w:hAnsi="宋体" w:eastAsia="仿宋_GB2312" w:cs="仿宋_GB2312"/>
          <w:color w:val="auto"/>
          <w:sz w:val="32"/>
          <w:szCs w:val="32"/>
          <w:highlight w:val="none"/>
        </w:rPr>
        <w:t>谋取不正当利益；</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rPr>
        <w:t>（三）对已取消的资格资质变相进行认定；</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rPr>
        <w:t>（四）没有法律、法规依据，强制或者变相强制市场主体参加评比、达标、表彰、培训、考核、考试等活动；</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rPr>
        <w:t>（五）</w:t>
      </w:r>
      <w:r>
        <w:rPr>
          <w:rFonts w:hint="eastAsia" w:ascii="宋体" w:hAnsi="宋体" w:eastAsia="仿宋_GB2312" w:cs="仿宋_GB2312"/>
          <w:color w:val="auto"/>
          <w:sz w:val="32"/>
          <w:szCs w:val="32"/>
          <w:highlight w:val="none"/>
          <w:lang w:eastAsia="zh-CN"/>
        </w:rPr>
        <w:t>违</w:t>
      </w:r>
      <w:r>
        <w:rPr>
          <w:rFonts w:hint="eastAsia" w:ascii="宋体" w:hAnsi="宋体" w:eastAsia="仿宋_GB2312" w:cs="仿宋_GB2312"/>
          <w:color w:val="auto"/>
          <w:sz w:val="32"/>
          <w:szCs w:val="32"/>
          <w:highlight w:val="none"/>
        </w:rPr>
        <w:t>法</w:t>
      </w:r>
      <w:r>
        <w:rPr>
          <w:rFonts w:hint="eastAsia" w:ascii="宋体" w:hAnsi="宋体" w:eastAsia="仿宋_GB2312" w:cs="仿宋_GB2312"/>
          <w:color w:val="auto"/>
          <w:sz w:val="32"/>
          <w:szCs w:val="32"/>
          <w:highlight w:val="none"/>
          <w:lang w:eastAsia="zh-CN"/>
        </w:rPr>
        <w:t>违规</w:t>
      </w:r>
      <w:r>
        <w:rPr>
          <w:rFonts w:hint="eastAsia" w:ascii="宋体" w:hAnsi="宋体" w:eastAsia="仿宋_GB2312" w:cs="仿宋_GB2312"/>
          <w:color w:val="auto"/>
          <w:sz w:val="32"/>
          <w:szCs w:val="32"/>
          <w:highlight w:val="none"/>
        </w:rPr>
        <w:t>向市场主体收费或者强制要求市场主体捐赠、赞助等变相收费；</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rPr>
        <w:t>（六）其他干扰市场主体正常生产经营活动或者扰乱市场秩序的行为。</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rPr>
        <w:t>除法律、法规另有规定外，市场主体有权自主决定加入或者退出行业协会商会等社会组织，任何单位和个人不得干预。</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i w:val="0"/>
          <w:iCs w:val="0"/>
          <w:color w:val="auto"/>
          <w:sz w:val="32"/>
          <w:szCs w:val="32"/>
          <w:highlight w:val="none"/>
          <w:u w:val="none"/>
        </w:rPr>
      </w:pPr>
      <w:r>
        <w:rPr>
          <w:rFonts w:hint="eastAsia" w:ascii="宋体" w:hAnsi="宋体" w:eastAsia="黑体" w:cs="黑体"/>
          <w:i w:val="0"/>
          <w:iCs w:val="0"/>
          <w:color w:val="auto"/>
          <w:sz w:val="32"/>
          <w:szCs w:val="32"/>
          <w:highlight w:val="none"/>
          <w:u w:val="none"/>
        </w:rPr>
        <w:t>第</w:t>
      </w:r>
      <w:r>
        <w:rPr>
          <w:rFonts w:hint="eastAsia" w:ascii="宋体" w:hAnsi="宋体" w:eastAsia="黑体" w:cs="黑体"/>
          <w:color w:val="auto"/>
          <w:sz w:val="32"/>
          <w:szCs w:val="32"/>
          <w:highlight w:val="none"/>
          <w:lang w:val="en-US" w:eastAsia="zh-CN"/>
        </w:rPr>
        <w:t>二十六</w:t>
      </w:r>
      <w:r>
        <w:rPr>
          <w:rFonts w:hint="eastAsia" w:ascii="宋体" w:hAnsi="宋体" w:eastAsia="黑体" w:cs="黑体"/>
          <w:i w:val="0"/>
          <w:iCs w:val="0"/>
          <w:color w:val="auto"/>
          <w:sz w:val="32"/>
          <w:szCs w:val="32"/>
          <w:highlight w:val="none"/>
          <w:u w:val="none"/>
        </w:rPr>
        <w:t>条</w:t>
      </w:r>
      <w:r>
        <w:rPr>
          <w:rFonts w:hint="eastAsia" w:ascii="宋体" w:hAnsi="宋体" w:eastAsia="仿宋_GB2312" w:cs="仿宋_GB2312"/>
          <w:i w:val="0"/>
          <w:iCs w:val="0"/>
          <w:color w:val="auto"/>
          <w:sz w:val="32"/>
          <w:szCs w:val="32"/>
          <w:highlight w:val="none"/>
          <w:u w:val="none"/>
          <w:lang w:val="en-US" w:eastAsia="zh-CN"/>
        </w:rPr>
        <w:t xml:space="preserve">  </w:t>
      </w:r>
      <w:r>
        <w:rPr>
          <w:rFonts w:hint="eastAsia" w:ascii="宋体" w:hAnsi="宋体" w:eastAsia="仿宋_GB2312" w:cs="仿宋_GB2312"/>
          <w:i w:val="0"/>
          <w:iCs w:val="0"/>
          <w:color w:val="auto"/>
          <w:sz w:val="32"/>
          <w:szCs w:val="32"/>
          <w:highlight w:val="none"/>
          <w:u w:val="none"/>
        </w:rPr>
        <w:t>各级人民政府应当加强政府诚信建设，建立政务诚信监测治理体系和政府失信责任追究制度。</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i w:val="0"/>
          <w:iCs w:val="0"/>
          <w:color w:val="auto"/>
          <w:sz w:val="32"/>
          <w:szCs w:val="32"/>
          <w:highlight w:val="none"/>
          <w:u w:val="none"/>
        </w:rPr>
      </w:pPr>
      <w:r>
        <w:rPr>
          <w:rFonts w:hint="eastAsia" w:ascii="宋体" w:hAnsi="宋体" w:eastAsia="仿宋_GB2312" w:cs="仿宋_GB2312"/>
          <w:i w:val="0"/>
          <w:iCs w:val="0"/>
          <w:color w:val="auto"/>
          <w:sz w:val="32"/>
          <w:szCs w:val="32"/>
          <w:highlight w:val="none"/>
          <w:u w:val="none"/>
        </w:rPr>
        <w:t>各级人民政府及其有关部门应当履行向市场主体依法作出的政策承诺以及依法订立的各类合同，不得以行政区划调整、政府换届、机构或者职能调整以及相关责任人员更替等为由违约毁约。</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i/>
          <w:iCs/>
          <w:color w:val="auto"/>
          <w:sz w:val="32"/>
          <w:szCs w:val="32"/>
          <w:highlight w:val="none"/>
          <w:u w:val="single"/>
        </w:rPr>
      </w:pPr>
      <w:r>
        <w:rPr>
          <w:rFonts w:hint="eastAsia" w:ascii="宋体" w:hAnsi="宋体" w:eastAsia="仿宋_GB2312" w:cs="仿宋_GB2312"/>
          <w:i w:val="0"/>
          <w:iCs w:val="0"/>
          <w:color w:val="auto"/>
          <w:sz w:val="32"/>
          <w:szCs w:val="32"/>
          <w:highlight w:val="none"/>
          <w:u w:val="none"/>
        </w:rPr>
        <w:t>因国家利益、社会公共利益等确需改变政策承诺、合同约定的，应当依照法定权限和程序进行，并对市场主体因此受到的损失依法予以公平、合理、及时的补偿。</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i w:val="0"/>
          <w:iCs w:val="0"/>
          <w:color w:val="auto"/>
          <w:sz w:val="32"/>
          <w:szCs w:val="32"/>
          <w:highlight w:val="none"/>
          <w:u w:val="none"/>
        </w:rPr>
      </w:pPr>
      <w:r>
        <w:rPr>
          <w:rFonts w:hint="eastAsia" w:ascii="宋体" w:hAnsi="宋体" w:eastAsia="黑体" w:cs="黑体"/>
          <w:i w:val="0"/>
          <w:iCs w:val="0"/>
          <w:color w:val="auto"/>
          <w:sz w:val="32"/>
          <w:szCs w:val="32"/>
          <w:highlight w:val="none"/>
          <w:u w:val="none"/>
        </w:rPr>
        <w:t>第</w:t>
      </w:r>
      <w:r>
        <w:rPr>
          <w:rFonts w:hint="eastAsia" w:ascii="宋体" w:hAnsi="宋体" w:eastAsia="黑体" w:cs="黑体"/>
          <w:i w:val="0"/>
          <w:iCs w:val="0"/>
          <w:color w:val="auto"/>
          <w:sz w:val="32"/>
          <w:szCs w:val="32"/>
          <w:highlight w:val="none"/>
          <w:u w:val="none"/>
          <w:lang w:val="en-US" w:eastAsia="zh-CN"/>
        </w:rPr>
        <w:t>二十七</w:t>
      </w:r>
      <w:r>
        <w:rPr>
          <w:rFonts w:hint="eastAsia" w:ascii="宋体" w:hAnsi="宋体" w:eastAsia="黑体" w:cs="黑体"/>
          <w:i w:val="0"/>
          <w:iCs w:val="0"/>
          <w:color w:val="auto"/>
          <w:sz w:val="32"/>
          <w:szCs w:val="32"/>
          <w:highlight w:val="none"/>
          <w:u w:val="none"/>
        </w:rPr>
        <w:t>条</w:t>
      </w:r>
      <w:r>
        <w:rPr>
          <w:rFonts w:hint="eastAsia" w:ascii="宋体" w:hAnsi="宋体" w:eastAsia="仿宋_GB2312" w:cs="仿宋_GB2312"/>
          <w:i w:val="0"/>
          <w:iCs w:val="0"/>
          <w:color w:val="auto"/>
          <w:sz w:val="32"/>
          <w:szCs w:val="32"/>
          <w:highlight w:val="none"/>
          <w:u w:val="none"/>
          <w:lang w:val="en-US" w:eastAsia="zh-CN"/>
        </w:rPr>
        <w:t xml:space="preserve">  </w:t>
      </w:r>
      <w:r>
        <w:rPr>
          <w:rFonts w:hint="eastAsia" w:ascii="宋体" w:hAnsi="宋体" w:eastAsia="仿宋_GB2312" w:cs="仿宋_GB2312"/>
          <w:i w:val="0"/>
          <w:iCs w:val="0"/>
          <w:color w:val="auto"/>
          <w:sz w:val="32"/>
          <w:szCs w:val="32"/>
          <w:highlight w:val="none"/>
          <w:u w:val="none"/>
        </w:rPr>
        <w:t>国家机关、事业单位</w:t>
      </w:r>
      <w:r>
        <w:rPr>
          <w:rFonts w:hint="eastAsia" w:ascii="宋体" w:hAnsi="宋体" w:eastAsia="仿宋_GB2312" w:cs="仿宋_GB2312"/>
          <w:i w:val="0"/>
          <w:iCs w:val="0"/>
          <w:color w:val="auto"/>
          <w:sz w:val="32"/>
          <w:szCs w:val="32"/>
          <w:highlight w:val="none"/>
          <w:u w:val="none"/>
          <w:lang w:eastAsia="zh-CN"/>
        </w:rPr>
        <w:t>、社会团体等</w:t>
      </w:r>
      <w:r>
        <w:rPr>
          <w:rFonts w:hint="eastAsia" w:ascii="宋体" w:hAnsi="宋体" w:eastAsia="仿宋_GB2312" w:cs="仿宋_GB2312"/>
          <w:i w:val="0"/>
          <w:iCs w:val="0"/>
          <w:color w:val="auto"/>
          <w:sz w:val="32"/>
          <w:szCs w:val="32"/>
          <w:highlight w:val="none"/>
          <w:u w:val="none"/>
        </w:rPr>
        <w:t>不得违反合同约定拖欠市场主体的货物、工程、服务等账款；国有企业、大型企业不得利用优势地位拖欠民营企业、中小企业账款，不得强制民营企业、中小企业接受商业汇票等非现金支付方式，不得利用商业汇票等非现金支付方式变相延长付款期限。</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i w:val="0"/>
          <w:iCs w:val="0"/>
          <w:color w:val="auto"/>
          <w:sz w:val="32"/>
          <w:szCs w:val="32"/>
          <w:highlight w:val="none"/>
          <w:u w:val="none"/>
        </w:rPr>
      </w:pPr>
      <w:r>
        <w:rPr>
          <w:rFonts w:hint="eastAsia" w:ascii="宋体" w:hAnsi="宋体" w:eastAsia="仿宋_GB2312" w:cs="仿宋_GB2312"/>
          <w:i w:val="0"/>
          <w:iCs w:val="0"/>
          <w:color w:val="auto"/>
          <w:sz w:val="32"/>
          <w:szCs w:val="32"/>
          <w:highlight w:val="none"/>
          <w:u w:val="none"/>
        </w:rPr>
        <w:t>各级人民政府及其有关部门应当加大对国家机关、事业单位拖欠市场主体账款的清理力度，并通过加强预算管理、审计监督、严格责任追究等措施，建立防范和治理国家机关、事业单位拖欠市场主体账款的长效机制和约束惩戒机制。</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i w:val="0"/>
          <w:iCs w:val="0"/>
          <w:color w:val="auto"/>
          <w:sz w:val="32"/>
          <w:szCs w:val="32"/>
          <w:highlight w:val="none"/>
          <w:u w:val="none"/>
        </w:rPr>
      </w:pPr>
      <w:r>
        <w:rPr>
          <w:rFonts w:hint="eastAsia" w:ascii="宋体" w:hAnsi="宋体" w:eastAsia="黑体" w:cs="黑体"/>
          <w:color w:val="auto"/>
          <w:sz w:val="32"/>
          <w:szCs w:val="32"/>
          <w:highlight w:val="none"/>
        </w:rPr>
        <w:t>第</w:t>
      </w:r>
      <w:r>
        <w:rPr>
          <w:rFonts w:hint="eastAsia" w:ascii="宋体" w:hAnsi="宋体" w:eastAsia="黑体" w:cs="黑体"/>
          <w:color w:val="auto"/>
          <w:sz w:val="32"/>
          <w:szCs w:val="32"/>
          <w:highlight w:val="none"/>
          <w:lang w:val="en-US" w:eastAsia="zh-CN"/>
        </w:rPr>
        <w:t>二十八</w:t>
      </w:r>
      <w:r>
        <w:rPr>
          <w:rFonts w:hint="eastAsia" w:ascii="宋体" w:hAnsi="宋体" w:eastAsia="黑体" w:cs="黑体"/>
          <w:color w:val="auto"/>
          <w:sz w:val="32"/>
          <w:szCs w:val="32"/>
          <w:highlight w:val="none"/>
        </w:rPr>
        <w:t>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i w:val="0"/>
          <w:iCs w:val="0"/>
          <w:color w:val="auto"/>
          <w:sz w:val="32"/>
          <w:szCs w:val="32"/>
          <w:highlight w:val="none"/>
          <w:u w:val="none"/>
        </w:rPr>
        <w:t>因</w:t>
      </w:r>
      <w:r>
        <w:rPr>
          <w:rFonts w:hint="eastAsia" w:ascii="宋体" w:hAnsi="宋体" w:eastAsia="仿宋_GB2312" w:cs="仿宋_GB2312"/>
          <w:i w:val="0"/>
          <w:iCs w:val="0"/>
          <w:color w:val="auto"/>
          <w:sz w:val="32"/>
          <w:szCs w:val="32"/>
          <w:highlight w:val="none"/>
          <w:u w:val="none"/>
          <w:lang w:val="en-US" w:eastAsia="zh-CN"/>
        </w:rPr>
        <w:t>自然灾害、事故灾难或者公共卫生事件等</w:t>
      </w:r>
      <w:r>
        <w:rPr>
          <w:rFonts w:hint="eastAsia" w:ascii="宋体" w:hAnsi="宋体" w:eastAsia="仿宋_GB2312" w:cs="仿宋_GB2312"/>
          <w:i w:val="0"/>
          <w:iCs w:val="0"/>
          <w:color w:val="auto"/>
          <w:sz w:val="32"/>
          <w:szCs w:val="32"/>
          <w:highlight w:val="none"/>
          <w:u w:val="none"/>
        </w:rPr>
        <w:t>突发事件造成市场主体普遍性生产经营困难的，县级以上人民政府及其有关部门应当依法</w:t>
      </w:r>
      <w:r>
        <w:rPr>
          <w:rFonts w:hint="eastAsia" w:ascii="宋体" w:hAnsi="宋体" w:eastAsia="仿宋_GB2312" w:cs="仿宋_GB2312"/>
          <w:i w:val="0"/>
          <w:iCs w:val="0"/>
          <w:color w:val="auto"/>
          <w:sz w:val="32"/>
          <w:szCs w:val="32"/>
          <w:highlight w:val="none"/>
          <w:u w:val="none"/>
          <w:lang w:val="en-US" w:eastAsia="zh-CN"/>
        </w:rPr>
        <w:t>及时</w:t>
      </w:r>
      <w:r>
        <w:rPr>
          <w:rFonts w:hint="eastAsia" w:ascii="宋体" w:hAnsi="宋体" w:eastAsia="仿宋_GB2312" w:cs="仿宋_GB2312"/>
          <w:i w:val="0"/>
          <w:iCs w:val="0"/>
          <w:color w:val="auto"/>
          <w:sz w:val="32"/>
          <w:szCs w:val="32"/>
          <w:highlight w:val="none"/>
          <w:u w:val="none"/>
        </w:rPr>
        <w:t>采取补偿、减免等</w:t>
      </w:r>
      <w:r>
        <w:rPr>
          <w:rFonts w:hint="eastAsia" w:ascii="宋体" w:hAnsi="宋体" w:eastAsia="仿宋_GB2312" w:cs="仿宋_GB2312"/>
          <w:i w:val="0"/>
          <w:iCs w:val="0"/>
          <w:color w:val="auto"/>
          <w:sz w:val="32"/>
          <w:szCs w:val="32"/>
          <w:highlight w:val="none"/>
          <w:u w:val="none"/>
          <w:lang w:val="en-US" w:eastAsia="zh-CN"/>
        </w:rPr>
        <w:t>纾困救助</w:t>
      </w:r>
      <w:r>
        <w:rPr>
          <w:rFonts w:hint="eastAsia" w:ascii="宋体" w:hAnsi="宋体" w:eastAsia="仿宋_GB2312" w:cs="仿宋_GB2312"/>
          <w:i w:val="0"/>
          <w:iCs w:val="0"/>
          <w:color w:val="auto"/>
          <w:sz w:val="32"/>
          <w:szCs w:val="32"/>
          <w:highlight w:val="none"/>
          <w:u w:val="none"/>
        </w:rPr>
        <w:t>措施。</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16" w:firstLineChars="200"/>
        <w:jc w:val="both"/>
        <w:textAlignment w:val="auto"/>
        <w:outlineLvl w:val="9"/>
        <w:rPr>
          <w:rFonts w:hint="eastAsia" w:ascii="宋体" w:hAnsi="宋体" w:eastAsia="仿宋_GB2312" w:cs="仿宋_GB2312"/>
          <w:i w:val="0"/>
          <w:iCs w:val="0"/>
          <w:color w:val="auto"/>
          <w:spacing w:val="-4"/>
          <w:sz w:val="32"/>
          <w:szCs w:val="32"/>
          <w:highlight w:val="none"/>
          <w:u w:val="none"/>
          <w:lang w:val="en-US" w:eastAsia="zh-CN"/>
        </w:rPr>
      </w:pPr>
      <w:r>
        <w:rPr>
          <w:rFonts w:hint="eastAsia" w:ascii="宋体" w:hAnsi="宋体" w:eastAsia="仿宋_GB2312" w:cs="仿宋_GB2312"/>
          <w:i w:val="0"/>
          <w:iCs w:val="0"/>
          <w:color w:val="auto"/>
          <w:spacing w:val="-4"/>
          <w:sz w:val="32"/>
          <w:szCs w:val="32"/>
          <w:highlight w:val="none"/>
          <w:u w:val="none"/>
          <w:lang w:val="en-US" w:eastAsia="zh-CN"/>
        </w:rPr>
        <w:t>县级以上人民政府及其有关部门应当加强对中小企业的纾困帮扶，加大政府采购支持力度，对适宜由中小企业提供的，按照规定为其预留采购份额；加大融资支持力度，建立中小企业应急转贷机制，支持银行机构对符合条件的中小企业按照市场化原则展期、续贷。鼓励有条件的地方安排中小企业纾困资金和应急转贷资金。</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i w:val="0"/>
          <w:iCs w:val="0"/>
          <w:color w:val="auto"/>
          <w:sz w:val="32"/>
          <w:szCs w:val="32"/>
          <w:highlight w:val="none"/>
          <w:u w:val="none"/>
          <w:lang w:val="en-US" w:eastAsia="zh-CN"/>
        </w:rPr>
      </w:pPr>
      <w:r>
        <w:rPr>
          <w:rFonts w:hint="eastAsia" w:ascii="宋体" w:hAnsi="宋体" w:eastAsia="仿宋_GB2312" w:cs="仿宋_GB2312"/>
          <w:i w:val="0"/>
          <w:iCs w:val="0"/>
          <w:color w:val="auto"/>
          <w:sz w:val="32"/>
          <w:szCs w:val="32"/>
          <w:highlight w:val="none"/>
          <w:u w:val="none"/>
          <w:lang w:val="en-US" w:eastAsia="zh-CN"/>
        </w:rPr>
        <w:t>县级以上人民政府可以结合实际探索购买突发公共事件保险，运用市场化机制加强普惠性的纾困救助工作。</w:t>
      </w:r>
    </w:p>
    <w:p>
      <w:pPr>
        <w:keepNext w:val="0"/>
        <w:keepLines w:val="0"/>
        <w:pageBreakBefore w:val="0"/>
        <w:widowControl w:val="0"/>
        <w:kinsoku/>
        <w:wordWrap/>
        <w:overflowPunct w:val="0"/>
        <w:topLinePunct w:val="0"/>
        <w:autoSpaceDN/>
        <w:bidi w:val="0"/>
        <w:adjustRightInd w:val="0"/>
        <w:spacing w:beforeLines="0" w:afterLines="0" w:line="590" w:lineRule="exact"/>
        <w:ind w:firstLine="640"/>
        <w:textAlignment w:val="auto"/>
        <w:outlineLvl w:val="9"/>
        <w:rPr>
          <w:rFonts w:hint="eastAsia" w:ascii="宋体" w:hAnsi="宋体" w:eastAsia="仿宋_GB2312" w:cs="仿宋_GB2312"/>
          <w:color w:val="auto"/>
          <w:highlight w:val="none"/>
          <w:lang w:val="en-US" w:eastAsia="zh-CN"/>
        </w:rPr>
      </w:pP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jc w:val="center"/>
        <w:textAlignment w:val="auto"/>
        <w:outlineLvl w:val="9"/>
        <w:rPr>
          <w:rFonts w:hint="eastAsia" w:ascii="宋体" w:hAnsi="宋体" w:eastAsia="黑体" w:cs="黑体"/>
          <w:color w:val="auto"/>
          <w:sz w:val="32"/>
          <w:szCs w:val="32"/>
          <w:highlight w:val="none"/>
        </w:rPr>
      </w:pPr>
      <w:r>
        <w:rPr>
          <w:rFonts w:hint="eastAsia" w:ascii="宋体" w:hAnsi="宋体" w:eastAsia="黑体" w:cs="黑体"/>
          <w:color w:val="auto"/>
          <w:sz w:val="32"/>
          <w:szCs w:val="32"/>
          <w:highlight w:val="none"/>
        </w:rPr>
        <w:t>第三章</w:t>
      </w:r>
      <w:r>
        <w:rPr>
          <w:rFonts w:hint="eastAsia" w:ascii="宋体" w:hAnsi="宋体" w:eastAsia="黑体" w:cs="黑体"/>
          <w:color w:val="auto"/>
          <w:sz w:val="32"/>
          <w:szCs w:val="32"/>
          <w:highlight w:val="none"/>
          <w:lang w:val="en-US" w:eastAsia="zh-CN"/>
        </w:rPr>
        <w:t xml:space="preserve">  </w:t>
      </w:r>
      <w:r>
        <w:rPr>
          <w:rFonts w:hint="eastAsia" w:ascii="宋体" w:hAnsi="宋体" w:eastAsia="黑体" w:cs="黑体"/>
          <w:color w:val="auto"/>
          <w:sz w:val="32"/>
          <w:szCs w:val="32"/>
          <w:highlight w:val="none"/>
        </w:rPr>
        <w:t>政务服务</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jc w:val="left"/>
        <w:textAlignment w:val="auto"/>
        <w:outlineLvl w:val="9"/>
        <w:rPr>
          <w:rFonts w:hint="eastAsia" w:ascii="宋体" w:hAnsi="宋体" w:eastAsia="仿宋_GB2312" w:cs="仿宋_GB2312"/>
          <w:color w:val="auto"/>
          <w:sz w:val="32"/>
          <w:szCs w:val="32"/>
          <w:highlight w:val="none"/>
        </w:rPr>
      </w:pP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color w:val="auto"/>
          <w:sz w:val="32"/>
          <w:szCs w:val="32"/>
          <w:highlight w:val="none"/>
        </w:rPr>
        <w:t>第</w:t>
      </w:r>
      <w:r>
        <w:rPr>
          <w:rFonts w:hint="eastAsia" w:ascii="宋体" w:hAnsi="宋体" w:eastAsia="黑体" w:cs="黑体"/>
          <w:color w:val="auto"/>
          <w:sz w:val="32"/>
          <w:szCs w:val="32"/>
          <w:highlight w:val="none"/>
          <w:lang w:val="en-US" w:eastAsia="zh-CN"/>
        </w:rPr>
        <w:t>二十九</w:t>
      </w:r>
      <w:r>
        <w:rPr>
          <w:rFonts w:hint="eastAsia" w:ascii="宋体" w:hAnsi="宋体" w:eastAsia="黑体" w:cs="黑体"/>
          <w:color w:val="auto"/>
          <w:sz w:val="32"/>
          <w:szCs w:val="32"/>
          <w:highlight w:val="none"/>
        </w:rPr>
        <w:t>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省人民政府有关部门应当牵头推进本系统政务服务标准化工作，</w:t>
      </w:r>
      <w:r>
        <w:rPr>
          <w:rFonts w:hint="eastAsia" w:ascii="宋体" w:hAnsi="宋体" w:eastAsia="仿宋_GB2312" w:cs="仿宋_GB2312"/>
          <w:i w:val="0"/>
          <w:iCs w:val="0"/>
          <w:color w:val="auto"/>
          <w:sz w:val="32"/>
          <w:szCs w:val="32"/>
          <w:highlight w:val="none"/>
          <w:u w:val="none"/>
        </w:rPr>
        <w:t>按照减环节、减材料、减时限的要求</w:t>
      </w:r>
      <w:r>
        <w:rPr>
          <w:rFonts w:hint="eastAsia" w:ascii="宋体" w:hAnsi="宋体" w:eastAsia="仿宋_GB2312" w:cs="仿宋_GB2312"/>
          <w:color w:val="auto"/>
          <w:sz w:val="32"/>
          <w:szCs w:val="32"/>
          <w:highlight w:val="none"/>
        </w:rPr>
        <w:t>，编制并</w:t>
      </w:r>
      <w:r>
        <w:rPr>
          <w:rFonts w:hint="eastAsia" w:ascii="宋体" w:hAnsi="宋体" w:eastAsia="仿宋_GB2312" w:cs="仿宋_GB2312"/>
          <w:color w:val="auto"/>
          <w:sz w:val="32"/>
          <w:szCs w:val="32"/>
          <w:highlight w:val="none"/>
          <w:lang w:eastAsia="zh-CN"/>
        </w:rPr>
        <w:t>向社会</w:t>
      </w:r>
      <w:r>
        <w:rPr>
          <w:rFonts w:hint="eastAsia" w:ascii="宋体" w:hAnsi="宋体" w:eastAsia="仿宋_GB2312" w:cs="仿宋_GB2312"/>
          <w:color w:val="auto"/>
          <w:sz w:val="32"/>
          <w:szCs w:val="32"/>
          <w:highlight w:val="none"/>
        </w:rPr>
        <w:t>公</w:t>
      </w:r>
      <w:r>
        <w:rPr>
          <w:rFonts w:hint="eastAsia" w:ascii="宋体" w:hAnsi="宋体" w:eastAsia="仿宋_GB2312" w:cs="仿宋_GB2312"/>
          <w:color w:val="auto"/>
          <w:sz w:val="32"/>
          <w:szCs w:val="32"/>
          <w:highlight w:val="none"/>
          <w:lang w:eastAsia="zh-CN"/>
        </w:rPr>
        <w:t>开</w:t>
      </w:r>
      <w:r>
        <w:rPr>
          <w:rFonts w:hint="eastAsia" w:ascii="宋体" w:hAnsi="宋体" w:eastAsia="仿宋_GB2312" w:cs="仿宋_GB2312"/>
          <w:color w:val="auto"/>
          <w:sz w:val="32"/>
          <w:szCs w:val="32"/>
          <w:highlight w:val="none"/>
        </w:rPr>
        <w:t>统一标准化政务服务事项目录和办事指南，规范政务服务事项办理流程</w:t>
      </w:r>
      <w:r>
        <w:rPr>
          <w:rFonts w:hint="eastAsia" w:ascii="宋体" w:hAnsi="宋体" w:eastAsia="仿宋_GB2312" w:cs="仿宋_GB2312"/>
          <w:color w:val="auto"/>
          <w:sz w:val="32"/>
          <w:szCs w:val="32"/>
          <w:highlight w:val="none"/>
          <w:lang w:eastAsia="zh-CN"/>
        </w:rPr>
        <w:t>，实现</w:t>
      </w:r>
      <w:r>
        <w:rPr>
          <w:rFonts w:hint="eastAsia" w:ascii="宋体" w:hAnsi="宋体" w:eastAsia="仿宋_GB2312" w:cs="仿宋_GB2312"/>
          <w:color w:val="auto"/>
          <w:sz w:val="32"/>
          <w:szCs w:val="32"/>
          <w:highlight w:val="none"/>
        </w:rPr>
        <w:t>同一政务服务事项名称、类型、依据、编码统一。</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lang w:eastAsia="zh-CN"/>
        </w:rPr>
        <w:t>办理事项</w:t>
      </w:r>
      <w:r>
        <w:rPr>
          <w:rFonts w:hint="eastAsia" w:ascii="宋体" w:hAnsi="宋体" w:eastAsia="仿宋_GB2312" w:cs="仿宋_GB2312"/>
          <w:color w:val="auto"/>
          <w:sz w:val="32"/>
          <w:szCs w:val="32"/>
          <w:highlight w:val="none"/>
        </w:rPr>
        <w:t>的申请条件和申请材料应当明确、具体，不得含有兜底条款。有关部门不得要求市场主体提供办事指南规定之外的申请材料。可以通过省政务大数据中心共享获得的公共数据，不得要求市场主体提供。</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color w:val="auto"/>
          <w:sz w:val="32"/>
          <w:szCs w:val="32"/>
          <w:highlight w:val="none"/>
        </w:rPr>
        <w:t>第</w:t>
      </w:r>
      <w:r>
        <w:rPr>
          <w:rFonts w:hint="eastAsia" w:ascii="宋体" w:hAnsi="宋体" w:eastAsia="黑体" w:cs="黑体"/>
          <w:color w:val="auto"/>
          <w:sz w:val="32"/>
          <w:szCs w:val="32"/>
          <w:highlight w:val="none"/>
          <w:lang w:val="en-US" w:eastAsia="zh-CN"/>
        </w:rPr>
        <w:t>三十</w:t>
      </w:r>
      <w:r>
        <w:rPr>
          <w:rFonts w:hint="eastAsia" w:ascii="宋体" w:hAnsi="宋体" w:eastAsia="黑体" w:cs="黑体"/>
          <w:color w:val="auto"/>
          <w:sz w:val="32"/>
          <w:szCs w:val="32"/>
          <w:highlight w:val="none"/>
        </w:rPr>
        <w:t>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省人民政府政务服务主管部门应当制定、公布并完善各级政务服务</w:t>
      </w:r>
      <w:r>
        <w:rPr>
          <w:rFonts w:hint="eastAsia" w:ascii="宋体" w:hAnsi="宋体" w:eastAsia="仿宋_GB2312" w:cs="仿宋_GB2312"/>
          <w:color w:val="auto"/>
          <w:sz w:val="32"/>
          <w:szCs w:val="32"/>
          <w:highlight w:val="none"/>
          <w:lang w:eastAsia="zh-CN"/>
        </w:rPr>
        <w:t>中心</w:t>
      </w:r>
      <w:r>
        <w:rPr>
          <w:rFonts w:hint="eastAsia" w:ascii="宋体" w:hAnsi="宋体" w:eastAsia="仿宋_GB2312" w:cs="仿宋_GB2312"/>
          <w:color w:val="auto"/>
          <w:sz w:val="32"/>
          <w:szCs w:val="32"/>
          <w:highlight w:val="none"/>
        </w:rPr>
        <w:t>的建设运行标准和服务标准。</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rPr>
        <w:t>地级以上市、县级人民政府应当</w:t>
      </w:r>
      <w:r>
        <w:rPr>
          <w:rFonts w:hint="eastAsia" w:ascii="宋体" w:hAnsi="宋体" w:eastAsia="仿宋_GB2312" w:cs="仿宋_GB2312"/>
          <w:color w:val="auto"/>
          <w:sz w:val="32"/>
          <w:szCs w:val="32"/>
          <w:highlight w:val="none"/>
          <w:lang w:eastAsia="zh-CN"/>
        </w:rPr>
        <w:t>按照省制定的标准</w:t>
      </w:r>
      <w:r>
        <w:rPr>
          <w:rFonts w:hint="eastAsia" w:ascii="宋体" w:hAnsi="宋体" w:eastAsia="仿宋_GB2312" w:cs="仿宋_GB2312"/>
          <w:color w:val="auto"/>
          <w:sz w:val="32"/>
          <w:szCs w:val="32"/>
          <w:highlight w:val="none"/>
        </w:rPr>
        <w:t>建</w:t>
      </w:r>
      <w:r>
        <w:rPr>
          <w:rFonts w:hint="eastAsia" w:ascii="宋体" w:hAnsi="宋体" w:eastAsia="仿宋_GB2312" w:cs="仿宋_GB2312"/>
          <w:color w:val="auto"/>
          <w:sz w:val="32"/>
          <w:szCs w:val="32"/>
          <w:highlight w:val="none"/>
          <w:lang w:eastAsia="zh-CN"/>
        </w:rPr>
        <w:t>设</w:t>
      </w:r>
      <w:r>
        <w:rPr>
          <w:rFonts w:hint="eastAsia" w:ascii="宋体" w:hAnsi="宋体" w:eastAsia="仿宋_GB2312" w:cs="仿宋_GB2312"/>
          <w:color w:val="auto"/>
          <w:sz w:val="32"/>
          <w:szCs w:val="32"/>
          <w:highlight w:val="none"/>
        </w:rPr>
        <w:t>综合性实体政务服务</w:t>
      </w:r>
      <w:r>
        <w:rPr>
          <w:rFonts w:hint="eastAsia" w:ascii="宋体" w:hAnsi="宋体" w:eastAsia="仿宋_GB2312" w:cs="仿宋_GB2312"/>
          <w:color w:val="auto"/>
          <w:sz w:val="32"/>
          <w:szCs w:val="32"/>
          <w:highlight w:val="none"/>
          <w:lang w:eastAsia="zh-CN"/>
        </w:rPr>
        <w:t>中心</w:t>
      </w:r>
      <w:r>
        <w:rPr>
          <w:rFonts w:hint="eastAsia" w:ascii="宋体" w:hAnsi="宋体" w:eastAsia="仿宋_GB2312" w:cs="仿宋_GB2312"/>
          <w:color w:val="auto"/>
          <w:sz w:val="32"/>
          <w:szCs w:val="32"/>
          <w:highlight w:val="none"/>
        </w:rPr>
        <w:t>，根据实际将政务服务</w:t>
      </w:r>
      <w:r>
        <w:rPr>
          <w:rFonts w:hint="eastAsia" w:ascii="宋体" w:hAnsi="宋体" w:eastAsia="仿宋_GB2312" w:cs="仿宋_GB2312"/>
          <w:color w:val="auto"/>
          <w:sz w:val="32"/>
          <w:szCs w:val="32"/>
          <w:highlight w:val="none"/>
          <w:lang w:eastAsia="zh-CN"/>
        </w:rPr>
        <w:t>中心</w:t>
      </w:r>
      <w:r>
        <w:rPr>
          <w:rFonts w:hint="eastAsia" w:ascii="宋体" w:hAnsi="宋体" w:eastAsia="仿宋_GB2312" w:cs="仿宋_GB2312"/>
          <w:color w:val="auto"/>
          <w:sz w:val="32"/>
          <w:szCs w:val="32"/>
          <w:highlight w:val="none"/>
        </w:rPr>
        <w:t>部门分设的专业性服务窗口整合为综合</w:t>
      </w:r>
      <w:r>
        <w:rPr>
          <w:rFonts w:hint="eastAsia" w:ascii="宋体" w:hAnsi="宋体" w:eastAsia="仿宋_GB2312" w:cs="仿宋_GB2312"/>
          <w:color w:val="auto"/>
          <w:sz w:val="32"/>
          <w:szCs w:val="32"/>
          <w:highlight w:val="none"/>
          <w:lang w:eastAsia="zh-CN"/>
        </w:rPr>
        <w:t>办事</w:t>
      </w:r>
      <w:r>
        <w:rPr>
          <w:rFonts w:hint="eastAsia" w:ascii="宋体" w:hAnsi="宋体" w:eastAsia="仿宋_GB2312" w:cs="仿宋_GB2312"/>
          <w:color w:val="auto"/>
          <w:sz w:val="32"/>
          <w:szCs w:val="32"/>
          <w:highlight w:val="none"/>
        </w:rPr>
        <w:t>窗口，推动实行前台综合受理、后台分类审批、综合窗口出件</w:t>
      </w:r>
      <w:r>
        <w:rPr>
          <w:rFonts w:hint="eastAsia" w:ascii="宋体" w:hAnsi="宋体" w:eastAsia="仿宋_GB2312" w:cs="仿宋_GB2312"/>
          <w:color w:val="auto"/>
          <w:sz w:val="32"/>
          <w:szCs w:val="32"/>
          <w:highlight w:val="none"/>
          <w:lang w:eastAsia="zh-CN"/>
        </w:rPr>
        <w:t>的</w:t>
      </w:r>
      <w:r>
        <w:rPr>
          <w:rFonts w:hint="eastAsia" w:ascii="宋体" w:hAnsi="宋体" w:eastAsia="仿宋_GB2312" w:cs="仿宋_GB2312"/>
          <w:color w:val="auto"/>
          <w:sz w:val="32"/>
          <w:szCs w:val="32"/>
          <w:highlight w:val="none"/>
        </w:rPr>
        <w:t>工作模式，实现政务服务事项一窗通办</w:t>
      </w:r>
      <w:r>
        <w:rPr>
          <w:rFonts w:hint="eastAsia" w:ascii="宋体" w:hAnsi="宋体" w:eastAsia="仿宋_GB2312" w:cs="仿宋_GB2312"/>
          <w:color w:val="auto"/>
          <w:sz w:val="32"/>
          <w:szCs w:val="32"/>
          <w:highlight w:val="none"/>
          <w:lang w:eastAsia="zh-CN"/>
        </w:rPr>
        <w:t>；设置政务服务事项跨省办理和省内跨市办理的专门窗口，为市场主体提供异地办事服务。</w:t>
      </w:r>
      <w:r>
        <w:rPr>
          <w:rFonts w:hint="eastAsia" w:ascii="宋体" w:hAnsi="宋体" w:eastAsia="仿宋_GB2312" w:cs="仿宋_GB2312"/>
          <w:color w:val="auto"/>
          <w:sz w:val="32"/>
          <w:szCs w:val="32"/>
          <w:highlight w:val="none"/>
        </w:rPr>
        <w:t>乡镇人民政府、街道办事处应当设立便民服务</w:t>
      </w:r>
      <w:r>
        <w:rPr>
          <w:rFonts w:hint="eastAsia" w:ascii="宋体" w:hAnsi="宋体" w:eastAsia="仿宋_GB2312" w:cs="仿宋_GB2312"/>
          <w:color w:val="auto"/>
          <w:sz w:val="32"/>
          <w:szCs w:val="32"/>
          <w:highlight w:val="none"/>
          <w:lang w:eastAsia="zh-CN"/>
        </w:rPr>
        <w:t>中心</w:t>
      </w:r>
      <w:r>
        <w:rPr>
          <w:rFonts w:hint="eastAsia" w:ascii="宋体" w:hAnsi="宋体" w:eastAsia="仿宋_GB2312" w:cs="仿宋_GB2312"/>
          <w:color w:val="auto"/>
          <w:sz w:val="32"/>
          <w:szCs w:val="32"/>
          <w:highlight w:val="none"/>
        </w:rPr>
        <w:t>，为市场主体就近办理政务服务事项提供便利。</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rPr>
        <w:t>县级以上人民政府及其有关部门应当明确政务服务线上线下的办理条件、申请材料、办理流程，提供集中办理、就近办理、网上办理、异地办理等多样化便民服务方式。</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i/>
          <w:iCs/>
          <w:color w:val="auto"/>
          <w:highlight w:val="none"/>
          <w:u w:val="single"/>
        </w:rPr>
      </w:pPr>
      <w:r>
        <w:rPr>
          <w:rFonts w:hint="eastAsia" w:ascii="宋体" w:hAnsi="宋体" w:eastAsia="仿宋_GB2312" w:cs="仿宋_GB2312"/>
          <w:i w:val="0"/>
          <w:iCs w:val="0"/>
          <w:color w:val="auto"/>
          <w:sz w:val="32"/>
          <w:szCs w:val="32"/>
          <w:highlight w:val="none"/>
          <w:u w:val="none"/>
        </w:rPr>
        <w:t>市场主体有权自主选择线上或者线下办理政务服务，行政机关不得限定市场主体的申请方式和办理渠道，但法律、法规另有规定的除外。</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i w:val="0"/>
          <w:iCs w:val="0"/>
          <w:color w:val="auto"/>
          <w:sz w:val="32"/>
          <w:szCs w:val="32"/>
          <w:highlight w:val="none"/>
          <w:u w:val="none"/>
          <w:lang w:eastAsia="zh-CN"/>
        </w:rPr>
      </w:pPr>
      <w:r>
        <w:rPr>
          <w:rFonts w:hint="eastAsia" w:ascii="宋体" w:hAnsi="宋体" w:eastAsia="黑体" w:cs="黑体"/>
          <w:color w:val="auto"/>
          <w:sz w:val="32"/>
          <w:szCs w:val="32"/>
          <w:highlight w:val="none"/>
          <w:lang w:val="en-US" w:eastAsia="zh-CN"/>
        </w:rPr>
        <w:t>第三十一</w:t>
      </w:r>
      <w:r>
        <w:rPr>
          <w:rFonts w:hint="eastAsia" w:ascii="宋体" w:hAnsi="宋体" w:eastAsia="黑体" w:cs="黑体"/>
          <w:color w:val="auto"/>
          <w:sz w:val="32"/>
          <w:szCs w:val="32"/>
          <w:highlight w:val="none"/>
          <w:lang w:eastAsia="zh-CN"/>
        </w:rPr>
        <w:t>条</w:t>
      </w:r>
      <w:r>
        <w:rPr>
          <w:rFonts w:hint="eastAsia" w:ascii="宋体" w:hAnsi="宋体" w:eastAsia="仿宋_GB2312" w:cs="仿宋_GB2312"/>
          <w:i w:val="0"/>
          <w:iCs w:val="0"/>
          <w:color w:val="auto"/>
          <w:sz w:val="32"/>
          <w:szCs w:val="32"/>
          <w:highlight w:val="none"/>
          <w:u w:val="none"/>
          <w:lang w:val="en-US" w:eastAsia="zh-CN"/>
        </w:rPr>
        <w:t xml:space="preserve">  </w:t>
      </w:r>
      <w:r>
        <w:rPr>
          <w:rFonts w:hint="eastAsia" w:ascii="宋体" w:hAnsi="宋体" w:eastAsia="仿宋_GB2312" w:cs="仿宋_GB2312"/>
          <w:i w:val="0"/>
          <w:iCs w:val="0"/>
          <w:color w:val="auto"/>
          <w:sz w:val="32"/>
          <w:szCs w:val="32"/>
          <w:highlight w:val="none"/>
          <w:u w:val="none"/>
          <w:lang w:eastAsia="zh-CN"/>
        </w:rPr>
        <w:t>各级人民政府及其有关部门应当不断优化政务服务事项的申办审批流程，推行政务服务事项一次办结。市场主体申请办理一件政务服务事项，申请材料齐全、符合法定形式的，从提出申请到收到办理结果，只需到实体服务大厅办理一次，但法律、法规另有规定的除外。</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i w:val="0"/>
          <w:iCs w:val="0"/>
          <w:color w:val="auto"/>
          <w:sz w:val="32"/>
          <w:szCs w:val="32"/>
          <w:highlight w:val="none"/>
          <w:u w:val="none"/>
          <w:lang w:val="en-US" w:eastAsia="zh-CN"/>
        </w:rPr>
      </w:pPr>
      <w:r>
        <w:rPr>
          <w:rFonts w:hint="eastAsia" w:ascii="宋体" w:hAnsi="宋体" w:eastAsia="仿宋_GB2312" w:cs="仿宋_GB2312"/>
          <w:i w:val="0"/>
          <w:iCs w:val="0"/>
          <w:color w:val="auto"/>
          <w:sz w:val="32"/>
          <w:szCs w:val="32"/>
          <w:highlight w:val="none"/>
          <w:u w:val="none"/>
          <w:lang w:eastAsia="zh-CN"/>
        </w:rPr>
        <w:t>各级政务服务事项实施部门应当通过广东政务服务网公布适用于一次办结的政务服务事项清单，并按照国家和省的有关规定实行动态调整。</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color w:val="auto"/>
          <w:sz w:val="32"/>
          <w:szCs w:val="32"/>
          <w:highlight w:val="none"/>
          <w:lang w:val="en-US" w:eastAsia="zh-CN"/>
        </w:rPr>
        <w:t>第三十二条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县级以上人民政府及其有关部门应当建立政务服务事项容缺受理制度，公开容缺受理的适用事项，明确事项的主要申报材料和次要申报材料。</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highlight w:val="none"/>
        </w:rPr>
      </w:pPr>
      <w:r>
        <w:rPr>
          <w:rFonts w:hint="eastAsia" w:ascii="宋体" w:hAnsi="宋体" w:eastAsia="仿宋_GB2312" w:cs="仿宋_GB2312"/>
          <w:color w:val="auto"/>
          <w:sz w:val="32"/>
          <w:szCs w:val="32"/>
          <w:highlight w:val="none"/>
        </w:rPr>
        <w:t>对基本条件具备、主要申报材料齐全且符合法定条件，但次要材料或者副件有欠缺的登记、审批事项，申请人按照要求作出书面承诺后，行政机关应当先予受理并一次性告知申请人需要补充的材料、补交期限。</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color w:val="auto"/>
          <w:sz w:val="32"/>
          <w:szCs w:val="32"/>
          <w:highlight w:val="none"/>
          <w:lang w:val="en-US" w:eastAsia="zh-CN"/>
        </w:rPr>
        <w:t>第三十三条</w:t>
      </w:r>
      <w:r>
        <w:rPr>
          <w:rFonts w:hint="eastAsia" w:ascii="宋体" w:hAnsi="宋体" w:eastAsia="仿宋_GB2312" w:cs="仿宋_GB2312"/>
          <w:color w:val="auto"/>
          <w:sz w:val="32"/>
          <w:szCs w:val="32"/>
          <w:highlight w:val="none"/>
          <w:lang w:val="en-US" w:eastAsia="zh-CN"/>
        </w:rPr>
        <w:t xml:space="preserve">  各级人民政府及其有关部门</w:t>
      </w:r>
      <w:r>
        <w:rPr>
          <w:rFonts w:hint="eastAsia" w:ascii="宋体" w:hAnsi="宋体" w:eastAsia="仿宋_GB2312" w:cs="仿宋_GB2312"/>
          <w:color w:val="auto"/>
          <w:sz w:val="32"/>
          <w:szCs w:val="32"/>
          <w:highlight w:val="none"/>
        </w:rPr>
        <w:t>应当健全首问负责、预约办理、业务咨询、一次告知、限时办结等制度，完善全程帮办、联办以及错时、延时服务等工作机制。</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lang w:val="en-US" w:eastAsia="zh-CN"/>
        </w:rPr>
        <w:t>各级人民政府及其有关部门</w:t>
      </w:r>
      <w:r>
        <w:rPr>
          <w:rFonts w:hint="eastAsia" w:ascii="宋体" w:hAnsi="宋体" w:eastAsia="仿宋_GB2312" w:cs="仿宋_GB2312"/>
          <w:color w:val="auto"/>
          <w:sz w:val="32"/>
          <w:szCs w:val="32"/>
          <w:highlight w:val="none"/>
        </w:rPr>
        <w:t>应当建立健全政务服务评价</w:t>
      </w:r>
      <w:r>
        <w:rPr>
          <w:rFonts w:hint="eastAsia" w:ascii="宋体" w:hAnsi="宋体" w:eastAsia="仿宋_GB2312" w:cs="仿宋_GB2312"/>
          <w:color w:val="auto"/>
          <w:sz w:val="32"/>
          <w:szCs w:val="32"/>
          <w:highlight w:val="none"/>
          <w:lang w:eastAsia="zh-CN"/>
        </w:rPr>
        <w:t>和整改</w:t>
      </w:r>
      <w:r>
        <w:rPr>
          <w:rFonts w:hint="eastAsia" w:ascii="宋体" w:hAnsi="宋体" w:eastAsia="仿宋_GB2312" w:cs="仿宋_GB2312"/>
          <w:color w:val="auto"/>
          <w:sz w:val="32"/>
          <w:szCs w:val="32"/>
          <w:highlight w:val="none"/>
        </w:rPr>
        <w:t>制度，市场主体可以通过线上线下渠道评价服务绩效。</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color w:val="auto"/>
          <w:sz w:val="32"/>
          <w:szCs w:val="32"/>
          <w:highlight w:val="none"/>
          <w:lang w:val="en-US" w:eastAsia="zh-CN"/>
        </w:rPr>
        <w:t>第三十四条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各级人民政府及其有关部门应当在政务服务中推广应用电子证照、电子印章、电子签名，并规定证照、签章等电子材料具体业务应用场景</w:t>
      </w:r>
      <w:r>
        <w:rPr>
          <w:rFonts w:hint="eastAsia" w:ascii="宋体" w:hAnsi="宋体" w:eastAsia="仿宋_GB2312" w:cs="仿宋_GB2312"/>
          <w:color w:val="auto"/>
          <w:sz w:val="32"/>
          <w:szCs w:val="32"/>
          <w:highlight w:val="none"/>
          <w:lang w:eastAsia="zh-CN"/>
        </w:rPr>
        <w:t>，推动电子证照、签章互认共享</w:t>
      </w:r>
      <w:r>
        <w:rPr>
          <w:rFonts w:hint="eastAsia" w:ascii="宋体" w:hAnsi="宋体" w:eastAsia="仿宋_GB2312" w:cs="仿宋_GB2312"/>
          <w:color w:val="auto"/>
          <w:sz w:val="32"/>
          <w:szCs w:val="32"/>
          <w:highlight w:val="none"/>
        </w:rPr>
        <w:t>。</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rPr>
        <w:t>市场主体办理政务服务事项和公用服务事项，可以使用电子证照、电子证明和加盖电子印章或者使用符合法定要求的电子签名进行确认的电子材料，有关单位不得拒绝办理或者要求申请人提供实体材料，但依法应当核验的除外。</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color w:val="auto"/>
          <w:sz w:val="32"/>
          <w:szCs w:val="32"/>
          <w:highlight w:val="none"/>
          <w:lang w:val="en-US" w:eastAsia="zh-CN"/>
        </w:rPr>
        <w:t>第三十五条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各级人民政府及其有关部门应当</w:t>
      </w:r>
      <w:r>
        <w:rPr>
          <w:rFonts w:hint="eastAsia" w:ascii="宋体" w:hAnsi="宋体" w:eastAsia="仿宋_GB2312" w:cs="仿宋_GB2312"/>
          <w:color w:val="auto"/>
          <w:sz w:val="32"/>
          <w:szCs w:val="32"/>
          <w:highlight w:val="none"/>
          <w:lang w:eastAsia="zh-CN"/>
        </w:rPr>
        <w:t>全面清理地方实施的证明事项，</w:t>
      </w:r>
      <w:r>
        <w:rPr>
          <w:rFonts w:hint="eastAsia" w:ascii="宋体" w:hAnsi="宋体" w:eastAsia="仿宋_GB2312" w:cs="仿宋_GB2312"/>
          <w:color w:val="auto"/>
          <w:sz w:val="32"/>
          <w:szCs w:val="32"/>
          <w:highlight w:val="none"/>
        </w:rPr>
        <w:t>公布依法保留的证明事项清单，逐项列明设定依据、开具单位、索要单位、办事指南等。清单之外，政府部门、公用企事业单位和服务机构不得索要证明。</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lang w:eastAsia="zh-CN"/>
        </w:rPr>
        <w:t>县级以上人民政府及其有关部门应当推动</w:t>
      </w:r>
      <w:r>
        <w:rPr>
          <w:rFonts w:hint="eastAsia" w:ascii="宋体" w:hAnsi="宋体" w:eastAsia="仿宋_GB2312" w:cs="仿宋_GB2312"/>
          <w:color w:val="auto"/>
          <w:sz w:val="32"/>
          <w:szCs w:val="32"/>
          <w:highlight w:val="none"/>
        </w:rPr>
        <w:t>在市场监管、税务、消防安全、生态环境保护等领域，使用由省公共信用信息平台生成的含有市场主体自身监管信息的信用报告，代替需要办理的证明事项。</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color w:val="auto"/>
          <w:sz w:val="32"/>
          <w:szCs w:val="32"/>
          <w:highlight w:val="none"/>
          <w:lang w:val="en-US" w:eastAsia="zh-CN"/>
        </w:rPr>
        <w:t>第三十六条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省</w:t>
      </w:r>
      <w:r>
        <w:rPr>
          <w:rFonts w:hint="eastAsia" w:ascii="宋体" w:hAnsi="宋体" w:eastAsia="仿宋_GB2312" w:cs="仿宋_GB2312"/>
          <w:color w:val="auto"/>
          <w:sz w:val="32"/>
          <w:szCs w:val="32"/>
          <w:highlight w:val="none"/>
          <w:lang w:eastAsia="zh-CN"/>
        </w:rPr>
        <w:t>和</w:t>
      </w:r>
      <w:r>
        <w:rPr>
          <w:rFonts w:hint="eastAsia" w:ascii="宋体" w:hAnsi="宋体" w:eastAsia="仿宋_GB2312" w:cs="仿宋_GB2312"/>
          <w:color w:val="auto"/>
          <w:sz w:val="32"/>
          <w:szCs w:val="32"/>
          <w:highlight w:val="none"/>
        </w:rPr>
        <w:t>地级以上市人民政府及其有关部门应当按照规定制定并公布告知承诺事项清单。列入告知承诺事项清单的证明事项和涉企经营许可事项，申请人可以自主选择提供相关材料或者采用告知承诺制办理。承诺情况记入申请人信用信息，作为差异化分类监管的重要依据。</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color w:val="auto"/>
          <w:sz w:val="32"/>
          <w:szCs w:val="32"/>
          <w:highlight w:val="none"/>
        </w:rPr>
        <w:t>第</w:t>
      </w:r>
      <w:r>
        <w:rPr>
          <w:rFonts w:hint="eastAsia" w:ascii="宋体" w:hAnsi="宋体" w:eastAsia="黑体" w:cs="黑体"/>
          <w:color w:val="auto"/>
          <w:sz w:val="32"/>
          <w:szCs w:val="32"/>
          <w:highlight w:val="none"/>
          <w:lang w:val="en-US" w:eastAsia="zh-CN"/>
        </w:rPr>
        <w:t>三十七</w:t>
      </w:r>
      <w:r>
        <w:rPr>
          <w:rFonts w:hint="eastAsia" w:ascii="宋体" w:hAnsi="宋体" w:eastAsia="黑体" w:cs="黑体"/>
          <w:color w:val="auto"/>
          <w:sz w:val="32"/>
          <w:szCs w:val="32"/>
          <w:highlight w:val="none"/>
        </w:rPr>
        <w:t>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县级以上人民政府应当深化投资审批制度改革，</w:t>
      </w:r>
      <w:r>
        <w:rPr>
          <w:rFonts w:hint="eastAsia" w:ascii="宋体" w:hAnsi="宋体" w:eastAsia="仿宋_GB2312" w:cs="仿宋_GB2312"/>
          <w:color w:val="auto"/>
          <w:sz w:val="32"/>
          <w:szCs w:val="32"/>
          <w:highlight w:val="none"/>
          <w:lang w:eastAsia="zh-CN"/>
        </w:rPr>
        <w:t>严格控制增设或者变相增设投资审批环节；</w:t>
      </w:r>
      <w:r>
        <w:rPr>
          <w:rFonts w:hint="eastAsia" w:ascii="宋体" w:hAnsi="宋体" w:eastAsia="仿宋_GB2312" w:cs="仿宋_GB2312"/>
          <w:color w:val="auto"/>
          <w:sz w:val="32"/>
          <w:szCs w:val="32"/>
          <w:highlight w:val="none"/>
        </w:rPr>
        <w:t>健全部门协同工作机制，推进投资项目在线审批监管平台、工程建设项目审批管理系统等相关信息系统互联互通、信息共享</w:t>
      </w:r>
      <w:r>
        <w:rPr>
          <w:rFonts w:hint="eastAsia" w:ascii="宋体" w:hAnsi="宋体" w:eastAsia="仿宋_GB2312" w:cs="仿宋_GB2312"/>
          <w:color w:val="auto"/>
          <w:sz w:val="32"/>
          <w:szCs w:val="32"/>
          <w:highlight w:val="none"/>
          <w:lang w:eastAsia="zh-CN"/>
        </w:rPr>
        <w:t>，</w:t>
      </w:r>
      <w:r>
        <w:rPr>
          <w:rFonts w:hint="eastAsia" w:ascii="宋体" w:hAnsi="宋体" w:eastAsia="仿宋_GB2312" w:cs="仿宋_GB2312"/>
          <w:color w:val="auto"/>
          <w:sz w:val="32"/>
          <w:szCs w:val="32"/>
          <w:highlight w:val="none"/>
        </w:rPr>
        <w:t>强化项目决策与用地、规划等建设条件同步落实，实行与相关审批在线并联办理。</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color w:val="auto"/>
          <w:sz w:val="32"/>
          <w:szCs w:val="32"/>
          <w:highlight w:val="none"/>
        </w:rPr>
        <w:t>第</w:t>
      </w:r>
      <w:r>
        <w:rPr>
          <w:rFonts w:hint="eastAsia" w:ascii="宋体" w:hAnsi="宋体" w:eastAsia="黑体" w:cs="黑体"/>
          <w:color w:val="auto"/>
          <w:sz w:val="32"/>
          <w:szCs w:val="32"/>
          <w:highlight w:val="none"/>
          <w:lang w:val="en-US" w:eastAsia="zh-CN"/>
        </w:rPr>
        <w:t>三十八</w:t>
      </w:r>
      <w:r>
        <w:rPr>
          <w:rFonts w:hint="eastAsia" w:ascii="宋体" w:hAnsi="宋体" w:eastAsia="黑体" w:cs="黑体"/>
          <w:color w:val="auto"/>
          <w:sz w:val="32"/>
          <w:szCs w:val="32"/>
          <w:highlight w:val="none"/>
        </w:rPr>
        <w:t>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地级以上市</w:t>
      </w:r>
      <w:r>
        <w:rPr>
          <w:rFonts w:hint="eastAsia" w:ascii="宋体" w:hAnsi="宋体" w:eastAsia="仿宋_GB2312" w:cs="仿宋_GB2312"/>
          <w:color w:val="auto"/>
          <w:sz w:val="32"/>
          <w:szCs w:val="32"/>
          <w:highlight w:val="none"/>
          <w:lang w:eastAsia="zh-CN"/>
        </w:rPr>
        <w:t>人民政府应当深化工程建设项目（不包括特殊工程和交通、水利、能源等领域的重大工程）审批制度改革，确定立项用地规划许可、工程建设许可、施工许</w:t>
      </w:r>
      <w:r>
        <w:rPr>
          <w:rFonts w:hint="eastAsia" w:ascii="宋体" w:hAnsi="宋体" w:eastAsia="仿宋_GB2312" w:cs="仿宋_GB2312"/>
          <w:color w:val="auto"/>
          <w:sz w:val="32"/>
          <w:szCs w:val="32"/>
          <w:highlight w:val="none"/>
        </w:rPr>
        <w:t>可、竣工验收四个审批阶段</w:t>
      </w:r>
      <w:r>
        <w:rPr>
          <w:rFonts w:hint="eastAsia" w:ascii="宋体" w:hAnsi="宋体" w:eastAsia="仿宋_GB2312" w:cs="仿宋_GB2312"/>
          <w:color w:val="auto"/>
          <w:sz w:val="32"/>
          <w:szCs w:val="32"/>
          <w:highlight w:val="none"/>
          <w:lang w:eastAsia="zh-CN"/>
        </w:rPr>
        <w:t>的牵头部门，组织并联审批；并</w:t>
      </w:r>
      <w:r>
        <w:rPr>
          <w:rFonts w:hint="eastAsia" w:ascii="宋体" w:hAnsi="宋体" w:eastAsia="仿宋_GB2312" w:cs="仿宋_GB2312"/>
          <w:color w:val="auto"/>
          <w:sz w:val="32"/>
          <w:szCs w:val="32"/>
          <w:highlight w:val="none"/>
        </w:rPr>
        <w:t>依托工程建设项目审批管理系统，实现全过程在线审批。</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pacing w:val="-3"/>
          <w:sz w:val="32"/>
          <w:szCs w:val="32"/>
          <w:highlight w:val="none"/>
          <w:lang w:val="en-US" w:eastAsia="zh-CN"/>
        </w:rPr>
      </w:pPr>
      <w:r>
        <w:rPr>
          <w:rFonts w:hint="eastAsia" w:ascii="宋体" w:hAnsi="宋体" w:eastAsia="仿宋_GB2312" w:cs="仿宋_GB2312"/>
          <w:color w:val="auto"/>
          <w:sz w:val="32"/>
          <w:szCs w:val="32"/>
          <w:highlight w:val="none"/>
          <w:lang w:eastAsia="zh-CN"/>
        </w:rPr>
        <w:t>在自由贸易试验区、开发区、产业园区、新区等有条件的区域，按照国家和省的有关规定</w:t>
      </w:r>
      <w:r>
        <w:rPr>
          <w:rFonts w:hint="eastAsia" w:ascii="宋体" w:hAnsi="宋体" w:eastAsia="仿宋_GB2312" w:cs="仿宋_GB2312"/>
          <w:color w:val="auto"/>
          <w:sz w:val="32"/>
          <w:szCs w:val="32"/>
          <w:highlight w:val="none"/>
          <w:lang w:val="en-US" w:eastAsia="zh-CN"/>
        </w:rPr>
        <w:t>推行区域评估</w:t>
      </w:r>
      <w:r>
        <w:rPr>
          <w:rFonts w:hint="eastAsia" w:ascii="宋体" w:hAnsi="宋体" w:eastAsia="仿宋_GB2312" w:cs="仿宋_GB2312"/>
          <w:color w:val="auto"/>
          <w:sz w:val="32"/>
          <w:szCs w:val="32"/>
          <w:highlight w:val="none"/>
          <w:lang w:eastAsia="zh-CN"/>
        </w:rPr>
        <w:t>，组织有关部门或者委托第三方机构对压覆重要矿产资源、环境影响、</w:t>
      </w:r>
      <w:r>
        <w:rPr>
          <w:rFonts w:hint="eastAsia" w:ascii="宋体" w:hAnsi="宋体" w:eastAsia="仿宋_GB2312" w:cs="仿宋_GB2312"/>
          <w:color w:val="auto"/>
          <w:sz w:val="32"/>
          <w:szCs w:val="32"/>
          <w:highlight w:val="none"/>
          <w:lang w:val="en-US" w:eastAsia="zh-CN"/>
        </w:rPr>
        <w:t>地质灾害危险性、</w:t>
      </w:r>
      <w:r>
        <w:rPr>
          <w:rFonts w:hint="eastAsia" w:ascii="宋体" w:hAnsi="宋体" w:eastAsia="仿宋_GB2312" w:cs="仿宋_GB2312"/>
          <w:color w:val="auto"/>
          <w:sz w:val="32"/>
          <w:szCs w:val="32"/>
          <w:highlight w:val="none"/>
          <w:lang w:eastAsia="zh-CN"/>
        </w:rPr>
        <w:t>水资源论证、水土保持、文物考古调查勘探、雷电灾害等事项进行统一评估，并在土地出让或者划拨前主动向建设单位告知</w:t>
      </w:r>
      <w:r>
        <w:rPr>
          <w:rFonts w:hint="eastAsia" w:ascii="宋体" w:hAnsi="宋体" w:eastAsia="仿宋_GB2312" w:cs="仿宋_GB2312"/>
          <w:color w:val="auto"/>
          <w:spacing w:val="-3"/>
          <w:sz w:val="32"/>
          <w:szCs w:val="32"/>
          <w:highlight w:val="none"/>
          <w:lang w:eastAsia="zh-CN"/>
        </w:rPr>
        <w:t>相关建设要求。对已经实施区域评估范围内的工程建设项目，相应的审批事项实行告知承诺制。区域评估费用不得由市场主体承担。</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rPr>
        <w:t>住房城乡建设、交通运输、水利、能源等行业主管部门应当会同发展改革、自然资源等有关部门加强工程建设项目风险分级分类审批和</w:t>
      </w:r>
      <w:r>
        <w:rPr>
          <w:rFonts w:hint="eastAsia" w:ascii="宋体" w:hAnsi="宋体" w:eastAsia="仿宋_GB2312" w:cs="仿宋_GB2312"/>
          <w:color w:val="auto"/>
          <w:sz w:val="32"/>
          <w:szCs w:val="32"/>
          <w:highlight w:val="none"/>
          <w:lang w:val="en-US" w:eastAsia="zh-CN"/>
        </w:rPr>
        <w:t>基于风险等级的</w:t>
      </w:r>
      <w:r>
        <w:rPr>
          <w:rFonts w:hint="eastAsia" w:ascii="宋体" w:hAnsi="宋体" w:eastAsia="仿宋_GB2312" w:cs="仿宋_GB2312"/>
          <w:color w:val="auto"/>
          <w:sz w:val="32"/>
          <w:szCs w:val="32"/>
          <w:highlight w:val="none"/>
        </w:rPr>
        <w:t>质量安全监管，明确各类工程建设项目风险划分标准和风险等级，并实行差异化审批和监管。</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val="en-US" w:eastAsia="zh-CN"/>
        </w:rPr>
      </w:pPr>
      <w:r>
        <w:rPr>
          <w:rFonts w:hint="eastAsia" w:ascii="宋体" w:hAnsi="宋体" w:eastAsia="黑体" w:cs="黑体"/>
          <w:color w:val="auto"/>
          <w:sz w:val="32"/>
          <w:szCs w:val="32"/>
          <w:highlight w:val="none"/>
        </w:rPr>
        <w:t>第</w:t>
      </w:r>
      <w:r>
        <w:rPr>
          <w:rFonts w:hint="eastAsia" w:ascii="宋体" w:hAnsi="宋体" w:eastAsia="黑体" w:cs="黑体"/>
          <w:color w:val="auto"/>
          <w:sz w:val="32"/>
          <w:szCs w:val="32"/>
          <w:highlight w:val="none"/>
          <w:lang w:val="en-US" w:eastAsia="zh-CN"/>
        </w:rPr>
        <w:t>三十九</w:t>
      </w:r>
      <w:r>
        <w:rPr>
          <w:rFonts w:hint="eastAsia" w:ascii="宋体" w:hAnsi="宋体" w:eastAsia="黑体" w:cs="黑体"/>
          <w:color w:val="auto"/>
          <w:sz w:val="32"/>
          <w:szCs w:val="32"/>
          <w:highlight w:val="none"/>
        </w:rPr>
        <w:t>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不动产登记机构应当加强与住房城乡建设、税务等部门的协作，实施不动产登记、交易和缴税一窗受理、并行办理，免费提供不动产登记信息网上查询和现场自助查询服务。</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val="en-US" w:eastAsia="zh-CN"/>
        </w:rPr>
      </w:pPr>
      <w:r>
        <w:rPr>
          <w:rFonts w:hint="eastAsia" w:ascii="宋体" w:hAnsi="宋体" w:eastAsia="仿宋_GB2312" w:cs="仿宋_GB2312"/>
          <w:color w:val="auto"/>
          <w:sz w:val="32"/>
          <w:szCs w:val="32"/>
          <w:highlight w:val="none"/>
          <w:lang w:val="en-US" w:eastAsia="zh-CN"/>
        </w:rPr>
        <w:t>不动产登记机构应当加强与供水、供电、供气、通信等公用企事业单位协作，推行不动产登记与有关公用服务事项变更联动办理，由不动产登记机构统一受理，一次性收取全部材料并推送至相应公用企事业单位并联办理相关业务。</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lang w:val="en-US" w:eastAsia="zh-CN"/>
        </w:rPr>
        <w:t>不动产登记机构应当加强与金融机构协作，实现市场主体委托金融机构直接在银行网点代为办理不动产抵押登记</w:t>
      </w:r>
      <w:r>
        <w:rPr>
          <w:rFonts w:hint="eastAsia" w:ascii="宋体" w:hAnsi="宋体" w:eastAsia="仿宋_GB2312" w:cs="仿宋_GB2312"/>
          <w:color w:val="auto"/>
          <w:sz w:val="32"/>
          <w:szCs w:val="32"/>
          <w:highlight w:val="none"/>
        </w:rPr>
        <w:t>手续。</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color w:val="auto"/>
          <w:sz w:val="32"/>
          <w:szCs w:val="32"/>
          <w:highlight w:val="none"/>
        </w:rPr>
        <w:t>第</w:t>
      </w:r>
      <w:r>
        <w:rPr>
          <w:rFonts w:hint="eastAsia" w:ascii="宋体" w:hAnsi="宋体" w:eastAsia="黑体" w:cs="黑体"/>
          <w:color w:val="auto"/>
          <w:sz w:val="32"/>
          <w:szCs w:val="32"/>
          <w:highlight w:val="none"/>
          <w:lang w:val="en-US" w:eastAsia="zh-CN"/>
        </w:rPr>
        <w:t>四十</w:t>
      </w:r>
      <w:r>
        <w:rPr>
          <w:rFonts w:hint="eastAsia" w:ascii="宋体" w:hAnsi="宋体" w:eastAsia="黑体" w:cs="黑体"/>
          <w:color w:val="auto"/>
          <w:sz w:val="32"/>
          <w:szCs w:val="32"/>
          <w:highlight w:val="none"/>
        </w:rPr>
        <w:t>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税务机关及有关部门应当优化办税流程</w:t>
      </w:r>
      <w:r>
        <w:rPr>
          <w:rFonts w:hint="eastAsia" w:ascii="宋体" w:hAnsi="宋体" w:eastAsia="仿宋_GB2312" w:cs="仿宋_GB2312"/>
          <w:color w:val="auto"/>
          <w:sz w:val="32"/>
          <w:szCs w:val="32"/>
          <w:highlight w:val="none"/>
          <w:lang w:eastAsia="zh-CN"/>
        </w:rPr>
        <w:t>，简化优惠政策申报程序，</w:t>
      </w:r>
      <w:r>
        <w:rPr>
          <w:rFonts w:hint="eastAsia" w:ascii="宋体" w:hAnsi="宋体" w:eastAsia="仿宋_GB2312" w:cs="仿宋_GB2312"/>
          <w:color w:val="auto"/>
          <w:sz w:val="32"/>
          <w:szCs w:val="32"/>
          <w:highlight w:val="none"/>
        </w:rPr>
        <w:t>拓宽办税渠道，</w:t>
      </w:r>
      <w:r>
        <w:rPr>
          <w:rFonts w:hint="eastAsia" w:ascii="宋体" w:hAnsi="宋体" w:eastAsia="仿宋_GB2312" w:cs="仿宋_GB2312"/>
          <w:color w:val="auto"/>
          <w:sz w:val="32"/>
          <w:szCs w:val="32"/>
          <w:highlight w:val="none"/>
          <w:lang w:eastAsia="zh-CN"/>
        </w:rPr>
        <w:t>实现主要涉税服务事项网上办理，</w:t>
      </w:r>
      <w:r>
        <w:rPr>
          <w:rFonts w:hint="eastAsia" w:ascii="宋体" w:hAnsi="宋体" w:eastAsia="仿宋_GB2312" w:cs="仿宋_GB2312"/>
          <w:color w:val="auto"/>
          <w:sz w:val="32"/>
          <w:szCs w:val="32"/>
          <w:highlight w:val="none"/>
        </w:rPr>
        <w:t>拓展非接触式办税缴费服务。</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color w:val="auto"/>
          <w:sz w:val="32"/>
          <w:szCs w:val="32"/>
          <w:highlight w:val="none"/>
        </w:rPr>
        <w:t>第</w:t>
      </w:r>
      <w:r>
        <w:rPr>
          <w:rFonts w:hint="eastAsia" w:ascii="宋体" w:hAnsi="宋体" w:eastAsia="黑体" w:cs="黑体"/>
          <w:color w:val="auto"/>
          <w:sz w:val="32"/>
          <w:szCs w:val="32"/>
          <w:highlight w:val="none"/>
          <w:lang w:val="en-US" w:eastAsia="zh-CN"/>
        </w:rPr>
        <w:t>四十一</w:t>
      </w:r>
      <w:r>
        <w:rPr>
          <w:rFonts w:hint="eastAsia" w:ascii="宋体" w:hAnsi="宋体" w:eastAsia="黑体" w:cs="黑体"/>
          <w:color w:val="auto"/>
          <w:sz w:val="32"/>
          <w:szCs w:val="32"/>
          <w:highlight w:val="none"/>
        </w:rPr>
        <w:t>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县级以上人民政府及</w:t>
      </w:r>
      <w:r>
        <w:rPr>
          <w:rFonts w:hint="eastAsia" w:ascii="宋体" w:hAnsi="宋体" w:eastAsia="仿宋_GB2312" w:cs="仿宋_GB2312"/>
          <w:color w:val="auto"/>
          <w:sz w:val="32"/>
          <w:szCs w:val="32"/>
          <w:highlight w:val="none"/>
          <w:lang w:eastAsia="zh-CN"/>
        </w:rPr>
        <w:t>商务等</w:t>
      </w:r>
      <w:r>
        <w:rPr>
          <w:rFonts w:hint="eastAsia" w:ascii="宋体" w:hAnsi="宋体" w:eastAsia="仿宋_GB2312" w:cs="仿宋_GB2312"/>
          <w:color w:val="auto"/>
          <w:sz w:val="32"/>
          <w:szCs w:val="32"/>
          <w:highlight w:val="none"/>
        </w:rPr>
        <w:t>有关部门应当依法精简进出口环节审批事项和单证，</w:t>
      </w:r>
      <w:r>
        <w:rPr>
          <w:rFonts w:hint="eastAsia" w:ascii="宋体" w:hAnsi="宋体" w:eastAsia="仿宋_GB2312" w:cs="仿宋_GB2312"/>
          <w:color w:val="auto"/>
          <w:sz w:val="32"/>
          <w:szCs w:val="32"/>
          <w:highlight w:val="none"/>
          <w:lang w:val="en-US" w:eastAsia="zh-CN"/>
        </w:rPr>
        <w:t>推广提前申报报关模式，</w:t>
      </w:r>
      <w:r>
        <w:rPr>
          <w:rFonts w:hint="eastAsia" w:ascii="宋体" w:hAnsi="宋体" w:eastAsia="仿宋_GB2312" w:cs="仿宋_GB2312"/>
          <w:color w:val="auto"/>
          <w:sz w:val="32"/>
          <w:szCs w:val="32"/>
          <w:highlight w:val="none"/>
        </w:rPr>
        <w:t>优化通关流程；对符合条件的企业及商品，依照有关规定，实行先放行后缴税、先放行后改单、先放行后检测等管理。</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lang w:val="en-US" w:eastAsia="zh-CN"/>
        </w:rPr>
        <w:t>省人民政府</w:t>
      </w:r>
      <w:r>
        <w:rPr>
          <w:rFonts w:hint="eastAsia" w:ascii="宋体" w:hAnsi="宋体" w:eastAsia="仿宋_GB2312" w:cs="仿宋_GB2312"/>
          <w:color w:val="auto"/>
          <w:sz w:val="32"/>
          <w:szCs w:val="32"/>
          <w:highlight w:val="none"/>
        </w:rPr>
        <w:t>依托国际贸易“单一窗口”平台，建立跨境贸易大数据平台，推动监管部门、</w:t>
      </w:r>
      <w:r>
        <w:rPr>
          <w:rFonts w:hint="eastAsia" w:ascii="宋体" w:hAnsi="宋体" w:eastAsia="仿宋_GB2312" w:cs="仿宋_GB2312"/>
          <w:color w:val="auto"/>
          <w:sz w:val="32"/>
          <w:szCs w:val="32"/>
          <w:highlight w:val="none"/>
          <w:lang w:eastAsia="zh-CN"/>
        </w:rPr>
        <w:t>相关出证机构、</w:t>
      </w:r>
      <w:r>
        <w:rPr>
          <w:rFonts w:hint="eastAsia" w:ascii="宋体" w:hAnsi="宋体" w:eastAsia="仿宋_GB2312" w:cs="仿宋_GB2312"/>
          <w:color w:val="auto"/>
          <w:sz w:val="32"/>
          <w:szCs w:val="32"/>
          <w:highlight w:val="none"/>
        </w:rPr>
        <w:t>港口、船舶公司、进出口企业、物流企业、中间代理商等各类主体信息系统对接和数据实时共享，为市场主体提供通关与物流各环节的货物状态查询服务。</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color w:val="auto"/>
          <w:sz w:val="32"/>
          <w:szCs w:val="32"/>
          <w:highlight w:val="none"/>
        </w:rPr>
        <w:t>第</w:t>
      </w:r>
      <w:r>
        <w:rPr>
          <w:rFonts w:hint="eastAsia" w:ascii="宋体" w:hAnsi="宋体" w:eastAsia="黑体" w:cs="黑体"/>
          <w:color w:val="auto"/>
          <w:sz w:val="32"/>
          <w:szCs w:val="32"/>
          <w:highlight w:val="none"/>
          <w:lang w:val="en-US" w:eastAsia="zh-CN"/>
        </w:rPr>
        <w:t>四十二</w:t>
      </w:r>
      <w:r>
        <w:rPr>
          <w:rFonts w:hint="eastAsia" w:ascii="宋体" w:hAnsi="宋体" w:eastAsia="黑体" w:cs="黑体"/>
          <w:color w:val="auto"/>
          <w:sz w:val="32"/>
          <w:szCs w:val="32"/>
          <w:highlight w:val="none"/>
        </w:rPr>
        <w:t>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省</w:t>
      </w:r>
      <w:r>
        <w:rPr>
          <w:rFonts w:hint="eastAsia" w:ascii="宋体" w:hAnsi="宋体" w:eastAsia="仿宋_GB2312" w:cs="仿宋_GB2312"/>
          <w:color w:val="auto"/>
          <w:sz w:val="32"/>
          <w:szCs w:val="32"/>
          <w:highlight w:val="none"/>
          <w:lang w:eastAsia="zh-CN"/>
        </w:rPr>
        <w:t>和</w:t>
      </w:r>
      <w:r>
        <w:rPr>
          <w:rFonts w:hint="eastAsia" w:ascii="宋体" w:hAnsi="宋体" w:eastAsia="仿宋_GB2312" w:cs="仿宋_GB2312"/>
          <w:color w:val="auto"/>
          <w:sz w:val="32"/>
          <w:szCs w:val="32"/>
          <w:highlight w:val="none"/>
        </w:rPr>
        <w:t>地级以上市人民政府应当整合公共资源交易平台，建立和公</w:t>
      </w:r>
      <w:r>
        <w:rPr>
          <w:rFonts w:hint="eastAsia" w:ascii="宋体" w:hAnsi="宋体" w:eastAsia="仿宋_GB2312" w:cs="仿宋_GB2312"/>
          <w:color w:val="auto"/>
          <w:sz w:val="32"/>
          <w:szCs w:val="32"/>
          <w:highlight w:val="none"/>
          <w:lang w:eastAsia="zh-CN"/>
        </w:rPr>
        <w:t>开</w:t>
      </w:r>
      <w:r>
        <w:rPr>
          <w:rFonts w:hint="eastAsia" w:ascii="宋体" w:hAnsi="宋体" w:eastAsia="仿宋_GB2312" w:cs="仿宋_GB2312"/>
          <w:color w:val="auto"/>
          <w:sz w:val="32"/>
          <w:szCs w:val="32"/>
          <w:highlight w:val="none"/>
        </w:rPr>
        <w:t>本地区公共资源交易目录清单，推进公共资源交易全流程电子化。</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rPr>
        <w:t>各级公共资源交易平台应当依法公开交易目录、程序、结果、监督等信息，优化见证、场所、信息、档案和专家抽取等</w:t>
      </w:r>
      <w:r>
        <w:rPr>
          <w:rFonts w:hint="eastAsia" w:ascii="宋体" w:hAnsi="宋体" w:eastAsia="仿宋_GB2312" w:cs="仿宋_GB2312"/>
          <w:color w:val="auto"/>
          <w:spacing w:val="-6"/>
          <w:sz w:val="32"/>
          <w:szCs w:val="32"/>
          <w:highlight w:val="none"/>
        </w:rPr>
        <w:t>服务，保障各类市场主体及时获取有关信息并平等参与交易活动。</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pacing w:val="-4"/>
          <w:sz w:val="32"/>
          <w:szCs w:val="32"/>
          <w:highlight w:val="none"/>
        </w:rPr>
      </w:pPr>
      <w:r>
        <w:rPr>
          <w:rFonts w:hint="eastAsia" w:ascii="宋体" w:hAnsi="宋体" w:eastAsia="黑体" w:cs="黑体"/>
          <w:color w:val="auto"/>
          <w:sz w:val="32"/>
          <w:szCs w:val="32"/>
          <w:highlight w:val="none"/>
        </w:rPr>
        <w:t>第</w:t>
      </w:r>
      <w:r>
        <w:rPr>
          <w:rFonts w:hint="eastAsia" w:ascii="宋体" w:hAnsi="宋体" w:eastAsia="黑体" w:cs="黑体"/>
          <w:color w:val="auto"/>
          <w:sz w:val="32"/>
          <w:szCs w:val="32"/>
          <w:highlight w:val="none"/>
          <w:lang w:val="en-US" w:eastAsia="zh-CN"/>
        </w:rPr>
        <w:t>四十三</w:t>
      </w:r>
      <w:r>
        <w:rPr>
          <w:rFonts w:hint="eastAsia" w:ascii="宋体" w:hAnsi="宋体" w:eastAsia="黑体" w:cs="黑体"/>
          <w:color w:val="auto"/>
          <w:sz w:val="32"/>
          <w:szCs w:val="32"/>
          <w:highlight w:val="none"/>
        </w:rPr>
        <w:t>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省人民政府有关部门应当</w:t>
      </w:r>
      <w:r>
        <w:rPr>
          <w:rFonts w:hint="eastAsia" w:ascii="宋体" w:hAnsi="宋体" w:eastAsia="仿宋_GB2312" w:cs="仿宋_GB2312"/>
          <w:color w:val="auto"/>
          <w:sz w:val="32"/>
          <w:szCs w:val="32"/>
          <w:highlight w:val="none"/>
          <w:lang w:eastAsia="zh-CN"/>
        </w:rPr>
        <w:t>依据法律、行政法规</w:t>
      </w:r>
      <w:r>
        <w:rPr>
          <w:rFonts w:hint="eastAsia" w:ascii="宋体" w:hAnsi="宋体" w:eastAsia="仿宋_GB2312" w:cs="仿宋_GB2312"/>
          <w:color w:val="auto"/>
          <w:spacing w:val="-4"/>
          <w:sz w:val="32"/>
          <w:szCs w:val="32"/>
          <w:highlight w:val="none"/>
          <w:lang w:eastAsia="zh-CN"/>
        </w:rPr>
        <w:t>和国务院决定</w:t>
      </w:r>
      <w:r>
        <w:rPr>
          <w:rFonts w:hint="eastAsia" w:ascii="宋体" w:hAnsi="宋体" w:eastAsia="仿宋_GB2312" w:cs="仿宋_GB2312"/>
          <w:color w:val="auto"/>
          <w:spacing w:val="-4"/>
          <w:sz w:val="32"/>
          <w:szCs w:val="32"/>
          <w:highlight w:val="none"/>
        </w:rPr>
        <w:t>编制并公布</w:t>
      </w:r>
      <w:r>
        <w:rPr>
          <w:rFonts w:hint="eastAsia" w:ascii="宋体" w:hAnsi="宋体" w:eastAsia="仿宋_GB2312" w:cs="仿宋_GB2312"/>
          <w:color w:val="auto"/>
          <w:spacing w:val="-4"/>
          <w:sz w:val="32"/>
          <w:szCs w:val="32"/>
          <w:highlight w:val="none"/>
          <w:lang w:eastAsia="zh-CN"/>
        </w:rPr>
        <w:t>法定</w:t>
      </w:r>
      <w:r>
        <w:rPr>
          <w:rFonts w:hint="eastAsia" w:ascii="宋体" w:hAnsi="宋体" w:eastAsia="仿宋_GB2312" w:cs="仿宋_GB2312"/>
          <w:color w:val="auto"/>
          <w:spacing w:val="-4"/>
          <w:sz w:val="32"/>
          <w:szCs w:val="32"/>
          <w:highlight w:val="none"/>
        </w:rPr>
        <w:t>行政审批中介服务</w:t>
      </w:r>
      <w:r>
        <w:rPr>
          <w:rFonts w:hint="eastAsia" w:ascii="宋体" w:hAnsi="宋体" w:eastAsia="仿宋_GB2312" w:cs="仿宋_GB2312"/>
          <w:color w:val="auto"/>
          <w:spacing w:val="-4"/>
          <w:sz w:val="32"/>
          <w:szCs w:val="32"/>
          <w:highlight w:val="none"/>
          <w:lang w:eastAsia="zh-CN"/>
        </w:rPr>
        <w:t>事项</w:t>
      </w:r>
      <w:r>
        <w:rPr>
          <w:rFonts w:hint="eastAsia" w:ascii="宋体" w:hAnsi="宋体" w:eastAsia="仿宋_GB2312" w:cs="仿宋_GB2312"/>
          <w:color w:val="auto"/>
          <w:spacing w:val="-4"/>
          <w:sz w:val="32"/>
          <w:szCs w:val="32"/>
          <w:highlight w:val="none"/>
        </w:rPr>
        <w:t>清单，明确事项名称、设定依据、办理时限、工作流程、申报条件、收费标准等。未纳入清单的中介服务事项，不得作为行政审批的受理条件。</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lang w:eastAsia="zh-CN"/>
        </w:rPr>
        <w:t>各级人民政府有关部门应当清理和取消自行设定的区域性、行业性或者部门间的中介服务机构执业限制，不得</w:t>
      </w:r>
      <w:r>
        <w:rPr>
          <w:rFonts w:hint="eastAsia" w:ascii="宋体" w:hAnsi="宋体" w:eastAsia="仿宋_GB2312" w:cs="仿宋_GB2312"/>
          <w:color w:val="auto"/>
          <w:sz w:val="32"/>
          <w:szCs w:val="32"/>
          <w:highlight w:val="none"/>
        </w:rPr>
        <w:t>通过限额管理控制中介服务机构数量。</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eastAsia="zh-CN"/>
        </w:rPr>
      </w:pPr>
      <w:r>
        <w:rPr>
          <w:rFonts w:hint="eastAsia" w:ascii="宋体" w:hAnsi="宋体" w:eastAsia="仿宋_GB2312" w:cs="仿宋_GB2312"/>
          <w:color w:val="auto"/>
          <w:sz w:val="32"/>
          <w:szCs w:val="32"/>
          <w:highlight w:val="none"/>
          <w:lang w:eastAsia="zh-CN"/>
        </w:rPr>
        <w:t>各级人民政府及其有关部门</w:t>
      </w:r>
      <w:r>
        <w:rPr>
          <w:rFonts w:hint="eastAsia" w:ascii="宋体" w:hAnsi="宋体" w:eastAsia="仿宋_GB2312" w:cs="仿宋_GB2312"/>
          <w:color w:val="auto"/>
          <w:sz w:val="32"/>
          <w:szCs w:val="32"/>
          <w:highlight w:val="none"/>
        </w:rPr>
        <w:t>在行政审批过程中需要委托中介服务机构开展技术性服务的，应当通过竞争性方式选择中介服务机构，并自行承担服务费用，不得转嫁给市场主体。行政审批</w:t>
      </w:r>
      <w:r>
        <w:rPr>
          <w:rFonts w:hint="eastAsia" w:ascii="宋体" w:hAnsi="宋体" w:eastAsia="仿宋_GB2312" w:cs="仿宋_GB2312"/>
          <w:color w:val="auto"/>
          <w:sz w:val="32"/>
          <w:szCs w:val="32"/>
          <w:highlight w:val="none"/>
          <w:lang w:eastAsia="zh-CN"/>
        </w:rPr>
        <w:t>过程</w:t>
      </w:r>
      <w:r>
        <w:rPr>
          <w:rFonts w:hint="eastAsia" w:ascii="宋体" w:hAnsi="宋体" w:eastAsia="仿宋_GB2312" w:cs="仿宋_GB2312"/>
          <w:color w:val="auto"/>
          <w:sz w:val="32"/>
          <w:szCs w:val="32"/>
          <w:highlight w:val="none"/>
        </w:rPr>
        <w:t>中的中</w:t>
      </w:r>
      <w:r>
        <w:rPr>
          <w:rFonts w:hint="eastAsia" w:ascii="宋体" w:hAnsi="宋体" w:eastAsia="仿宋_GB2312" w:cs="仿宋_GB2312"/>
          <w:color w:val="auto"/>
          <w:sz w:val="32"/>
          <w:szCs w:val="32"/>
          <w:highlight w:val="none"/>
          <w:lang w:eastAsia="zh-CN"/>
        </w:rPr>
        <w:t>介服务事项依法由市场主体委托的，应当由其自主选择中介服务机构，行政机关不得利用职权指定或者变相指定，不得妨碍中介服务机构公平竞争。</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lang w:eastAsia="zh-CN"/>
        </w:rPr>
        <w:t>各级人民政府应当依托全省统一的中介服务网上交易平台，为入驻的</w:t>
      </w:r>
      <w:r>
        <w:rPr>
          <w:rFonts w:hint="eastAsia" w:ascii="宋体" w:hAnsi="宋体" w:eastAsia="仿宋_GB2312" w:cs="仿宋_GB2312"/>
          <w:color w:val="auto"/>
          <w:sz w:val="32"/>
          <w:szCs w:val="32"/>
          <w:highlight w:val="none"/>
          <w:lang w:val="en-US" w:eastAsia="zh-CN"/>
        </w:rPr>
        <w:t>项目业主</w:t>
      </w:r>
      <w:r>
        <w:rPr>
          <w:rFonts w:hint="eastAsia" w:ascii="宋体" w:hAnsi="宋体" w:eastAsia="仿宋_GB2312" w:cs="仿宋_GB2312"/>
          <w:color w:val="auto"/>
          <w:sz w:val="32"/>
          <w:szCs w:val="32"/>
          <w:highlight w:val="none"/>
          <w:lang w:eastAsia="zh-CN"/>
        </w:rPr>
        <w:t>提供</w:t>
      </w:r>
      <w:r>
        <w:rPr>
          <w:rFonts w:hint="eastAsia" w:ascii="宋体" w:hAnsi="宋体" w:eastAsia="仿宋_GB2312" w:cs="仿宋_GB2312"/>
          <w:color w:val="auto"/>
          <w:sz w:val="32"/>
          <w:szCs w:val="32"/>
          <w:highlight w:val="none"/>
          <w:lang w:val="en-US" w:eastAsia="zh-CN"/>
        </w:rPr>
        <w:t>中介服务。</w:t>
      </w:r>
      <w:r>
        <w:rPr>
          <w:rFonts w:hint="eastAsia" w:ascii="宋体" w:hAnsi="宋体" w:eastAsia="仿宋_GB2312" w:cs="仿宋_GB2312"/>
          <w:color w:val="auto"/>
          <w:sz w:val="32"/>
          <w:szCs w:val="32"/>
          <w:highlight w:val="none"/>
          <w:lang w:eastAsia="zh-CN"/>
        </w:rPr>
        <w:t>项目业主使用财政性资金购买中介服务事项清单以内、政府集中采购目</w:t>
      </w:r>
      <w:r>
        <w:rPr>
          <w:rFonts w:hint="eastAsia" w:ascii="宋体" w:hAnsi="宋体" w:eastAsia="仿宋_GB2312" w:cs="仿宋_GB2312"/>
          <w:color w:val="auto"/>
          <w:sz w:val="32"/>
          <w:szCs w:val="32"/>
          <w:highlight w:val="none"/>
        </w:rPr>
        <w:t>录以外且未达到采购限额标准的中介服务，应当通过中介服务网上交易平台交易，但法律、法规另有规定的除外。</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i w:val="0"/>
          <w:iCs w:val="0"/>
          <w:color w:val="auto"/>
          <w:sz w:val="32"/>
          <w:szCs w:val="32"/>
          <w:highlight w:val="none"/>
          <w:u w:val="none"/>
        </w:rPr>
        <w:t>第</w:t>
      </w:r>
      <w:r>
        <w:rPr>
          <w:rFonts w:hint="eastAsia" w:ascii="宋体" w:hAnsi="宋体" w:eastAsia="黑体" w:cs="黑体"/>
          <w:color w:val="auto"/>
          <w:sz w:val="32"/>
          <w:szCs w:val="32"/>
          <w:highlight w:val="none"/>
          <w:lang w:val="en-US" w:eastAsia="zh-CN"/>
        </w:rPr>
        <w:t>四十四</w:t>
      </w:r>
      <w:r>
        <w:rPr>
          <w:rFonts w:hint="eastAsia" w:ascii="宋体" w:hAnsi="宋体" w:eastAsia="黑体" w:cs="黑体"/>
          <w:i w:val="0"/>
          <w:iCs w:val="0"/>
          <w:color w:val="auto"/>
          <w:sz w:val="32"/>
          <w:szCs w:val="32"/>
          <w:highlight w:val="none"/>
          <w:u w:val="none"/>
        </w:rPr>
        <w:t>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县级以上人民政府应当</w:t>
      </w:r>
      <w:r>
        <w:rPr>
          <w:rFonts w:hint="eastAsia" w:ascii="宋体" w:hAnsi="宋体" w:eastAsia="仿宋_GB2312" w:cs="仿宋_GB2312"/>
          <w:color w:val="auto"/>
          <w:sz w:val="32"/>
          <w:szCs w:val="32"/>
          <w:highlight w:val="none"/>
          <w:lang w:eastAsia="zh-CN"/>
        </w:rPr>
        <w:t>按照构建亲清新型政商关系的要求，畅通常态化政企沟通联系渠道，建立本级人民政府主要负责人与市场主体代表定期面对面协商沟通机制，</w:t>
      </w:r>
      <w:r>
        <w:rPr>
          <w:rFonts w:hint="eastAsia" w:ascii="宋体" w:hAnsi="宋体" w:eastAsia="仿宋_GB2312" w:cs="仿宋_GB2312"/>
          <w:color w:val="auto"/>
          <w:sz w:val="32"/>
          <w:szCs w:val="32"/>
          <w:highlight w:val="none"/>
        </w:rPr>
        <w:t>采取多种方式及时听取市场主体的反映和诉求，并依法帮助</w:t>
      </w:r>
      <w:r>
        <w:rPr>
          <w:rFonts w:hint="eastAsia" w:ascii="宋体" w:hAnsi="宋体" w:eastAsia="仿宋_GB2312" w:cs="仿宋_GB2312"/>
          <w:color w:val="auto"/>
          <w:sz w:val="32"/>
          <w:szCs w:val="32"/>
          <w:highlight w:val="none"/>
          <w:lang w:eastAsia="zh-CN"/>
        </w:rPr>
        <w:t>其</w:t>
      </w:r>
      <w:r>
        <w:rPr>
          <w:rFonts w:hint="eastAsia" w:ascii="宋体" w:hAnsi="宋体" w:eastAsia="仿宋_GB2312" w:cs="仿宋_GB2312"/>
          <w:color w:val="auto"/>
          <w:sz w:val="32"/>
          <w:szCs w:val="32"/>
          <w:highlight w:val="none"/>
        </w:rPr>
        <w:t>解决问题。</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color w:val="auto"/>
          <w:sz w:val="32"/>
          <w:szCs w:val="32"/>
          <w:highlight w:val="none"/>
        </w:rPr>
        <w:t>第</w:t>
      </w:r>
      <w:r>
        <w:rPr>
          <w:rFonts w:hint="eastAsia" w:ascii="宋体" w:hAnsi="宋体" w:eastAsia="黑体" w:cs="黑体"/>
          <w:color w:val="auto"/>
          <w:sz w:val="32"/>
          <w:szCs w:val="32"/>
          <w:highlight w:val="none"/>
          <w:lang w:val="en-US" w:eastAsia="zh-CN"/>
        </w:rPr>
        <w:t>四十五</w:t>
      </w:r>
      <w:r>
        <w:rPr>
          <w:rFonts w:hint="eastAsia" w:ascii="宋体" w:hAnsi="宋体" w:eastAsia="黑体" w:cs="黑体"/>
          <w:color w:val="auto"/>
          <w:sz w:val="32"/>
          <w:szCs w:val="32"/>
          <w:highlight w:val="none"/>
        </w:rPr>
        <w:t>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lang w:eastAsia="zh-CN"/>
        </w:rPr>
        <w:t>县级以上人民政府及其有关部门应当建立完善优惠政策免于申报的工作机制，通过信息共享、大数据分析等方式，对符合条件的企</w:t>
      </w:r>
      <w:r>
        <w:rPr>
          <w:rFonts w:hint="eastAsia" w:ascii="宋体" w:hAnsi="宋体" w:eastAsia="仿宋_GB2312" w:cs="仿宋_GB2312"/>
          <w:color w:val="auto"/>
          <w:sz w:val="32"/>
          <w:szCs w:val="32"/>
          <w:highlight w:val="none"/>
        </w:rPr>
        <w:t>业实行优惠政策免予申报、直接享受；确</w:t>
      </w:r>
      <w:r>
        <w:rPr>
          <w:rFonts w:hint="eastAsia" w:ascii="宋体" w:hAnsi="宋体" w:eastAsia="仿宋_GB2312" w:cs="仿宋_GB2312"/>
          <w:i w:val="0"/>
          <w:iCs w:val="0"/>
          <w:color w:val="auto"/>
          <w:sz w:val="32"/>
          <w:szCs w:val="32"/>
          <w:highlight w:val="none"/>
          <w:u w:val="none"/>
        </w:rPr>
        <w:t>需</w:t>
      </w:r>
      <w:r>
        <w:rPr>
          <w:rFonts w:hint="eastAsia" w:ascii="宋体" w:hAnsi="宋体" w:eastAsia="仿宋_GB2312" w:cs="仿宋_GB2312"/>
          <w:color w:val="auto"/>
          <w:sz w:val="32"/>
          <w:szCs w:val="32"/>
          <w:highlight w:val="none"/>
        </w:rPr>
        <w:t>企业提出申请的优惠政策，应当简化申报手续，</w:t>
      </w:r>
      <w:r>
        <w:rPr>
          <w:rFonts w:hint="eastAsia" w:ascii="宋体" w:hAnsi="宋体" w:eastAsia="仿宋_GB2312" w:cs="仿宋_GB2312"/>
          <w:color w:val="auto"/>
          <w:sz w:val="32"/>
          <w:szCs w:val="32"/>
          <w:highlight w:val="none"/>
          <w:lang w:eastAsia="zh-CN"/>
        </w:rPr>
        <w:t>推行全程网上办理，</w:t>
      </w:r>
      <w:r>
        <w:rPr>
          <w:rFonts w:hint="eastAsia" w:ascii="宋体" w:hAnsi="宋体" w:eastAsia="仿宋_GB2312" w:cs="仿宋_GB2312"/>
          <w:color w:val="auto"/>
          <w:sz w:val="32"/>
          <w:szCs w:val="32"/>
          <w:highlight w:val="none"/>
        </w:rPr>
        <w:t>实现一次申报、快速兑现。</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pacing w:val="-3"/>
          <w:sz w:val="32"/>
          <w:szCs w:val="32"/>
          <w:highlight w:val="none"/>
          <w:lang w:eastAsia="zh-CN"/>
        </w:rPr>
      </w:pPr>
      <w:r>
        <w:rPr>
          <w:rFonts w:hint="eastAsia" w:ascii="宋体" w:hAnsi="宋体" w:eastAsia="仿宋_GB2312" w:cs="仿宋_GB2312"/>
          <w:color w:val="auto"/>
          <w:sz w:val="32"/>
          <w:szCs w:val="32"/>
          <w:highlight w:val="none"/>
          <w:lang w:eastAsia="zh-CN"/>
        </w:rPr>
        <w:t>县级以上人民政府及其有关部门应当</w:t>
      </w:r>
      <w:r>
        <w:rPr>
          <w:rFonts w:hint="eastAsia" w:ascii="宋体" w:hAnsi="宋体" w:eastAsia="仿宋_GB2312" w:cs="仿宋_GB2312"/>
          <w:color w:val="auto"/>
          <w:sz w:val="32"/>
          <w:szCs w:val="32"/>
          <w:highlight w:val="none"/>
          <w:lang w:val="en-US" w:eastAsia="zh-CN"/>
        </w:rPr>
        <w:t>梳理并集中公布惠企政</w:t>
      </w:r>
      <w:r>
        <w:rPr>
          <w:rFonts w:hint="eastAsia" w:ascii="宋体" w:hAnsi="宋体" w:eastAsia="仿宋_GB2312" w:cs="仿宋_GB2312"/>
          <w:color w:val="auto"/>
          <w:spacing w:val="-3"/>
          <w:sz w:val="32"/>
          <w:szCs w:val="32"/>
          <w:highlight w:val="none"/>
          <w:lang w:val="en-US" w:eastAsia="zh-CN"/>
        </w:rPr>
        <w:t>策清单，</w:t>
      </w:r>
      <w:r>
        <w:rPr>
          <w:rFonts w:hint="eastAsia" w:ascii="宋体" w:hAnsi="宋体" w:eastAsia="仿宋_GB2312" w:cs="仿宋_GB2312"/>
          <w:color w:val="auto"/>
          <w:spacing w:val="-3"/>
          <w:sz w:val="32"/>
          <w:szCs w:val="32"/>
          <w:highlight w:val="none"/>
          <w:lang w:eastAsia="zh-CN"/>
        </w:rPr>
        <w:t>根据企业所属行业、规模等主动向企业精准推送政策内容。</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jc w:val="center"/>
        <w:textAlignment w:val="auto"/>
        <w:outlineLvl w:val="9"/>
        <w:rPr>
          <w:rFonts w:hint="eastAsia" w:ascii="宋体" w:hAnsi="宋体" w:eastAsia="仿宋_GB2312" w:cs="仿宋_GB2312"/>
          <w:color w:val="auto"/>
          <w:sz w:val="32"/>
          <w:szCs w:val="32"/>
          <w:highlight w:val="none"/>
        </w:rPr>
      </w:pP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jc w:val="center"/>
        <w:textAlignment w:val="auto"/>
        <w:outlineLvl w:val="9"/>
        <w:rPr>
          <w:rFonts w:hint="eastAsia" w:ascii="宋体" w:hAnsi="宋体" w:eastAsia="黑体" w:cs="黑体"/>
          <w:color w:val="auto"/>
          <w:sz w:val="32"/>
          <w:szCs w:val="32"/>
          <w:highlight w:val="none"/>
          <w:lang w:eastAsia="zh-CN"/>
        </w:rPr>
      </w:pPr>
      <w:r>
        <w:rPr>
          <w:rFonts w:hint="eastAsia" w:ascii="宋体" w:hAnsi="宋体" w:eastAsia="黑体" w:cs="黑体"/>
          <w:color w:val="auto"/>
          <w:sz w:val="32"/>
          <w:szCs w:val="32"/>
          <w:highlight w:val="none"/>
        </w:rPr>
        <w:t>第四章</w:t>
      </w:r>
      <w:r>
        <w:rPr>
          <w:rFonts w:hint="eastAsia" w:ascii="宋体" w:hAnsi="宋体" w:eastAsia="黑体" w:cs="黑体"/>
          <w:color w:val="auto"/>
          <w:sz w:val="32"/>
          <w:szCs w:val="32"/>
          <w:highlight w:val="none"/>
          <w:lang w:val="en-US" w:eastAsia="zh-CN"/>
        </w:rPr>
        <w:t xml:space="preserve">  </w:t>
      </w:r>
      <w:r>
        <w:rPr>
          <w:rFonts w:hint="eastAsia" w:ascii="宋体" w:hAnsi="宋体" w:eastAsia="黑体" w:cs="黑体"/>
          <w:color w:val="auto"/>
          <w:sz w:val="32"/>
          <w:szCs w:val="32"/>
          <w:highlight w:val="none"/>
        </w:rPr>
        <w:t>法治环境</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left"/>
        <w:textAlignment w:val="auto"/>
        <w:outlineLvl w:val="9"/>
        <w:rPr>
          <w:rFonts w:hint="eastAsia" w:ascii="宋体" w:hAnsi="宋体" w:eastAsia="仿宋_GB2312" w:cs="仿宋_GB2312"/>
          <w:i/>
          <w:iCs/>
          <w:color w:val="auto"/>
          <w:sz w:val="32"/>
          <w:szCs w:val="32"/>
          <w:highlight w:val="none"/>
          <w:u w:val="single"/>
        </w:rPr>
      </w:pP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eastAsia="zh-CN"/>
        </w:rPr>
      </w:pPr>
      <w:r>
        <w:rPr>
          <w:rFonts w:hint="eastAsia" w:ascii="宋体" w:hAnsi="宋体" w:eastAsia="黑体" w:cs="黑体"/>
          <w:color w:val="auto"/>
          <w:sz w:val="32"/>
          <w:szCs w:val="32"/>
          <w:highlight w:val="none"/>
        </w:rPr>
        <w:t>第</w:t>
      </w:r>
      <w:r>
        <w:rPr>
          <w:rFonts w:hint="eastAsia" w:ascii="宋体" w:hAnsi="宋体" w:eastAsia="黑体" w:cs="黑体"/>
          <w:color w:val="auto"/>
          <w:sz w:val="32"/>
          <w:szCs w:val="32"/>
          <w:highlight w:val="none"/>
          <w:lang w:val="en-US" w:eastAsia="zh-CN"/>
        </w:rPr>
        <w:t>四十六</w:t>
      </w:r>
      <w:r>
        <w:rPr>
          <w:rFonts w:hint="eastAsia" w:ascii="宋体" w:hAnsi="宋体" w:eastAsia="黑体" w:cs="黑体"/>
          <w:color w:val="auto"/>
          <w:sz w:val="32"/>
          <w:szCs w:val="32"/>
          <w:highlight w:val="none"/>
        </w:rPr>
        <w:t>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lang w:eastAsia="zh-CN"/>
        </w:rPr>
        <w:t>有关国家机关制定、修改涉及市场主体重大权益的地方性法规、规章和政策措施，应当充分听取市场主体、工商业联合会、企业联合会或者相关行业协会商会的意见、建议。</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20" w:firstLineChars="200"/>
        <w:jc w:val="both"/>
        <w:textAlignment w:val="auto"/>
        <w:outlineLvl w:val="9"/>
        <w:rPr>
          <w:rFonts w:hint="eastAsia" w:ascii="宋体" w:hAnsi="宋体" w:eastAsia="仿宋_GB2312" w:cs="仿宋_GB2312"/>
          <w:color w:val="auto"/>
          <w:spacing w:val="-3"/>
          <w:sz w:val="32"/>
          <w:szCs w:val="32"/>
          <w:highlight w:val="none"/>
          <w:lang w:eastAsia="zh-CN"/>
        </w:rPr>
      </w:pPr>
      <w:r>
        <w:rPr>
          <w:rFonts w:hint="eastAsia" w:ascii="宋体" w:hAnsi="宋体" w:eastAsia="黑体" w:cs="黑体"/>
          <w:color w:val="auto"/>
          <w:spacing w:val="-3"/>
          <w:sz w:val="32"/>
          <w:szCs w:val="32"/>
          <w:highlight w:val="none"/>
          <w:lang w:eastAsia="zh-CN"/>
        </w:rPr>
        <w:t>第</w:t>
      </w:r>
      <w:r>
        <w:rPr>
          <w:rFonts w:hint="eastAsia" w:ascii="宋体" w:hAnsi="宋体" w:eastAsia="黑体" w:cs="黑体"/>
          <w:color w:val="auto"/>
          <w:spacing w:val="-3"/>
          <w:sz w:val="32"/>
          <w:szCs w:val="32"/>
          <w:highlight w:val="none"/>
          <w:lang w:val="en-US" w:eastAsia="zh-CN"/>
        </w:rPr>
        <w:t>四十七</w:t>
      </w:r>
      <w:r>
        <w:rPr>
          <w:rFonts w:hint="eastAsia" w:ascii="宋体" w:hAnsi="宋体" w:eastAsia="黑体" w:cs="黑体"/>
          <w:color w:val="auto"/>
          <w:spacing w:val="-3"/>
          <w:sz w:val="32"/>
          <w:szCs w:val="32"/>
          <w:highlight w:val="none"/>
          <w:lang w:eastAsia="zh-CN"/>
        </w:rPr>
        <w:t>条</w:t>
      </w:r>
      <w:r>
        <w:rPr>
          <w:rFonts w:hint="eastAsia" w:ascii="宋体" w:hAnsi="宋体" w:eastAsia="仿宋_GB2312" w:cs="仿宋_GB2312"/>
          <w:color w:val="auto"/>
          <w:spacing w:val="-3"/>
          <w:sz w:val="32"/>
          <w:szCs w:val="32"/>
          <w:highlight w:val="none"/>
          <w:lang w:val="en-US" w:eastAsia="zh-CN"/>
        </w:rPr>
        <w:t xml:space="preserve">  政府及其</w:t>
      </w:r>
      <w:r>
        <w:rPr>
          <w:rFonts w:hint="eastAsia" w:ascii="宋体" w:hAnsi="宋体" w:eastAsia="仿宋_GB2312" w:cs="仿宋_GB2312"/>
          <w:color w:val="auto"/>
          <w:spacing w:val="-3"/>
          <w:sz w:val="32"/>
          <w:szCs w:val="32"/>
          <w:highlight w:val="none"/>
          <w:lang w:eastAsia="zh-CN"/>
        </w:rPr>
        <w:t>有关部门在起草</w:t>
      </w:r>
      <w:r>
        <w:rPr>
          <w:rFonts w:hint="eastAsia" w:ascii="宋体" w:hAnsi="宋体" w:eastAsia="仿宋_GB2312" w:cs="仿宋_GB2312"/>
          <w:color w:val="auto"/>
          <w:spacing w:val="-3"/>
          <w:sz w:val="32"/>
          <w:szCs w:val="32"/>
          <w:highlight w:val="none"/>
          <w:lang w:val="en-US" w:eastAsia="zh-CN"/>
        </w:rPr>
        <w:t>与</w:t>
      </w:r>
      <w:r>
        <w:rPr>
          <w:rFonts w:hint="eastAsia" w:ascii="宋体" w:hAnsi="宋体" w:eastAsia="仿宋_GB2312" w:cs="仿宋_GB2312"/>
          <w:color w:val="auto"/>
          <w:spacing w:val="-3"/>
          <w:sz w:val="32"/>
          <w:szCs w:val="32"/>
          <w:highlight w:val="none"/>
          <w:lang w:eastAsia="zh-CN"/>
        </w:rPr>
        <w:t>市场主体经济活动有关的地方性法规</w:t>
      </w:r>
      <w:r>
        <w:rPr>
          <w:rFonts w:hint="eastAsia" w:ascii="宋体" w:hAnsi="宋体" w:eastAsia="仿宋_GB2312" w:cs="仿宋_GB2312"/>
          <w:color w:val="auto"/>
          <w:spacing w:val="-3"/>
          <w:sz w:val="32"/>
          <w:szCs w:val="32"/>
          <w:highlight w:val="none"/>
          <w:lang w:val="en-US" w:eastAsia="zh-CN"/>
        </w:rPr>
        <w:t>、规章</w:t>
      </w:r>
      <w:r>
        <w:rPr>
          <w:rFonts w:hint="eastAsia" w:ascii="宋体" w:hAnsi="宋体" w:eastAsia="仿宋_GB2312" w:cs="仿宋_GB2312"/>
          <w:color w:val="auto"/>
          <w:spacing w:val="-3"/>
          <w:sz w:val="32"/>
          <w:szCs w:val="32"/>
          <w:highlight w:val="none"/>
          <w:lang w:eastAsia="zh-CN"/>
        </w:rPr>
        <w:t>和政策措施时，应当进行公平竞争审查；在公平竞争审查中发现涉嫌违反公平竞争审查标准或者拟适用例外规定的，按照规定引入第三方评估。未经公平竞争审查的，不得提交审议。</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eastAsia="zh-CN"/>
        </w:rPr>
      </w:pPr>
      <w:r>
        <w:rPr>
          <w:rFonts w:hint="eastAsia" w:ascii="宋体" w:hAnsi="宋体" w:eastAsia="仿宋_GB2312" w:cs="仿宋_GB2312"/>
          <w:i w:val="0"/>
          <w:iCs w:val="0"/>
          <w:color w:val="auto"/>
          <w:sz w:val="32"/>
          <w:szCs w:val="32"/>
          <w:highlight w:val="none"/>
          <w:u w:val="none"/>
        </w:rPr>
        <w:t>鼓励有条件的地方建立公平竞争独立审查机制</w:t>
      </w:r>
      <w:r>
        <w:rPr>
          <w:rFonts w:hint="eastAsia" w:ascii="宋体" w:hAnsi="宋体" w:eastAsia="仿宋_GB2312" w:cs="仿宋_GB2312"/>
          <w:color w:val="auto"/>
          <w:sz w:val="32"/>
          <w:szCs w:val="32"/>
          <w:highlight w:val="none"/>
        </w:rPr>
        <w:t>，</w:t>
      </w:r>
      <w:r>
        <w:rPr>
          <w:rFonts w:hint="eastAsia" w:ascii="宋体" w:hAnsi="宋体" w:eastAsia="仿宋_GB2312" w:cs="仿宋_GB2312"/>
          <w:i w:val="0"/>
          <w:iCs w:val="0"/>
          <w:color w:val="auto"/>
          <w:sz w:val="32"/>
          <w:szCs w:val="32"/>
          <w:highlight w:val="none"/>
          <w:u w:val="none"/>
        </w:rPr>
        <w:t>实施本级人民政府及其有关</w:t>
      </w:r>
      <w:r>
        <w:rPr>
          <w:rFonts w:hint="eastAsia" w:ascii="宋体" w:hAnsi="宋体" w:eastAsia="仿宋_GB2312" w:cs="仿宋_GB2312"/>
          <w:color w:val="auto"/>
          <w:sz w:val="32"/>
          <w:szCs w:val="32"/>
          <w:highlight w:val="none"/>
          <w:lang w:eastAsia="zh-CN"/>
        </w:rPr>
        <w:t>部门相关政策措施出台前公平竞争的集中审查。</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eastAsia="zh-CN"/>
        </w:rPr>
      </w:pPr>
      <w:r>
        <w:rPr>
          <w:rFonts w:hint="eastAsia" w:ascii="宋体" w:hAnsi="宋体" w:eastAsia="黑体" w:cs="黑体"/>
          <w:color w:val="auto"/>
          <w:sz w:val="32"/>
          <w:szCs w:val="32"/>
          <w:highlight w:val="none"/>
          <w:lang w:eastAsia="zh-CN"/>
        </w:rPr>
        <w:t>第</w:t>
      </w:r>
      <w:r>
        <w:rPr>
          <w:rFonts w:hint="eastAsia" w:ascii="宋体" w:hAnsi="宋体" w:eastAsia="黑体" w:cs="黑体"/>
          <w:color w:val="auto"/>
          <w:sz w:val="32"/>
          <w:szCs w:val="32"/>
          <w:highlight w:val="none"/>
          <w:lang w:val="en-US" w:eastAsia="zh-CN"/>
        </w:rPr>
        <w:t>四十八</w:t>
      </w:r>
      <w:r>
        <w:rPr>
          <w:rFonts w:hint="eastAsia" w:ascii="宋体" w:hAnsi="宋体" w:eastAsia="黑体" w:cs="黑体"/>
          <w:color w:val="auto"/>
          <w:sz w:val="32"/>
          <w:szCs w:val="32"/>
          <w:highlight w:val="none"/>
          <w:lang w:eastAsia="zh-CN"/>
        </w:rPr>
        <w:t>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lang w:eastAsia="zh-CN"/>
        </w:rPr>
        <w:t>行政</w:t>
      </w:r>
      <w:r>
        <w:rPr>
          <w:rFonts w:hint="eastAsia" w:ascii="宋体" w:hAnsi="宋体" w:eastAsia="仿宋_GB2312" w:cs="仿宋_GB2312"/>
          <w:color w:val="auto"/>
          <w:sz w:val="32"/>
          <w:szCs w:val="32"/>
          <w:highlight w:val="none"/>
          <w:lang w:val="en-US" w:eastAsia="zh-CN"/>
        </w:rPr>
        <w:t>检查</w:t>
      </w:r>
      <w:r>
        <w:rPr>
          <w:rFonts w:hint="eastAsia" w:ascii="宋体" w:hAnsi="宋体" w:eastAsia="仿宋_GB2312" w:cs="仿宋_GB2312"/>
          <w:color w:val="auto"/>
          <w:sz w:val="32"/>
          <w:szCs w:val="32"/>
          <w:highlight w:val="none"/>
          <w:lang w:eastAsia="zh-CN"/>
        </w:rPr>
        <w:t>主体应当制定年度行政检查计划，并报上级行政</w:t>
      </w:r>
      <w:r>
        <w:rPr>
          <w:rFonts w:hint="eastAsia" w:ascii="宋体" w:hAnsi="宋体" w:eastAsia="仿宋_GB2312" w:cs="仿宋_GB2312"/>
          <w:color w:val="auto"/>
          <w:sz w:val="32"/>
          <w:szCs w:val="32"/>
          <w:highlight w:val="none"/>
          <w:lang w:val="en-US" w:eastAsia="zh-CN"/>
        </w:rPr>
        <w:t>检查</w:t>
      </w:r>
      <w:r>
        <w:rPr>
          <w:rFonts w:hint="eastAsia" w:ascii="宋体" w:hAnsi="宋体" w:eastAsia="仿宋_GB2312" w:cs="仿宋_GB2312"/>
          <w:color w:val="auto"/>
          <w:sz w:val="32"/>
          <w:szCs w:val="32"/>
          <w:highlight w:val="none"/>
          <w:lang w:eastAsia="zh-CN"/>
        </w:rPr>
        <w:t>主体备案。行政检查计划包括行政检查的依据、事项、范围、方式、时间等内容。</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eastAsia="zh-CN"/>
        </w:rPr>
      </w:pPr>
      <w:r>
        <w:rPr>
          <w:rFonts w:hint="eastAsia" w:ascii="宋体" w:hAnsi="宋体" w:eastAsia="仿宋_GB2312" w:cs="仿宋_GB2312"/>
          <w:color w:val="auto"/>
          <w:sz w:val="32"/>
          <w:szCs w:val="32"/>
          <w:highlight w:val="none"/>
          <w:lang w:eastAsia="zh-CN"/>
        </w:rPr>
        <w:t>行政检查实行清单管理制度</w:t>
      </w:r>
      <w:r>
        <w:rPr>
          <w:rFonts w:hint="eastAsia" w:ascii="宋体" w:hAnsi="宋体" w:eastAsia="仿宋_GB2312" w:cs="仿宋_GB2312"/>
          <w:color w:val="auto"/>
          <w:sz w:val="32"/>
          <w:szCs w:val="32"/>
          <w:highlight w:val="none"/>
          <w:lang w:val="en-US" w:eastAsia="zh-CN"/>
        </w:rPr>
        <w:t>，按照省的规定</w:t>
      </w:r>
      <w:r>
        <w:rPr>
          <w:rFonts w:hint="eastAsia" w:ascii="宋体" w:hAnsi="宋体" w:eastAsia="仿宋_GB2312" w:cs="仿宋_GB2312"/>
          <w:color w:val="auto"/>
          <w:sz w:val="32"/>
          <w:szCs w:val="32"/>
          <w:highlight w:val="none"/>
          <w:lang w:eastAsia="zh-CN"/>
        </w:rPr>
        <w:t>推行综合查一次制度。</w:t>
      </w:r>
      <w:r>
        <w:rPr>
          <w:rFonts w:hint="eastAsia" w:ascii="宋体" w:hAnsi="宋体" w:eastAsia="仿宋_GB2312" w:cs="仿宋_GB2312"/>
          <w:color w:val="auto"/>
          <w:sz w:val="32"/>
          <w:szCs w:val="32"/>
          <w:highlight w:val="none"/>
          <w:lang w:val="en-US" w:eastAsia="zh-CN"/>
        </w:rPr>
        <w:t>同一部门同一时期对同一市场主体实施多项检查，并且检查内容可以合并进行的，应当合并检查；多个部门对同一市场主体进行检查，并且可以实施联合检查的，应当协调组织实施联合检查；联合检查协调组织存在困难的，本级人民政府应当明确由一个部门组织实施联合检查</w:t>
      </w:r>
      <w:r>
        <w:rPr>
          <w:rFonts w:hint="eastAsia" w:ascii="宋体" w:hAnsi="宋体" w:eastAsia="仿宋_GB2312" w:cs="仿宋_GB2312"/>
          <w:color w:val="auto"/>
          <w:sz w:val="32"/>
          <w:szCs w:val="32"/>
          <w:highlight w:val="none"/>
          <w:lang w:eastAsia="zh-CN"/>
        </w:rPr>
        <w:t>。</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val="en-US" w:eastAsia="zh-CN"/>
        </w:rPr>
      </w:pPr>
      <w:r>
        <w:rPr>
          <w:rFonts w:hint="eastAsia" w:ascii="宋体" w:hAnsi="宋体" w:eastAsia="黑体" w:cs="黑体"/>
          <w:color w:val="auto"/>
          <w:sz w:val="32"/>
          <w:szCs w:val="32"/>
          <w:highlight w:val="none"/>
          <w:lang w:eastAsia="zh-CN"/>
        </w:rPr>
        <w:t>第</w:t>
      </w:r>
      <w:r>
        <w:rPr>
          <w:rFonts w:hint="eastAsia" w:ascii="宋体" w:hAnsi="宋体" w:eastAsia="黑体" w:cs="黑体"/>
          <w:color w:val="auto"/>
          <w:sz w:val="32"/>
          <w:szCs w:val="32"/>
          <w:highlight w:val="none"/>
          <w:lang w:val="en-US" w:eastAsia="zh-CN"/>
        </w:rPr>
        <w:t>四十九</w:t>
      </w:r>
      <w:r>
        <w:rPr>
          <w:rFonts w:hint="eastAsia" w:ascii="宋体" w:hAnsi="宋体" w:eastAsia="黑体" w:cs="黑体"/>
          <w:color w:val="auto"/>
          <w:sz w:val="32"/>
          <w:szCs w:val="32"/>
          <w:highlight w:val="none"/>
          <w:lang w:eastAsia="zh-CN"/>
        </w:rPr>
        <w:t>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lang w:eastAsia="zh-CN"/>
        </w:rPr>
        <w:t>行政</w:t>
      </w:r>
      <w:r>
        <w:rPr>
          <w:rFonts w:hint="eastAsia" w:ascii="宋体" w:hAnsi="宋体" w:eastAsia="仿宋_GB2312" w:cs="仿宋_GB2312"/>
          <w:color w:val="auto"/>
          <w:sz w:val="32"/>
          <w:szCs w:val="32"/>
          <w:highlight w:val="none"/>
          <w:lang w:val="en-US" w:eastAsia="zh-CN"/>
        </w:rPr>
        <w:t>执法主体应当依法运用互联网、大数据等技术手段，依托国家和省的在线监管系统、非现场执法系统和信息共享等方式，开展非现场执法。非现场执法可以实现有效监管的，原则上不再进行现场执法；非现场执法难以实现有效监管的，应当及时进行现场执法。</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val="en-US" w:eastAsia="zh-CN"/>
        </w:rPr>
      </w:pPr>
      <w:r>
        <w:rPr>
          <w:rFonts w:hint="eastAsia" w:ascii="宋体" w:hAnsi="宋体" w:eastAsia="黑体" w:cs="黑体"/>
          <w:color w:val="auto"/>
          <w:sz w:val="32"/>
          <w:szCs w:val="32"/>
          <w:highlight w:val="none"/>
          <w:lang w:val="en-US" w:eastAsia="zh-CN"/>
        </w:rPr>
        <w:t>第五十条</w:t>
      </w:r>
      <w:r>
        <w:rPr>
          <w:rFonts w:hint="eastAsia" w:ascii="宋体" w:hAnsi="宋体" w:eastAsia="仿宋_GB2312" w:cs="仿宋_GB2312"/>
          <w:color w:val="auto"/>
          <w:sz w:val="32"/>
          <w:szCs w:val="32"/>
          <w:highlight w:val="none"/>
          <w:lang w:val="en-US" w:eastAsia="zh-CN"/>
        </w:rPr>
        <w:t xml:space="preserve">  各级人民政府应当推行行政执法减免责清单制度，依法制定公布减免责清单并实行动态管理。</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20" w:firstLineChars="200"/>
        <w:jc w:val="both"/>
        <w:textAlignment w:val="auto"/>
        <w:outlineLvl w:val="9"/>
        <w:rPr>
          <w:rFonts w:hint="eastAsia" w:ascii="宋体" w:hAnsi="宋体" w:eastAsia="仿宋_GB2312" w:cs="仿宋_GB2312"/>
          <w:color w:val="auto"/>
          <w:sz w:val="32"/>
          <w:szCs w:val="32"/>
          <w:highlight w:val="none"/>
          <w:lang w:val="en-US" w:eastAsia="zh-CN"/>
        </w:rPr>
      </w:pPr>
      <w:r>
        <w:rPr>
          <w:rFonts w:hint="eastAsia" w:ascii="宋体" w:hAnsi="宋体" w:eastAsia="仿宋_GB2312" w:cs="仿宋_GB2312"/>
          <w:color w:val="auto"/>
          <w:spacing w:val="-3"/>
          <w:sz w:val="32"/>
          <w:szCs w:val="32"/>
          <w:highlight w:val="none"/>
          <w:lang w:val="en-US" w:eastAsia="zh-CN"/>
        </w:rPr>
        <w:t>利用自然灾害、事故灾难或者公共卫生事件等突发事件实施的哄抬价格等违法行为，以及纳入重点执法领域、潜在风险较大、可能造成严重后果、纠错成本较高的违法行为，不得纳入减免责清单。</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pacing w:val="-3"/>
          <w:sz w:val="32"/>
          <w:szCs w:val="32"/>
          <w:highlight w:val="none"/>
          <w:lang w:val="en-US" w:eastAsia="zh-CN"/>
        </w:rPr>
      </w:pPr>
      <w:r>
        <w:rPr>
          <w:rFonts w:hint="eastAsia" w:ascii="宋体" w:hAnsi="宋体" w:eastAsia="黑体" w:cs="黑体"/>
          <w:color w:val="auto"/>
          <w:sz w:val="32"/>
          <w:szCs w:val="32"/>
          <w:highlight w:val="none"/>
          <w:lang w:val="en-US" w:eastAsia="zh-CN"/>
        </w:rPr>
        <w:t>第五十一条</w:t>
      </w:r>
      <w:r>
        <w:rPr>
          <w:rFonts w:hint="eastAsia" w:ascii="宋体" w:hAnsi="宋体" w:eastAsia="仿宋_GB2312" w:cs="仿宋_GB2312"/>
          <w:color w:val="auto"/>
          <w:sz w:val="32"/>
          <w:szCs w:val="32"/>
          <w:highlight w:val="none"/>
          <w:lang w:val="en-US" w:eastAsia="zh-CN"/>
        </w:rPr>
        <w:t xml:space="preserve">  各级人民政府及其有关部门应当按照鼓励创新</w:t>
      </w:r>
      <w:r>
        <w:rPr>
          <w:rFonts w:hint="eastAsia" w:ascii="宋体" w:hAnsi="宋体" w:eastAsia="仿宋_GB2312" w:cs="仿宋_GB2312"/>
          <w:color w:val="auto"/>
          <w:spacing w:val="-3"/>
          <w:sz w:val="32"/>
          <w:szCs w:val="32"/>
          <w:highlight w:val="none"/>
          <w:lang w:val="en-US" w:eastAsia="zh-CN"/>
        </w:rPr>
        <w:t>的原则，对新技术、新产业、新业态、新模式等实行包容审慎监管。对符合国家和省政策导向的新技术、新产业、新业态、新模式市场主体，可以按照规定优先采取教育提醒、劝导示范、警示告诫、行政提示、行政指导、行政约谈等方式执法，但法律、法规、规章明确禁止或者涉及危害公共安全和人民群众生命健康的情形除外。</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val="en-US" w:eastAsia="zh-CN"/>
        </w:rPr>
      </w:pPr>
      <w:r>
        <w:rPr>
          <w:rFonts w:hint="eastAsia" w:ascii="宋体" w:hAnsi="宋体" w:eastAsia="黑体" w:cs="黑体"/>
          <w:color w:val="auto"/>
          <w:sz w:val="32"/>
          <w:szCs w:val="32"/>
          <w:highlight w:val="none"/>
          <w:lang w:val="en-US" w:eastAsia="zh-CN"/>
        </w:rPr>
        <w:t>第五十二条</w:t>
      </w:r>
      <w:r>
        <w:rPr>
          <w:rFonts w:hint="eastAsia" w:ascii="宋体" w:hAnsi="宋体" w:eastAsia="仿宋_GB2312" w:cs="仿宋_GB2312"/>
          <w:color w:val="auto"/>
          <w:sz w:val="32"/>
          <w:szCs w:val="32"/>
          <w:highlight w:val="none"/>
          <w:lang w:val="en-US" w:eastAsia="zh-CN"/>
        </w:rPr>
        <w:t xml:space="preserve">  县级以上人民政府及其有关部门开展清理整顿、专项整治等活动，应当严格依法进行，因法定事由经有权机关批准在相关区域对相关行业、领域的市场主体采取普遍停产、停业等措施的，应当合理确定实施范围和期限。</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val="en-US" w:eastAsia="zh-CN"/>
        </w:rPr>
      </w:pPr>
      <w:r>
        <w:rPr>
          <w:rFonts w:hint="eastAsia" w:ascii="宋体" w:hAnsi="宋体" w:eastAsia="仿宋_GB2312" w:cs="仿宋_GB2312"/>
          <w:color w:val="auto"/>
          <w:sz w:val="32"/>
          <w:szCs w:val="32"/>
          <w:highlight w:val="none"/>
          <w:lang w:val="en-US" w:eastAsia="zh-CN"/>
        </w:rPr>
        <w:t>实施有关措施应当提前书面通知企业或者向社会公告，但法律、法规另有规定的除外。</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val="en-US" w:eastAsia="zh-CN"/>
        </w:rPr>
      </w:pPr>
      <w:r>
        <w:rPr>
          <w:rFonts w:hint="eastAsia" w:ascii="宋体" w:hAnsi="宋体" w:eastAsia="黑体" w:cs="黑体"/>
          <w:color w:val="auto"/>
          <w:sz w:val="32"/>
          <w:szCs w:val="32"/>
          <w:highlight w:val="none"/>
        </w:rPr>
        <w:t>第</w:t>
      </w:r>
      <w:r>
        <w:rPr>
          <w:rFonts w:hint="eastAsia" w:ascii="宋体" w:hAnsi="宋体" w:eastAsia="黑体" w:cs="黑体"/>
          <w:color w:val="auto"/>
          <w:sz w:val="32"/>
          <w:szCs w:val="32"/>
          <w:highlight w:val="none"/>
          <w:lang w:val="en-US" w:eastAsia="zh-CN"/>
        </w:rPr>
        <w:t>五十三</w:t>
      </w:r>
      <w:r>
        <w:rPr>
          <w:rFonts w:hint="eastAsia" w:ascii="宋体" w:hAnsi="宋体" w:eastAsia="黑体" w:cs="黑体"/>
          <w:color w:val="auto"/>
          <w:sz w:val="32"/>
          <w:szCs w:val="32"/>
          <w:highlight w:val="none"/>
        </w:rPr>
        <w:t>条</w:t>
      </w:r>
      <w:r>
        <w:rPr>
          <w:rFonts w:hint="eastAsia" w:ascii="宋体" w:hAnsi="宋体" w:eastAsia="仿宋_GB2312" w:cs="仿宋_GB2312"/>
          <w:color w:val="auto"/>
          <w:sz w:val="32"/>
          <w:szCs w:val="32"/>
          <w:highlight w:val="none"/>
          <w:lang w:val="en-US" w:eastAsia="zh-CN"/>
        </w:rPr>
        <w:t xml:space="preserve">  各级人民政府及其有关部门应当加强对市场主体的产权保护，依法需要采取查封、扣押、冻结等强制措施的，应当依照法律、法规的规定进行；在条件允许的情况下，应当减少对市场主体正常生产经营活动的影响；除依法需责令关闭企业的情形外，应当为企业预留必要的流动资金和往来账户。</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val="en-US" w:eastAsia="zh-CN"/>
        </w:rPr>
      </w:pPr>
      <w:r>
        <w:rPr>
          <w:rFonts w:hint="eastAsia" w:ascii="宋体" w:hAnsi="宋体" w:eastAsia="仿宋_GB2312" w:cs="仿宋_GB2312"/>
          <w:color w:val="auto"/>
          <w:sz w:val="32"/>
          <w:szCs w:val="32"/>
          <w:highlight w:val="none"/>
          <w:lang w:val="en-US" w:eastAsia="zh-CN"/>
        </w:rPr>
        <w:t>行政机关作出的行政执法决定确有错误、不当，依法需要撤销、变更，给当事人合法权益造成损失的，应当依照民法典、行政许可法、国家赔偿法等依法处理。</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color w:val="auto"/>
          <w:sz w:val="32"/>
          <w:szCs w:val="32"/>
          <w:highlight w:val="none"/>
        </w:rPr>
        <w:t>第</w:t>
      </w:r>
      <w:r>
        <w:rPr>
          <w:rFonts w:hint="eastAsia" w:ascii="宋体" w:hAnsi="宋体" w:eastAsia="黑体" w:cs="黑体"/>
          <w:color w:val="auto"/>
          <w:sz w:val="32"/>
          <w:szCs w:val="32"/>
          <w:highlight w:val="none"/>
          <w:lang w:val="en-US" w:eastAsia="zh-CN"/>
        </w:rPr>
        <w:t>五十四</w:t>
      </w:r>
      <w:r>
        <w:rPr>
          <w:rFonts w:hint="eastAsia" w:ascii="宋体" w:hAnsi="宋体" w:eastAsia="黑体" w:cs="黑体"/>
          <w:color w:val="auto"/>
          <w:sz w:val="32"/>
          <w:szCs w:val="32"/>
          <w:highlight w:val="none"/>
        </w:rPr>
        <w:t>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县级以上人民政府及其有关部门应当按照科学合理、合法合规、公平公正的原则制定涉及市场主体的财政奖励、补贴政策，并严格规范财政奖励、补贴的发放程序，及时公开财政奖励、补贴的政策依据、适用范围、发放程序和时限等。</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rPr>
        <w:t>有关主管部门应当按照规定的时限发放财政奖励、补贴，并通过门户网站等渠道及时公布最终发放对象及其相关情况、发放标准、发放金额及监督投诉渠道等。</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color w:val="auto"/>
          <w:sz w:val="32"/>
          <w:szCs w:val="32"/>
          <w:highlight w:val="none"/>
        </w:rPr>
        <w:t>第</w:t>
      </w:r>
      <w:r>
        <w:rPr>
          <w:rFonts w:hint="eastAsia" w:ascii="宋体" w:hAnsi="宋体" w:eastAsia="黑体" w:cs="黑体"/>
          <w:color w:val="auto"/>
          <w:sz w:val="32"/>
          <w:szCs w:val="32"/>
          <w:highlight w:val="none"/>
          <w:lang w:val="en-US" w:eastAsia="zh-CN"/>
        </w:rPr>
        <w:t>五十五</w:t>
      </w:r>
      <w:r>
        <w:rPr>
          <w:rFonts w:hint="eastAsia" w:ascii="宋体" w:hAnsi="宋体" w:eastAsia="黑体" w:cs="黑体"/>
          <w:color w:val="auto"/>
          <w:sz w:val="32"/>
          <w:szCs w:val="32"/>
          <w:highlight w:val="none"/>
        </w:rPr>
        <w:t>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县级以上人民政府及其有关部门应当建立涉及市场主体的行政许可、证明事项、保证金、财政奖励及补贴事项的定期评估制度。评估认为相关事项已经具备调整或者取消条件的，应当按照管理权限和程序，及时予以调整或者取消。</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val="en-US" w:eastAsia="zh-CN"/>
        </w:rPr>
      </w:pPr>
      <w:r>
        <w:rPr>
          <w:rFonts w:hint="eastAsia" w:ascii="宋体" w:hAnsi="宋体" w:eastAsia="黑体" w:cs="黑体"/>
          <w:color w:val="auto"/>
          <w:sz w:val="32"/>
          <w:szCs w:val="32"/>
          <w:highlight w:val="none"/>
          <w:lang w:val="en-US" w:eastAsia="zh-CN"/>
        </w:rPr>
        <w:t>第五十六条</w:t>
      </w:r>
      <w:r>
        <w:rPr>
          <w:rFonts w:hint="eastAsia" w:ascii="宋体" w:hAnsi="宋体" w:eastAsia="仿宋_GB2312" w:cs="仿宋_GB2312"/>
          <w:color w:val="auto"/>
          <w:sz w:val="32"/>
          <w:szCs w:val="32"/>
          <w:highlight w:val="none"/>
          <w:lang w:val="en-US" w:eastAsia="zh-CN"/>
        </w:rPr>
        <w:t xml:space="preserve">  县级以上人民政府与人民法院建立企业破产工作协调机制，协调解决企业破产启动、职工安置、资产处置、信用修复、涉税事项处理、破产企业重整等问题。</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pacing w:val="-6"/>
          <w:sz w:val="32"/>
          <w:szCs w:val="32"/>
          <w:highlight w:val="none"/>
          <w:lang w:val="en-US" w:eastAsia="zh-CN"/>
        </w:rPr>
      </w:pPr>
      <w:r>
        <w:rPr>
          <w:rFonts w:hint="eastAsia" w:ascii="宋体" w:hAnsi="宋体" w:eastAsia="仿宋_GB2312" w:cs="仿宋_GB2312"/>
          <w:color w:val="auto"/>
          <w:sz w:val="32"/>
          <w:szCs w:val="32"/>
          <w:highlight w:val="none"/>
          <w:lang w:val="en-US" w:eastAsia="zh-CN"/>
        </w:rPr>
        <w:t>省和地级以上市应当明确政府部门承担政府各相关部门间</w:t>
      </w:r>
      <w:r>
        <w:rPr>
          <w:rFonts w:hint="eastAsia" w:ascii="宋体" w:hAnsi="宋体" w:eastAsia="仿宋_GB2312" w:cs="仿宋_GB2312"/>
          <w:color w:val="auto"/>
          <w:spacing w:val="-6"/>
          <w:sz w:val="32"/>
          <w:szCs w:val="32"/>
          <w:highlight w:val="none"/>
          <w:lang w:val="en-US" w:eastAsia="zh-CN"/>
        </w:rPr>
        <w:t>协调、债权人利益保护以及防范恶意逃废债等破产行政管理职责。</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val="en-US" w:eastAsia="zh-CN"/>
        </w:rPr>
      </w:pPr>
      <w:r>
        <w:rPr>
          <w:rFonts w:hint="eastAsia" w:ascii="宋体" w:hAnsi="宋体" w:eastAsia="仿宋_GB2312" w:cs="仿宋_GB2312"/>
          <w:color w:val="auto"/>
          <w:sz w:val="32"/>
          <w:szCs w:val="32"/>
          <w:highlight w:val="none"/>
          <w:lang w:val="en-US" w:eastAsia="zh-CN"/>
        </w:rPr>
        <w:t>破产管理人持相关法律文件查询破产企业注册登记材料、社会保险费用缴纳情况、银行开户信息及存款状况，以及不动产、车辆、知识产权等信息时，或者查询后接管上述财产至破产管理人、受理破产的人民法院账户的，相关部门、金融机构应当依法配合。</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val="en-US" w:eastAsia="zh-CN"/>
        </w:rPr>
      </w:pPr>
      <w:r>
        <w:rPr>
          <w:rFonts w:hint="eastAsia" w:ascii="宋体" w:hAnsi="宋体" w:eastAsia="仿宋_GB2312" w:cs="仿宋_GB2312"/>
          <w:color w:val="auto"/>
          <w:sz w:val="32"/>
          <w:szCs w:val="32"/>
          <w:highlight w:val="none"/>
          <w:lang w:val="en-US" w:eastAsia="zh-CN"/>
        </w:rPr>
        <w:t>破产管理人依据人民法院终结破产程序裁定文书、清算组依据人民法院强制清算终结裁定文书提出注销申请的，市场主体登记机关应当依法办理注销登记。</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val="en-US" w:eastAsia="zh-CN"/>
        </w:rPr>
      </w:pPr>
      <w:r>
        <w:rPr>
          <w:rFonts w:hint="eastAsia" w:ascii="宋体" w:hAnsi="宋体" w:eastAsia="黑体" w:cs="黑体"/>
          <w:color w:val="auto"/>
          <w:sz w:val="32"/>
          <w:szCs w:val="32"/>
          <w:highlight w:val="none"/>
          <w:lang w:val="en-US" w:eastAsia="zh-CN"/>
        </w:rPr>
        <w:t>第五十七条</w:t>
      </w:r>
      <w:r>
        <w:rPr>
          <w:rFonts w:hint="eastAsia" w:ascii="宋体" w:hAnsi="宋体" w:eastAsia="仿宋_GB2312" w:cs="仿宋_GB2312"/>
          <w:color w:val="auto"/>
          <w:sz w:val="32"/>
          <w:szCs w:val="32"/>
          <w:highlight w:val="none"/>
          <w:lang w:val="en-US" w:eastAsia="zh-CN"/>
        </w:rPr>
        <w:t xml:space="preserve">  县级以上人民政府司法行政部门应当建立全面覆盖城乡、便捷高效的现代公共法律服务体系，推动发展法律服务业，支持有条件的地区探索建立法律服务聚集区，为市场主体提供便捷的法律服务。</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val="en-US" w:eastAsia="zh-CN"/>
        </w:rPr>
      </w:pPr>
      <w:r>
        <w:rPr>
          <w:rFonts w:hint="eastAsia" w:ascii="宋体" w:hAnsi="宋体" w:eastAsia="仿宋_GB2312" w:cs="仿宋_GB2312"/>
          <w:color w:val="auto"/>
          <w:sz w:val="32"/>
          <w:szCs w:val="32"/>
          <w:highlight w:val="none"/>
          <w:lang w:val="en-US" w:eastAsia="zh-CN"/>
        </w:rPr>
        <w:t>县级以上人民政府司法行政部门应当完善涉外法律服务工作机制，加强涉外法律服务机构建设和涉外法律服务人才的培养引进工作，搭建涉外法律服务供需对接平台，支持律师等法律服务人才在服务市场主体境外投资决策、项目评估和风险防范等方面发挥作用。</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val="en-US" w:eastAsia="zh-CN"/>
        </w:rPr>
      </w:pPr>
      <w:r>
        <w:rPr>
          <w:rFonts w:hint="eastAsia" w:ascii="宋体" w:hAnsi="宋体" w:eastAsia="黑体" w:cs="黑体"/>
          <w:color w:val="auto"/>
          <w:sz w:val="32"/>
          <w:szCs w:val="32"/>
          <w:highlight w:val="none"/>
          <w:lang w:val="en-US" w:eastAsia="zh-CN"/>
        </w:rPr>
        <w:t>第五十八条</w:t>
      </w:r>
      <w:r>
        <w:rPr>
          <w:rFonts w:hint="eastAsia" w:ascii="宋体" w:hAnsi="宋体" w:eastAsia="仿宋_GB2312" w:cs="仿宋_GB2312"/>
          <w:color w:val="auto"/>
          <w:sz w:val="32"/>
          <w:szCs w:val="32"/>
          <w:highlight w:val="none"/>
          <w:lang w:val="en-US" w:eastAsia="zh-CN"/>
        </w:rPr>
        <w:t xml:space="preserve">  完善调解、仲裁、行政裁决、行政复议、诉讼等纠纷解决协调对接机制，推动一站式多元化纠纷解决机制建设，发挥仲裁、调解机构及行业协会商会等的专业人才优势，为市场主体提供多元化纠纷解决渠道。</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val="en-US" w:eastAsia="zh-CN"/>
        </w:rPr>
      </w:pPr>
      <w:r>
        <w:rPr>
          <w:rFonts w:hint="eastAsia" w:ascii="宋体" w:hAnsi="宋体" w:eastAsia="仿宋_GB2312" w:cs="仿宋_GB2312"/>
          <w:color w:val="auto"/>
          <w:sz w:val="32"/>
          <w:szCs w:val="32"/>
          <w:highlight w:val="none"/>
          <w:lang w:val="en-US" w:eastAsia="zh-CN"/>
        </w:rPr>
        <w:t>加强区域性、行业性、专业性调解机构建设，推动建立国际商事调解组织，支持商事调解机构和商事仲裁机构加入国际商事纠纷多元化解决平台。</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val="en-US" w:eastAsia="zh-CN"/>
        </w:rPr>
      </w:pPr>
      <w:r>
        <w:rPr>
          <w:rFonts w:hint="eastAsia" w:ascii="宋体" w:hAnsi="宋体" w:eastAsia="仿宋_GB2312" w:cs="仿宋_GB2312"/>
          <w:color w:val="auto"/>
          <w:sz w:val="32"/>
          <w:szCs w:val="32"/>
          <w:highlight w:val="none"/>
          <w:lang w:val="en-US" w:eastAsia="zh-CN"/>
        </w:rPr>
        <w:t>鼓励市场主体选择商事调解机构和商事仲裁机构解决商事争议纠纷。</w:t>
      </w:r>
    </w:p>
    <w:p>
      <w:pPr>
        <w:pStyle w:val="26"/>
        <w:keepNext w:val="0"/>
        <w:keepLines w:val="0"/>
        <w:pageBreakBefore w:val="0"/>
        <w:widowControl w:val="0"/>
        <w:numPr>
          <w:ilvl w:val="0"/>
          <w:numId w:val="0"/>
        </w:numPr>
        <w:kinsoku/>
        <w:wordWrap/>
        <w:overflowPunct w:val="0"/>
        <w:topLinePunct w:val="0"/>
        <w:autoSpaceDN/>
        <w:bidi w:val="0"/>
        <w:adjustRightInd w:val="0"/>
        <w:spacing w:beforeLines="0" w:beforeAutospacing="0" w:afterLines="0" w:afterAutospacing="0" w:line="590" w:lineRule="exact"/>
        <w:jc w:val="both"/>
        <w:textAlignment w:val="auto"/>
        <w:outlineLvl w:val="9"/>
        <w:rPr>
          <w:rFonts w:hint="eastAsia" w:ascii="宋体" w:hAnsi="宋体" w:eastAsia="仿宋_GB2312" w:cs="仿宋_GB2312"/>
          <w:color w:val="auto"/>
          <w:kern w:val="2"/>
          <w:sz w:val="32"/>
          <w:szCs w:val="32"/>
          <w:highlight w:val="none"/>
          <w:lang w:val="en-US" w:eastAsia="zh-CN" w:bidi="ar-SA"/>
        </w:rPr>
      </w:pP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center"/>
        <w:textAlignment w:val="auto"/>
        <w:outlineLvl w:val="9"/>
        <w:rPr>
          <w:rFonts w:hint="eastAsia" w:ascii="宋体" w:hAnsi="宋体" w:eastAsia="黑体" w:cs="黑体"/>
          <w:i/>
          <w:iCs/>
          <w:color w:val="auto"/>
          <w:sz w:val="32"/>
          <w:szCs w:val="32"/>
          <w:highlight w:val="none"/>
          <w:u w:val="single"/>
        </w:rPr>
      </w:pPr>
      <w:r>
        <w:rPr>
          <w:rFonts w:hint="eastAsia" w:ascii="宋体" w:hAnsi="宋体" w:eastAsia="黑体" w:cs="黑体"/>
          <w:i w:val="0"/>
          <w:iCs w:val="0"/>
          <w:color w:val="auto"/>
          <w:sz w:val="32"/>
          <w:szCs w:val="32"/>
          <w:highlight w:val="none"/>
          <w:u w:val="none"/>
        </w:rPr>
        <w:t>第五章</w:t>
      </w:r>
      <w:r>
        <w:rPr>
          <w:rFonts w:hint="eastAsia" w:ascii="宋体" w:hAnsi="宋体" w:eastAsia="黑体" w:cs="黑体"/>
          <w:i w:val="0"/>
          <w:iCs w:val="0"/>
          <w:color w:val="auto"/>
          <w:sz w:val="32"/>
          <w:szCs w:val="32"/>
          <w:highlight w:val="none"/>
          <w:u w:val="none"/>
          <w:lang w:val="en-US" w:eastAsia="zh-CN"/>
        </w:rPr>
        <w:t xml:space="preserve">  </w:t>
      </w:r>
      <w:r>
        <w:rPr>
          <w:rFonts w:hint="eastAsia" w:ascii="宋体" w:hAnsi="宋体" w:eastAsia="黑体" w:cs="黑体"/>
          <w:i w:val="0"/>
          <w:iCs w:val="0"/>
          <w:color w:val="auto"/>
          <w:sz w:val="32"/>
          <w:szCs w:val="32"/>
          <w:highlight w:val="none"/>
          <w:u w:val="none"/>
        </w:rPr>
        <w:t>监督保障</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left"/>
        <w:textAlignment w:val="auto"/>
        <w:outlineLvl w:val="9"/>
        <w:rPr>
          <w:rFonts w:hint="eastAsia" w:ascii="宋体" w:hAnsi="宋体" w:eastAsia="仿宋_GB2312" w:cs="仿宋_GB2312"/>
          <w:color w:val="auto"/>
          <w:sz w:val="32"/>
          <w:szCs w:val="32"/>
          <w:highlight w:val="none"/>
        </w:rPr>
      </w:pP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val="en-US" w:eastAsia="zh-CN"/>
        </w:rPr>
      </w:pPr>
      <w:r>
        <w:rPr>
          <w:rFonts w:hint="eastAsia" w:ascii="宋体" w:hAnsi="宋体" w:eastAsia="黑体" w:cs="黑体"/>
          <w:color w:val="auto"/>
          <w:sz w:val="32"/>
          <w:szCs w:val="32"/>
          <w:highlight w:val="none"/>
        </w:rPr>
        <w:t>第</w:t>
      </w:r>
      <w:r>
        <w:rPr>
          <w:rFonts w:hint="eastAsia" w:ascii="宋体" w:hAnsi="宋体" w:eastAsia="黑体" w:cs="黑体"/>
          <w:color w:val="auto"/>
          <w:sz w:val="32"/>
          <w:szCs w:val="32"/>
          <w:highlight w:val="none"/>
          <w:lang w:val="en-US" w:eastAsia="zh-CN"/>
        </w:rPr>
        <w:t>五十九条</w:t>
      </w:r>
      <w:r>
        <w:rPr>
          <w:rFonts w:hint="eastAsia" w:ascii="宋体" w:hAnsi="宋体" w:eastAsia="仿宋_GB2312" w:cs="仿宋_GB2312"/>
          <w:color w:val="auto"/>
          <w:sz w:val="32"/>
          <w:szCs w:val="32"/>
          <w:highlight w:val="none"/>
          <w:lang w:val="en-US" w:eastAsia="zh-CN"/>
        </w:rPr>
        <w:t xml:space="preserve">  县级以上人民政府应当通过专项督查、日常检查等方式开展营商环境监督工作，督促纠正存在的问题。</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val="en-US" w:eastAsia="zh-CN"/>
        </w:rPr>
      </w:pPr>
      <w:r>
        <w:rPr>
          <w:rFonts w:hint="eastAsia" w:ascii="宋体" w:hAnsi="宋体" w:eastAsia="仿宋_GB2312" w:cs="仿宋_GB2312"/>
          <w:color w:val="auto"/>
          <w:sz w:val="32"/>
          <w:szCs w:val="32"/>
          <w:highlight w:val="none"/>
          <w:lang w:val="en-US" w:eastAsia="zh-CN"/>
        </w:rPr>
        <w:t>县级以上人民政府营商环境主管部门应当会同有关部门定期汇总、分析涉及营商环境投诉、举报的主要问题，并及时制定解决方案。</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i/>
          <w:iCs/>
          <w:color w:val="auto"/>
          <w:sz w:val="32"/>
          <w:szCs w:val="32"/>
          <w:highlight w:val="none"/>
          <w:u w:val="single"/>
          <w:lang w:val="zh-CN" w:eastAsia="zh-CN"/>
        </w:rPr>
      </w:pPr>
      <w:r>
        <w:rPr>
          <w:rFonts w:hint="eastAsia" w:ascii="宋体" w:hAnsi="宋体" w:eastAsia="黑体" w:cs="黑体"/>
          <w:i w:val="0"/>
          <w:iCs w:val="0"/>
          <w:color w:val="auto"/>
          <w:sz w:val="32"/>
          <w:szCs w:val="32"/>
          <w:highlight w:val="none"/>
          <w:u w:val="none"/>
        </w:rPr>
        <w:t>第</w:t>
      </w:r>
      <w:r>
        <w:rPr>
          <w:rFonts w:hint="eastAsia" w:ascii="宋体" w:hAnsi="宋体" w:eastAsia="黑体" w:cs="黑体"/>
          <w:i w:val="0"/>
          <w:iCs w:val="0"/>
          <w:color w:val="auto"/>
          <w:sz w:val="32"/>
          <w:szCs w:val="32"/>
          <w:highlight w:val="none"/>
          <w:u w:val="none"/>
          <w:lang w:val="en-US" w:eastAsia="zh-CN"/>
        </w:rPr>
        <w:t>六十</w:t>
      </w:r>
      <w:r>
        <w:rPr>
          <w:rFonts w:hint="eastAsia" w:ascii="宋体" w:hAnsi="宋体" w:eastAsia="黑体" w:cs="黑体"/>
          <w:i w:val="0"/>
          <w:iCs w:val="0"/>
          <w:color w:val="auto"/>
          <w:sz w:val="32"/>
          <w:szCs w:val="32"/>
          <w:highlight w:val="none"/>
          <w:u w:val="none"/>
        </w:rPr>
        <w:t>条</w:t>
      </w:r>
      <w:r>
        <w:rPr>
          <w:rFonts w:hint="eastAsia" w:ascii="宋体" w:hAnsi="宋体" w:eastAsia="仿宋_GB2312" w:cs="仿宋_GB2312"/>
          <w:color w:val="auto"/>
          <w:sz w:val="32"/>
          <w:szCs w:val="32"/>
          <w:highlight w:val="none"/>
          <w:lang w:val="en-US" w:eastAsia="zh-CN"/>
        </w:rPr>
        <w:t xml:space="preserve">  县级以上人民政府及其有关部门应当支持新闻媒体对营商环境进行舆论</w:t>
      </w:r>
      <w:r>
        <w:rPr>
          <w:rFonts w:hint="eastAsia" w:ascii="宋体" w:hAnsi="宋体" w:eastAsia="仿宋_GB2312" w:cs="仿宋_GB2312"/>
          <w:i w:val="0"/>
          <w:iCs w:val="0"/>
          <w:color w:val="auto"/>
          <w:sz w:val="32"/>
          <w:szCs w:val="32"/>
          <w:highlight w:val="none"/>
          <w:u w:val="none"/>
          <w:lang w:val="en-US" w:eastAsia="zh-CN"/>
        </w:rPr>
        <w:t>监督，及时调查处理新闻媒体曝光的损害营商环境的行为，并向社会公开调查处理结果。</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i w:val="0"/>
          <w:iCs w:val="0"/>
          <w:color w:val="auto"/>
          <w:sz w:val="32"/>
          <w:szCs w:val="32"/>
          <w:highlight w:val="none"/>
          <w:u w:val="none"/>
          <w:lang w:val="zh-CN" w:eastAsia="zh-CN"/>
        </w:rPr>
      </w:pPr>
      <w:r>
        <w:rPr>
          <w:rFonts w:hint="eastAsia" w:ascii="宋体" w:hAnsi="宋体" w:eastAsia="黑体" w:cs="黑体"/>
          <w:i w:val="0"/>
          <w:iCs w:val="0"/>
          <w:color w:val="auto"/>
          <w:sz w:val="32"/>
          <w:szCs w:val="32"/>
          <w:highlight w:val="none"/>
          <w:u w:val="none"/>
        </w:rPr>
        <w:t>第</w:t>
      </w:r>
      <w:r>
        <w:rPr>
          <w:rFonts w:hint="eastAsia" w:ascii="宋体" w:hAnsi="宋体" w:eastAsia="黑体" w:cs="黑体"/>
          <w:i w:val="0"/>
          <w:iCs w:val="0"/>
          <w:color w:val="auto"/>
          <w:sz w:val="32"/>
          <w:szCs w:val="32"/>
          <w:highlight w:val="none"/>
          <w:u w:val="none"/>
          <w:lang w:val="en-US" w:eastAsia="zh-CN"/>
        </w:rPr>
        <w:t>六十一</w:t>
      </w:r>
      <w:r>
        <w:rPr>
          <w:rFonts w:hint="eastAsia" w:ascii="宋体" w:hAnsi="宋体" w:eastAsia="黑体" w:cs="黑体"/>
          <w:i w:val="0"/>
          <w:iCs w:val="0"/>
          <w:color w:val="auto"/>
          <w:sz w:val="32"/>
          <w:szCs w:val="32"/>
          <w:highlight w:val="none"/>
          <w:u w:val="none"/>
        </w:rPr>
        <w:t>条</w:t>
      </w:r>
      <w:r>
        <w:rPr>
          <w:rFonts w:hint="eastAsia" w:ascii="宋体" w:hAnsi="宋体" w:eastAsia="仿宋_GB2312" w:cs="仿宋_GB2312"/>
          <w:color w:val="auto"/>
          <w:sz w:val="32"/>
          <w:szCs w:val="32"/>
          <w:highlight w:val="none"/>
          <w:lang w:val="en-US" w:eastAsia="zh-CN"/>
        </w:rPr>
        <w:t xml:space="preserve">  鼓励县级以上人民政府营商环境主管部门建立优化营商环境特约监督员制度，聘请企业经营者、专家学者、行业协会商会代表等作为特约监督员，对营商环境问题进行监督</w:t>
      </w:r>
      <w:r>
        <w:rPr>
          <w:rFonts w:hint="eastAsia" w:ascii="宋体" w:hAnsi="宋体" w:eastAsia="仿宋_GB2312" w:cs="仿宋_GB2312"/>
          <w:i w:val="0"/>
          <w:iCs w:val="0"/>
          <w:color w:val="auto"/>
          <w:sz w:val="32"/>
          <w:szCs w:val="32"/>
          <w:highlight w:val="none"/>
          <w:u w:val="none"/>
        </w:rPr>
        <w:t>。特约监督员应当收集并及时反馈市场主体对营商环境工作的意见建议及破坏营商环境的问题线索等情况，客观公正地提出监督、评价意见。</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val="en-US" w:eastAsia="zh-CN"/>
        </w:rPr>
      </w:pPr>
      <w:r>
        <w:rPr>
          <w:rFonts w:hint="eastAsia" w:ascii="宋体" w:hAnsi="宋体" w:eastAsia="黑体" w:cs="黑体"/>
          <w:color w:val="auto"/>
          <w:highlight w:val="none"/>
          <w:lang w:val="en-US" w:eastAsia="zh-CN"/>
        </w:rPr>
        <w:t xml:space="preserve"> </w:t>
      </w:r>
      <w:r>
        <w:rPr>
          <w:rFonts w:hint="eastAsia" w:ascii="宋体" w:hAnsi="宋体" w:eastAsia="黑体" w:cs="黑体"/>
          <w:i w:val="0"/>
          <w:iCs w:val="0"/>
          <w:color w:val="auto"/>
          <w:sz w:val="32"/>
          <w:szCs w:val="32"/>
          <w:highlight w:val="none"/>
          <w:u w:val="none"/>
          <w:lang w:val="en-US" w:eastAsia="zh-CN"/>
        </w:rPr>
        <w:t>第六十二条</w:t>
      </w:r>
      <w:r>
        <w:rPr>
          <w:rFonts w:hint="eastAsia" w:ascii="宋体" w:hAnsi="宋体" w:eastAsia="仿宋_GB2312" w:cs="仿宋_GB2312"/>
          <w:color w:val="auto"/>
          <w:sz w:val="32"/>
          <w:szCs w:val="32"/>
          <w:highlight w:val="none"/>
          <w:lang w:val="en-US" w:eastAsia="zh-CN"/>
        </w:rPr>
        <w:t xml:space="preserve"> 县级以上人民政府及其有关部门应当听取行业协会商会等第三方机构对营商环境工作的意见。</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val="en-US" w:eastAsia="zh-CN"/>
        </w:rPr>
      </w:pPr>
      <w:r>
        <w:rPr>
          <w:rFonts w:hint="eastAsia" w:ascii="宋体" w:hAnsi="宋体" w:eastAsia="仿宋_GB2312" w:cs="仿宋_GB2312"/>
          <w:color w:val="auto"/>
          <w:sz w:val="32"/>
          <w:szCs w:val="32"/>
          <w:highlight w:val="none"/>
          <w:lang w:val="en-US" w:eastAsia="zh-CN"/>
        </w:rPr>
        <w:t>鼓励和支持行业协会商会等第三方机构对优化营商环境问</w:t>
      </w:r>
      <w:r>
        <w:rPr>
          <w:rFonts w:hint="eastAsia" w:ascii="宋体" w:hAnsi="宋体" w:eastAsia="仿宋_GB2312" w:cs="仿宋_GB2312"/>
          <w:color w:val="auto"/>
          <w:spacing w:val="-6"/>
          <w:sz w:val="32"/>
          <w:szCs w:val="32"/>
          <w:highlight w:val="none"/>
          <w:lang w:val="en-US" w:eastAsia="zh-CN"/>
        </w:rPr>
        <w:t>题开展调研，向营商环境主管部门提出专业性报告和政策性建议。</w:t>
      </w:r>
    </w:p>
    <w:p>
      <w:pPr>
        <w:pStyle w:val="2"/>
        <w:keepNext w:val="0"/>
        <w:keepLines w:val="0"/>
        <w:pageBreakBefore w:val="0"/>
        <w:widowControl w:val="0"/>
        <w:kinsoku/>
        <w:wordWrap/>
        <w:overflowPunct w:val="0"/>
        <w:topLinePunct w:val="0"/>
        <w:autoSpaceDN/>
        <w:bidi w:val="0"/>
        <w:adjustRightInd w:val="0"/>
        <w:spacing w:beforeLines="0" w:afterLines="0" w:line="590" w:lineRule="exact"/>
        <w:ind w:left="0" w:leftChars="0" w:firstLine="632" w:firstLineChars="200"/>
        <w:jc w:val="both"/>
        <w:textAlignment w:val="auto"/>
        <w:outlineLvl w:val="9"/>
        <w:rPr>
          <w:rFonts w:hint="eastAsia" w:ascii="宋体" w:hAnsi="宋体" w:eastAsia="仿宋_GB2312" w:cs="仿宋_GB2312"/>
          <w:color w:val="auto"/>
          <w:sz w:val="32"/>
          <w:szCs w:val="32"/>
          <w:highlight w:val="none"/>
          <w:lang w:val="en-US" w:eastAsia="zh-CN"/>
        </w:rPr>
      </w:pPr>
      <w:r>
        <w:rPr>
          <w:rFonts w:hint="eastAsia" w:ascii="宋体" w:hAnsi="宋体" w:eastAsia="黑体" w:cs="黑体"/>
          <w:color w:val="auto"/>
          <w:sz w:val="32"/>
          <w:szCs w:val="32"/>
          <w:highlight w:val="none"/>
          <w:lang w:val="en-US" w:eastAsia="zh-CN"/>
        </w:rPr>
        <w:t>第六十三条</w:t>
      </w:r>
      <w:r>
        <w:rPr>
          <w:rFonts w:hint="eastAsia" w:ascii="宋体" w:hAnsi="宋体" w:eastAsia="仿宋_GB2312" w:cs="仿宋_GB2312"/>
          <w:color w:val="auto"/>
          <w:kern w:val="2"/>
          <w:sz w:val="32"/>
          <w:szCs w:val="32"/>
          <w:highlight w:val="none"/>
          <w:lang w:val="en-US" w:eastAsia="zh-CN" w:bidi="ar-SA"/>
        </w:rPr>
        <w:t xml:space="preserve">  对涉及营商环境的问题或者违法行为，市场主体可以通过政务服务便民热线、在线政务服务平台等渠道进行投诉、举报。行政机关应当按照规定的时限直接办理</w:t>
      </w:r>
      <w:r>
        <w:rPr>
          <w:rFonts w:hint="eastAsia" w:ascii="宋体" w:hAnsi="宋体" w:eastAsia="仿宋_GB2312" w:cs="仿宋_GB2312"/>
          <w:color w:val="auto"/>
          <w:spacing w:val="-6"/>
          <w:kern w:val="2"/>
          <w:sz w:val="32"/>
          <w:szCs w:val="32"/>
          <w:highlight w:val="none"/>
          <w:lang w:val="en-US" w:eastAsia="zh-CN" w:bidi="ar-SA"/>
        </w:rPr>
        <w:t>或者按照职责予以转办，并将办理结</w:t>
      </w:r>
      <w:r>
        <w:rPr>
          <w:rFonts w:hint="eastAsia" w:ascii="宋体" w:hAnsi="宋体" w:eastAsia="仿宋_GB2312" w:cs="仿宋_GB2312"/>
          <w:color w:val="auto"/>
          <w:spacing w:val="-6"/>
          <w:sz w:val="32"/>
          <w:szCs w:val="32"/>
          <w:highlight w:val="none"/>
          <w:lang w:val="en-US" w:eastAsia="zh-CN"/>
        </w:rPr>
        <w:t>果及时反馈给投诉人、举报人。</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lang w:val="en-US" w:eastAsia="zh-CN"/>
        </w:rPr>
      </w:pPr>
      <w:r>
        <w:rPr>
          <w:rFonts w:hint="eastAsia" w:ascii="宋体" w:hAnsi="宋体" w:eastAsia="黑体" w:cs="黑体"/>
          <w:color w:val="auto"/>
          <w:sz w:val="32"/>
          <w:szCs w:val="32"/>
          <w:highlight w:val="none"/>
        </w:rPr>
        <w:t>第</w:t>
      </w:r>
      <w:r>
        <w:rPr>
          <w:rFonts w:hint="eastAsia" w:ascii="宋体" w:hAnsi="宋体" w:eastAsia="黑体" w:cs="黑体"/>
          <w:i w:val="0"/>
          <w:iCs w:val="0"/>
          <w:color w:val="auto"/>
          <w:sz w:val="32"/>
          <w:szCs w:val="32"/>
          <w:highlight w:val="none"/>
          <w:u w:val="none"/>
          <w:lang w:val="en-US" w:eastAsia="zh-CN"/>
        </w:rPr>
        <w:t>六十四</w:t>
      </w:r>
      <w:r>
        <w:rPr>
          <w:rFonts w:hint="eastAsia" w:ascii="宋体" w:hAnsi="宋体" w:eastAsia="黑体" w:cs="黑体"/>
          <w:color w:val="auto"/>
          <w:sz w:val="32"/>
          <w:szCs w:val="32"/>
          <w:highlight w:val="none"/>
        </w:rPr>
        <w:t>条</w:t>
      </w:r>
      <w:r>
        <w:rPr>
          <w:rFonts w:hint="eastAsia" w:ascii="宋体" w:hAnsi="宋体" w:eastAsia="仿宋_GB2312" w:cs="仿宋_GB2312"/>
          <w:color w:val="auto"/>
          <w:sz w:val="32"/>
          <w:szCs w:val="32"/>
          <w:highlight w:val="none"/>
          <w:lang w:val="en-US" w:eastAsia="zh-CN"/>
        </w:rPr>
        <w:t xml:space="preserve">  </w:t>
      </w:r>
      <w:r>
        <w:rPr>
          <w:rFonts w:hint="eastAsia" w:ascii="宋体" w:hAnsi="宋体" w:eastAsia="仿宋_GB2312" w:cs="仿宋_GB2312"/>
          <w:color w:val="auto"/>
          <w:sz w:val="32"/>
          <w:szCs w:val="32"/>
          <w:highlight w:val="none"/>
        </w:rPr>
        <w:t>国家机关及其工作人</w:t>
      </w:r>
      <w:r>
        <w:rPr>
          <w:rFonts w:hint="eastAsia" w:ascii="宋体" w:hAnsi="宋体" w:eastAsia="仿宋_GB2312" w:cs="仿宋_GB2312"/>
          <w:color w:val="auto"/>
          <w:sz w:val="32"/>
          <w:szCs w:val="32"/>
          <w:highlight w:val="none"/>
          <w:lang w:val="en-US" w:eastAsia="zh-CN"/>
        </w:rPr>
        <w:t>员违反本条例的规定，损害营商环境的，由有权机关责令改正；情节严重的，对直接负责的主管人员和其他直接责任人员依法给予处分；构成犯罪的，依法追究刑事责任。</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ind w:firstLine="632" w:firstLineChars="200"/>
        <w:jc w:val="both"/>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color w:val="auto"/>
          <w:sz w:val="32"/>
          <w:szCs w:val="32"/>
          <w:highlight w:val="none"/>
          <w:lang w:val="en-US" w:eastAsia="zh-CN"/>
        </w:rPr>
        <w:t>第</w:t>
      </w:r>
      <w:r>
        <w:rPr>
          <w:rFonts w:hint="eastAsia" w:ascii="宋体" w:hAnsi="宋体" w:eastAsia="黑体" w:cs="黑体"/>
          <w:i w:val="0"/>
          <w:iCs w:val="0"/>
          <w:color w:val="auto"/>
          <w:sz w:val="32"/>
          <w:szCs w:val="32"/>
          <w:highlight w:val="none"/>
          <w:u w:val="none"/>
          <w:lang w:val="en-US" w:eastAsia="zh-CN"/>
        </w:rPr>
        <w:t>六十五</w:t>
      </w:r>
      <w:r>
        <w:rPr>
          <w:rFonts w:hint="eastAsia" w:ascii="宋体" w:hAnsi="宋体" w:eastAsia="黑体" w:cs="黑体"/>
          <w:color w:val="auto"/>
          <w:sz w:val="32"/>
          <w:szCs w:val="32"/>
          <w:highlight w:val="none"/>
          <w:lang w:val="en-US" w:eastAsia="zh-CN"/>
        </w:rPr>
        <w:t>条</w:t>
      </w:r>
      <w:r>
        <w:rPr>
          <w:rFonts w:hint="eastAsia" w:ascii="宋体" w:hAnsi="宋体" w:eastAsia="仿宋_GB2312" w:cs="仿宋_GB2312"/>
          <w:color w:val="auto"/>
          <w:sz w:val="32"/>
          <w:szCs w:val="32"/>
          <w:highlight w:val="none"/>
          <w:lang w:val="en-US" w:eastAsia="zh-CN"/>
        </w:rPr>
        <w:t xml:space="preserve">  公用企事业单位、行业协会商会以及中介服务机构有损害营商环境行为的，由有关部门责</w:t>
      </w:r>
      <w:r>
        <w:rPr>
          <w:rFonts w:hint="eastAsia" w:ascii="宋体" w:hAnsi="宋体" w:eastAsia="仿宋_GB2312" w:cs="仿宋_GB2312"/>
          <w:color w:val="auto"/>
          <w:sz w:val="32"/>
          <w:szCs w:val="32"/>
          <w:highlight w:val="none"/>
        </w:rPr>
        <w:t>令改正，依法追究法律责任，并按照相关规定记入信用记录。</w:t>
      </w:r>
    </w:p>
    <w:p>
      <w:pPr>
        <w:pStyle w:val="26"/>
        <w:keepNext w:val="0"/>
        <w:keepLines w:val="0"/>
        <w:pageBreakBefore w:val="0"/>
        <w:widowControl w:val="0"/>
        <w:kinsoku/>
        <w:wordWrap/>
        <w:overflowPunct w:val="0"/>
        <w:topLinePunct w:val="0"/>
        <w:autoSpaceDN/>
        <w:bidi w:val="0"/>
        <w:adjustRightInd w:val="0"/>
        <w:spacing w:beforeLines="0" w:beforeAutospacing="0" w:afterLines="0" w:afterAutospacing="0" w:line="590" w:lineRule="exact"/>
        <w:jc w:val="both"/>
        <w:textAlignment w:val="auto"/>
        <w:outlineLvl w:val="9"/>
        <w:rPr>
          <w:rFonts w:hint="eastAsia" w:ascii="宋体" w:hAnsi="宋体" w:eastAsia="仿宋_GB2312" w:cs="仿宋_GB2312"/>
          <w:color w:val="auto"/>
          <w:kern w:val="2"/>
          <w:highlight w:val="none"/>
          <w:lang w:val="en-US" w:eastAsia="zh-CN" w:bidi="ar-SA"/>
        </w:rPr>
      </w:pP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jc w:val="center"/>
        <w:textAlignment w:val="auto"/>
        <w:outlineLvl w:val="9"/>
        <w:rPr>
          <w:rFonts w:hint="eastAsia" w:ascii="宋体" w:hAnsi="宋体" w:eastAsia="黑体" w:cs="黑体"/>
          <w:color w:val="auto"/>
          <w:sz w:val="32"/>
          <w:szCs w:val="32"/>
          <w:highlight w:val="none"/>
        </w:rPr>
      </w:pPr>
      <w:r>
        <w:rPr>
          <w:rFonts w:hint="eastAsia" w:ascii="宋体" w:hAnsi="宋体" w:eastAsia="黑体" w:cs="黑体"/>
          <w:color w:val="auto"/>
          <w:sz w:val="32"/>
          <w:szCs w:val="32"/>
          <w:highlight w:val="none"/>
        </w:rPr>
        <w:t>第</w:t>
      </w:r>
      <w:r>
        <w:rPr>
          <w:rFonts w:hint="eastAsia" w:ascii="宋体" w:hAnsi="宋体" w:eastAsia="黑体" w:cs="黑体"/>
          <w:i w:val="0"/>
          <w:iCs w:val="0"/>
          <w:color w:val="auto"/>
          <w:sz w:val="32"/>
          <w:szCs w:val="32"/>
          <w:highlight w:val="none"/>
          <w:u w:val="none"/>
          <w:lang w:val="en-US" w:eastAsia="zh-CN"/>
        </w:rPr>
        <w:t>六</w:t>
      </w:r>
      <w:r>
        <w:rPr>
          <w:rFonts w:hint="eastAsia" w:ascii="宋体" w:hAnsi="宋体" w:eastAsia="黑体" w:cs="黑体"/>
          <w:color w:val="auto"/>
          <w:sz w:val="32"/>
          <w:szCs w:val="32"/>
          <w:highlight w:val="none"/>
        </w:rPr>
        <w:t>章</w:t>
      </w:r>
      <w:r>
        <w:rPr>
          <w:rFonts w:hint="eastAsia" w:ascii="宋体" w:hAnsi="宋体" w:eastAsia="黑体" w:cs="黑体"/>
          <w:color w:val="auto"/>
          <w:sz w:val="32"/>
          <w:szCs w:val="32"/>
          <w:highlight w:val="none"/>
          <w:lang w:val="en-US" w:eastAsia="zh-CN"/>
        </w:rPr>
        <w:t xml:space="preserve">  </w:t>
      </w:r>
      <w:r>
        <w:rPr>
          <w:rFonts w:hint="eastAsia" w:ascii="宋体" w:hAnsi="宋体" w:eastAsia="黑体" w:cs="黑体"/>
          <w:color w:val="auto"/>
          <w:sz w:val="32"/>
          <w:szCs w:val="32"/>
          <w:highlight w:val="none"/>
        </w:rPr>
        <w:t>附则</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jc w:val="left"/>
        <w:textAlignment w:val="auto"/>
        <w:outlineLvl w:val="9"/>
        <w:rPr>
          <w:rFonts w:hint="eastAsia" w:ascii="宋体" w:hAnsi="宋体" w:eastAsia="仿宋_GB2312" w:cs="仿宋_GB2312"/>
          <w:color w:val="auto"/>
          <w:sz w:val="32"/>
          <w:szCs w:val="32"/>
          <w:highlight w:val="none"/>
        </w:rPr>
      </w:pPr>
    </w:p>
    <w:p>
      <w:pPr>
        <w:keepNext w:val="0"/>
        <w:keepLines w:val="0"/>
        <w:pageBreakBefore w:val="0"/>
        <w:widowControl w:val="0"/>
        <w:kinsoku/>
        <w:wordWrap/>
        <w:overflowPunct w:val="0"/>
        <w:topLinePunct w:val="0"/>
        <w:bidi w:val="0"/>
        <w:adjustRightInd w:val="0"/>
        <w:spacing w:beforeLines="0" w:afterLines="0" w:line="590" w:lineRule="exact"/>
        <w:ind w:right="0" w:rightChars="0" w:firstLine="608" w:firstLineChars="200"/>
        <w:jc w:val="both"/>
        <w:outlineLvl w:val="9"/>
        <w:rPr>
          <w:rFonts w:hint="eastAsia" w:ascii="宋体" w:hAnsi="宋体" w:cs="仿宋_GB2312"/>
          <w:color w:val="auto"/>
          <w:kern w:val="2"/>
          <w:sz w:val="32"/>
          <w:szCs w:val="32"/>
          <w:lang w:val="en-US" w:eastAsia="zh-CN" w:bidi="ar"/>
        </w:rPr>
      </w:pPr>
      <w:r>
        <w:rPr>
          <w:rFonts w:hint="eastAsia" w:ascii="宋体" w:hAnsi="宋体" w:eastAsia="黑体" w:cs="黑体"/>
          <w:color w:val="auto"/>
          <w:spacing w:val="-6"/>
          <w:sz w:val="32"/>
          <w:szCs w:val="32"/>
          <w:highlight w:val="none"/>
        </w:rPr>
        <w:t>第</w:t>
      </w:r>
      <w:r>
        <w:rPr>
          <w:rFonts w:hint="eastAsia" w:ascii="宋体" w:hAnsi="宋体" w:eastAsia="黑体" w:cs="黑体"/>
          <w:i w:val="0"/>
          <w:iCs w:val="0"/>
          <w:color w:val="auto"/>
          <w:spacing w:val="-6"/>
          <w:sz w:val="32"/>
          <w:szCs w:val="32"/>
          <w:highlight w:val="none"/>
          <w:u w:val="none"/>
          <w:lang w:val="en-US" w:eastAsia="zh-CN"/>
        </w:rPr>
        <w:t>六十六</w:t>
      </w:r>
      <w:r>
        <w:rPr>
          <w:rFonts w:hint="eastAsia" w:ascii="宋体" w:hAnsi="宋体" w:eastAsia="黑体" w:cs="黑体"/>
          <w:color w:val="auto"/>
          <w:spacing w:val="-6"/>
          <w:sz w:val="32"/>
          <w:szCs w:val="32"/>
          <w:highlight w:val="none"/>
        </w:rPr>
        <w:t>条</w:t>
      </w:r>
      <w:r>
        <w:rPr>
          <w:rFonts w:hint="eastAsia" w:ascii="宋体" w:hAnsi="宋体" w:eastAsia="仿宋_GB2312" w:cs="仿宋_GB2312"/>
          <w:color w:val="auto"/>
          <w:spacing w:val="-6"/>
          <w:sz w:val="32"/>
          <w:szCs w:val="32"/>
          <w:highlight w:val="none"/>
          <w:lang w:val="en-US" w:eastAsia="zh-CN"/>
        </w:rPr>
        <w:t xml:space="preserve">  本条例自2022年7月1日起施行。</w:t>
      </w:r>
      <w:r>
        <w:rPr>
          <w:rFonts w:hint="eastAsia" w:ascii="宋体" w:hAnsi="宋体" w:eastAsia="仿宋_GB2312" w:cs="仿宋_GB2312"/>
          <w:color w:val="auto"/>
          <w:sz w:val="32"/>
          <w:szCs w:val="32"/>
          <w:highlight w:val="none"/>
          <w:lang w:val="en-US" w:eastAsia="zh-CN"/>
        </w:rPr>
        <w:t xml:space="preserve"> </w:t>
      </w:r>
    </w:p>
    <w:p>
      <w:pPr>
        <w:pStyle w:val="2"/>
        <w:overflowPunct w:val="0"/>
        <w:adjustRightInd w:val="0"/>
        <w:spacing w:beforeLines="0" w:afterLines="0" w:line="590" w:lineRule="exact"/>
        <w:rPr>
          <w:rFonts w:hint="default" w:ascii="宋体" w:hAnsi="宋体"/>
        </w:rPr>
      </w:pPr>
    </w:p>
    <w:p>
      <w:pPr>
        <w:overflowPunct w:val="0"/>
        <w:adjustRightInd w:val="0"/>
        <w:spacing w:beforeLines="0" w:afterLines="0" w:line="590" w:lineRule="exact"/>
        <w:rPr>
          <w:rFonts w:hint="default" w:ascii="宋体" w:hAnsi="宋体"/>
        </w:rPr>
      </w:pPr>
    </w:p>
    <w:p>
      <w:pPr>
        <w:pStyle w:val="2"/>
        <w:overflowPunct w:val="0"/>
        <w:adjustRightInd w:val="0"/>
        <w:spacing w:beforeLines="0" w:afterLines="0" w:line="590" w:lineRule="exact"/>
        <w:rPr>
          <w:rFonts w:hint="default" w:ascii="宋体" w:hAnsi="宋体"/>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rFonts w:hint="eastAsia" w:ascii="宋体" w:hAnsi="宋体" w:eastAsia="宋体" w:cs="宋体"/>
          <w:color w:val="auto"/>
          <w:sz w:val="32"/>
          <w:szCs w:val="32"/>
          <w:lang w:val="en-US" w:eastAsia="zh-CN"/>
        </w:rPr>
      </w:pPr>
    </w:p>
    <w:p>
      <w:pPr>
        <w:pStyle w:val="17"/>
        <w:overflowPunct w:val="0"/>
        <w:adjustRightInd w:val="0"/>
        <w:spacing w:beforeLines="0" w:afterLines="0" w:line="590" w:lineRule="exact"/>
        <w:ind w:left="0" w:leftChars="0" w:firstLine="0" w:firstLineChars="0"/>
        <w:rPr>
          <w:rFonts w:hint="eastAsia"/>
          <w:lang w:val="en-US"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rFonts w:hint="eastAsia" w:ascii="黑体" w:hAnsi="黑体" w:eastAsia="黑体" w:cs="黑体"/>
          <w:color w:val="auto"/>
          <w:spacing w:val="0"/>
          <w:sz w:val="44"/>
          <w:szCs w:val="44"/>
          <w:lang w:val="en-US" w:eastAsia="zh-CN"/>
        </w:rPr>
      </w:pPr>
    </w:p>
    <w:sectPr>
      <w:footerReference r:id="rId3" w:type="default"/>
      <w:footerReference r:id="rId4" w:type="even"/>
      <w:type w:val="continuous"/>
      <w:pgSz w:w="11907" w:h="16840"/>
      <w:pgMar w:top="1984" w:right="1531" w:bottom="1871" w:left="1531" w:header="0" w:footer="1417" w:gutter="0"/>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CC"/>
    <w:family w:val="auto"/>
    <w:pitch w:val="default"/>
    <w:sig w:usb0="00000000" w:usb1="00000000" w:usb2="00000008"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Tahoma">
    <w:altName w:val="DejaVu Sans"/>
    <w:panose1 w:val="020B0604030504040204"/>
    <w:charset w:val="00"/>
    <w:family w:val="auto"/>
    <w:pitch w:val="default"/>
    <w:sig w:usb0="00000000" w:usb1="00000000" w:usb2="00000008" w:usb3="00000000" w:csb0="200101FF" w:csb1="20280000"/>
  </w:font>
  <w:font w:name="方正小标宋简体">
    <w:panose1 w:val="02000000000000000000"/>
    <w:charset w:val="86"/>
    <w:family w:val="auto"/>
    <w:pitch w:val="default"/>
    <w:sig w:usb0="A00002BF" w:usb1="184F6CFA" w:usb2="00000012" w:usb3="00000000" w:csb0="00040001" w:csb1="00000000"/>
  </w:font>
  <w:font w:name="Cambria">
    <w:altName w:val="Noto Sans Syriac Eastern"/>
    <w:panose1 w:val="02040503050406030204"/>
    <w:charset w:val="00"/>
    <w:family w:val="roman"/>
    <w:pitch w:val="default"/>
    <w:sig w:usb0="00000000" w:usb1="00000000" w:usb2="00000000" w:usb3="00000000" w:csb0="2000019F" w:csb1="00000000"/>
  </w:font>
  <w:font w:name="Calibri Light">
    <w:altName w:val="DejaVu Sans"/>
    <w:panose1 w:val="020F0302020204030204"/>
    <w:charset w:val="00"/>
    <w:family w:val="auto"/>
    <w:pitch w:val="default"/>
    <w:sig w:usb0="00000000" w:usb1="00000000" w:usb2="00000000" w:usb3="00000000" w:csb0="2000019F" w:csb1="00000000"/>
  </w:font>
  <w:font w:name="仿宋">
    <w:altName w:val="宋体"/>
    <w:panose1 w:val="02010609060101010101"/>
    <w:charset w:val="86"/>
    <w:family w:val="modern"/>
    <w:pitch w:val="default"/>
    <w:sig w:usb0="00000000" w:usb1="00000000" w:usb2="00000016" w:usb3="00000000" w:csb0="00040001" w:csb1="00000000"/>
  </w:font>
  <w:font w:name=".PingFang SC">
    <w:altName w:val="宋体"/>
    <w:panose1 w:val="00000000000000000000"/>
    <w:charset w:val="86"/>
    <w:family w:val="swiss"/>
    <w:pitch w:val="default"/>
    <w:sig w:usb0="00000000" w:usb1="00000000" w:usb2="00000010" w:usb3="00000000" w:csb0="00040000" w:csb1="00000000"/>
  </w:font>
  <w:font w:name="Arial Unicode MS">
    <w:altName w:val="DejaVu Sans"/>
    <w:panose1 w:val="020B0604020202020204"/>
    <w:charset w:val="86"/>
    <w:family w:val="modern"/>
    <w:pitch w:val="default"/>
    <w:sig w:usb0="00000000" w:usb1="00000000" w:usb2="0000003F" w:usb3="00000000" w:csb0="603F01FF" w:csb1="FFFF0000"/>
  </w:font>
  <w:font w:name="方正仿宋_GBK">
    <w:panose1 w:val="02000000000000000000"/>
    <w:charset w:val="86"/>
    <w:family w:val="auto"/>
    <w:pitch w:val="default"/>
    <w:sig w:usb0="00000001" w:usb1="08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楷体简体">
    <w:altName w:val="方正楷体_GBK"/>
    <w:panose1 w:val="02010601030101010101"/>
    <w:charset w:val="86"/>
    <w:family w:val="auto"/>
    <w:pitch w:val="default"/>
    <w:sig w:usb0="00000000" w:usb1="00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keepNext w:val="0"/>
      <w:keepLines w:val="0"/>
      <w:pageBreakBefore w:val="0"/>
      <w:widowControl w:val="0"/>
      <w:kinsoku/>
      <w:wordWrap w:val="0"/>
      <w:overflowPunct/>
      <w:topLinePunct w:val="0"/>
      <w:autoSpaceDE/>
      <w:autoSpaceDN/>
      <w:bidi w:val="0"/>
      <w:adjustRightInd/>
      <w:snapToGrid w:val="0"/>
      <w:spacing w:beforeLines="0" w:afterLines="0"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280" w:firstLineChars="100"/>
      <w:jc w:val="both"/>
      <w:textAlignment w:val="auto"/>
      <w:outlineLvl w:val="9"/>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true"/>
  <w:bordersDoNotSurroundFooter w:val="true"/>
  <w:revisionView w:markup="0"/>
  <w:documentProtection w:enforcement="0"/>
  <w:defaultTabStop w:val="420"/>
  <w:hyphenationZone w:val="36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7BE2"/>
    <w:rsid w:val="036674C5"/>
    <w:rsid w:val="03884874"/>
    <w:rsid w:val="05D13273"/>
    <w:rsid w:val="06866278"/>
    <w:rsid w:val="086F19DD"/>
    <w:rsid w:val="0A1707EC"/>
    <w:rsid w:val="0D5A220C"/>
    <w:rsid w:val="0DC10F3C"/>
    <w:rsid w:val="0F0C1338"/>
    <w:rsid w:val="0F3C7199"/>
    <w:rsid w:val="0F9E114E"/>
    <w:rsid w:val="103C00B6"/>
    <w:rsid w:val="11361CF6"/>
    <w:rsid w:val="12272E15"/>
    <w:rsid w:val="12833C7B"/>
    <w:rsid w:val="128D47BB"/>
    <w:rsid w:val="131C3A9F"/>
    <w:rsid w:val="13371800"/>
    <w:rsid w:val="15572784"/>
    <w:rsid w:val="15626C01"/>
    <w:rsid w:val="170D64D1"/>
    <w:rsid w:val="17402747"/>
    <w:rsid w:val="176B60F3"/>
    <w:rsid w:val="17A56954"/>
    <w:rsid w:val="18394C82"/>
    <w:rsid w:val="18644411"/>
    <w:rsid w:val="19EE1972"/>
    <w:rsid w:val="1AF759E2"/>
    <w:rsid w:val="1BD6126C"/>
    <w:rsid w:val="1C3A4D59"/>
    <w:rsid w:val="1E5478C0"/>
    <w:rsid w:val="200A5205"/>
    <w:rsid w:val="20E36EDD"/>
    <w:rsid w:val="21E7264F"/>
    <w:rsid w:val="23B64D16"/>
    <w:rsid w:val="23BE221E"/>
    <w:rsid w:val="24E30D8C"/>
    <w:rsid w:val="2501793B"/>
    <w:rsid w:val="25087144"/>
    <w:rsid w:val="27FC1674"/>
    <w:rsid w:val="292D2FA2"/>
    <w:rsid w:val="297FA07C"/>
    <w:rsid w:val="29EC497A"/>
    <w:rsid w:val="2A3530D2"/>
    <w:rsid w:val="2AE1624B"/>
    <w:rsid w:val="2AE3372E"/>
    <w:rsid w:val="2B217D0A"/>
    <w:rsid w:val="2BFF538A"/>
    <w:rsid w:val="2F6418ED"/>
    <w:rsid w:val="31DB5B14"/>
    <w:rsid w:val="34152DC2"/>
    <w:rsid w:val="341E6D68"/>
    <w:rsid w:val="363F4357"/>
    <w:rsid w:val="375D349B"/>
    <w:rsid w:val="37B43F8C"/>
    <w:rsid w:val="37C707A3"/>
    <w:rsid w:val="381406BD"/>
    <w:rsid w:val="38882FCA"/>
    <w:rsid w:val="388C40E8"/>
    <w:rsid w:val="38AB7D8C"/>
    <w:rsid w:val="390C3D84"/>
    <w:rsid w:val="39130050"/>
    <w:rsid w:val="39B50AC5"/>
    <w:rsid w:val="3EC77AA3"/>
    <w:rsid w:val="3F8E4048"/>
    <w:rsid w:val="3F9DE1FC"/>
    <w:rsid w:val="3FFEE01F"/>
    <w:rsid w:val="40673A31"/>
    <w:rsid w:val="41443C70"/>
    <w:rsid w:val="42E04658"/>
    <w:rsid w:val="44CF252C"/>
    <w:rsid w:val="47F60ED7"/>
    <w:rsid w:val="4862267E"/>
    <w:rsid w:val="4AF01A75"/>
    <w:rsid w:val="4B1D40BD"/>
    <w:rsid w:val="4B1D5138"/>
    <w:rsid w:val="4BF05C55"/>
    <w:rsid w:val="4D2D6729"/>
    <w:rsid w:val="4D3C41B2"/>
    <w:rsid w:val="4D5060CE"/>
    <w:rsid w:val="4DA05958"/>
    <w:rsid w:val="511D4D5B"/>
    <w:rsid w:val="511F1590"/>
    <w:rsid w:val="51533045"/>
    <w:rsid w:val="515A66AF"/>
    <w:rsid w:val="51FB77F1"/>
    <w:rsid w:val="52701C74"/>
    <w:rsid w:val="52A45B67"/>
    <w:rsid w:val="57F7A64D"/>
    <w:rsid w:val="5891480F"/>
    <w:rsid w:val="59ED772B"/>
    <w:rsid w:val="5C216CEF"/>
    <w:rsid w:val="5C334EFE"/>
    <w:rsid w:val="5E617566"/>
    <w:rsid w:val="5ED165AF"/>
    <w:rsid w:val="5EEF1A0C"/>
    <w:rsid w:val="5EFB6196"/>
    <w:rsid w:val="5F1F3699"/>
    <w:rsid w:val="5F484E2D"/>
    <w:rsid w:val="5FF6A63D"/>
    <w:rsid w:val="5FFBAEAE"/>
    <w:rsid w:val="603B07CD"/>
    <w:rsid w:val="61655B37"/>
    <w:rsid w:val="638156B1"/>
    <w:rsid w:val="63F68BD0"/>
    <w:rsid w:val="64401FFB"/>
    <w:rsid w:val="64711DC6"/>
    <w:rsid w:val="65DA60DB"/>
    <w:rsid w:val="66ED1FE1"/>
    <w:rsid w:val="67B65FF8"/>
    <w:rsid w:val="67FB29C0"/>
    <w:rsid w:val="68E136BE"/>
    <w:rsid w:val="690337E2"/>
    <w:rsid w:val="6BDF368B"/>
    <w:rsid w:val="6C170B89"/>
    <w:rsid w:val="6C544E08"/>
    <w:rsid w:val="6D336076"/>
    <w:rsid w:val="6D7E2528"/>
    <w:rsid w:val="6FF3D49C"/>
    <w:rsid w:val="6FF61FD9"/>
    <w:rsid w:val="70AD1945"/>
    <w:rsid w:val="70B90714"/>
    <w:rsid w:val="70F80C9B"/>
    <w:rsid w:val="70FA6FEE"/>
    <w:rsid w:val="71A74628"/>
    <w:rsid w:val="722217A9"/>
    <w:rsid w:val="72247A70"/>
    <w:rsid w:val="726D0825"/>
    <w:rsid w:val="73C2091D"/>
    <w:rsid w:val="74C5727F"/>
    <w:rsid w:val="765BE437"/>
    <w:rsid w:val="769D666E"/>
    <w:rsid w:val="76DA649D"/>
    <w:rsid w:val="76E01EB3"/>
    <w:rsid w:val="77FFC2FC"/>
    <w:rsid w:val="79025A8E"/>
    <w:rsid w:val="79F299DC"/>
    <w:rsid w:val="7A631492"/>
    <w:rsid w:val="7B6A830C"/>
    <w:rsid w:val="7C3F4965"/>
    <w:rsid w:val="7C8A566B"/>
    <w:rsid w:val="7C996E3F"/>
    <w:rsid w:val="7E9F2D1C"/>
    <w:rsid w:val="7F6C6ACC"/>
    <w:rsid w:val="7F6FBE12"/>
    <w:rsid w:val="7F7D58EC"/>
    <w:rsid w:val="7FB82C5D"/>
    <w:rsid w:val="7FDE1D68"/>
    <w:rsid w:val="7FFEB430"/>
    <w:rsid w:val="9D4B5CFF"/>
    <w:rsid w:val="AE2F9A60"/>
    <w:rsid w:val="B16D91BD"/>
    <w:rsid w:val="B7BFF214"/>
    <w:rsid w:val="BA7B23C6"/>
    <w:rsid w:val="BFBD9734"/>
    <w:rsid w:val="D54F1F92"/>
    <w:rsid w:val="D777838B"/>
    <w:rsid w:val="DEDF1718"/>
    <w:rsid w:val="DFDE5A72"/>
    <w:rsid w:val="E967B0B6"/>
    <w:rsid w:val="EE7D4A2E"/>
    <w:rsid w:val="EFCF7D13"/>
    <w:rsid w:val="F3DC36DD"/>
    <w:rsid w:val="F6FD3696"/>
    <w:rsid w:val="F7EECFD2"/>
    <w:rsid w:val="F7FDDBA8"/>
    <w:rsid w:val="FAB696E7"/>
    <w:rsid w:val="FAEBECC8"/>
    <w:rsid w:val="FB7A6A38"/>
    <w:rsid w:val="FBE77DAF"/>
    <w:rsid w:val="FC3EA6A9"/>
    <w:rsid w:val="FCBE23F8"/>
    <w:rsid w:val="FE734873"/>
    <w:rsid w:val="FF7F5453"/>
    <w:rsid w:val="FFB74E83"/>
    <w:rsid w:val="FFD6C3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9">
    <w:name w:val="Default Paragraph Font"/>
    <w:link w:val="20"/>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Body Text"/>
    <w:basedOn w:val="1"/>
    <w:qFormat/>
    <w:uiPriority w:val="0"/>
    <w:rPr>
      <w:rFonts w:eastAsia="宋体"/>
      <w:sz w:val="44"/>
      <w:szCs w:val="24"/>
    </w:rPr>
  </w:style>
  <w:style w:type="paragraph" w:styleId="7">
    <w:name w:val="Body Text Indent"/>
    <w:basedOn w:val="1"/>
    <w:next w:val="1"/>
    <w:qFormat/>
    <w:uiPriority w:val="0"/>
    <w:pPr>
      <w:widowControl w:val="0"/>
      <w:ind w:firstLine="640" w:firstLineChars="200"/>
      <w:jc w:val="both"/>
    </w:pPr>
    <w:rPr>
      <w:rFonts w:ascii="黑体" w:hAnsi="Times New Roman" w:eastAsia="黑体" w:cs="Times New Roman"/>
      <w:kern w:val="2"/>
      <w:sz w:val="32"/>
      <w:szCs w:val="30"/>
      <w:lang w:val="en-US" w:eastAsia="zh-CN" w:bidi="ar-SA"/>
    </w:rPr>
  </w:style>
  <w:style w:type="paragraph" w:styleId="8">
    <w:name w:val="toc 3"/>
    <w:basedOn w:val="1"/>
    <w:next w:val="1"/>
    <w:qFormat/>
    <w:uiPriority w:val="0"/>
    <w:pPr>
      <w:ind w:left="840" w:leftChars="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2">
    <w:name w:val="toc 2"/>
    <w:basedOn w:val="1"/>
    <w:next w:val="1"/>
    <w:qFormat/>
    <w:uiPriority w:val="0"/>
    <w:pPr>
      <w:keepNext w:val="0"/>
      <w:keepLines w:val="0"/>
      <w:widowControl w:val="0"/>
      <w:suppressLineNumbers w:val="0"/>
      <w:spacing w:before="100" w:beforeAutospacing="1" w:after="100" w:afterAutospacing="1"/>
      <w:ind w:left="200" w:leftChars="200"/>
      <w:jc w:val="both"/>
    </w:pPr>
    <w:rPr>
      <w:rFonts w:hint="default" w:ascii="Times New Roman" w:hAnsi="Times New Roman" w:eastAsia="宋体" w:cs="Times New Roman"/>
      <w:kern w:val="2"/>
      <w:sz w:val="32"/>
      <w:szCs w:val="32"/>
      <w:lang w:val="en-US" w:eastAsia="zh-CN" w:bidi="ar"/>
    </w:rPr>
  </w:style>
  <w:style w:type="paragraph" w:styleId="13">
    <w:name w:val="HTML Preformatted"/>
    <w:basedOn w:val="1"/>
    <w:qFormat/>
    <w:uiPriority w:val="0"/>
    <w:pPr>
      <w:widowControl/>
      <w:jc w:val="left"/>
    </w:pPr>
    <w:rPr>
      <w:rFonts w:hint="eastAsia" w:ascii="宋体" w:hAnsi="宋体"/>
      <w:kern w:val="0"/>
      <w:sz w:val="24"/>
    </w:rPr>
  </w:style>
  <w:style w:type="paragraph" w:styleId="14">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5">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styleId="16">
    <w:name w:val="Body Text First Indent"/>
    <w:basedOn w:val="6"/>
    <w:qFormat/>
    <w:uiPriority w:val="0"/>
    <w:pPr>
      <w:ind w:firstLine="420" w:firstLineChars="100"/>
    </w:pPr>
  </w:style>
  <w:style w:type="paragraph" w:styleId="17">
    <w:name w:val="Body Text First Indent 2"/>
    <w:basedOn w:val="7"/>
    <w:qFormat/>
    <w:uiPriority w:val="0"/>
    <w:pPr>
      <w:ind w:firstLine="420" w:firstLineChars="200"/>
    </w:pPr>
  </w:style>
  <w:style w:type="paragraph" w:customStyle="1" w:styleId="20">
    <w:name w:val=" Char"/>
    <w:basedOn w:val="1"/>
    <w:link w:val="19"/>
    <w:qFormat/>
    <w:uiPriority w:val="0"/>
  </w:style>
  <w:style w:type="character" w:styleId="21">
    <w:name w:val="Strong"/>
    <w:basedOn w:val="19"/>
    <w:qFormat/>
    <w:uiPriority w:val="0"/>
    <w:rPr>
      <w:b/>
      <w:bCs/>
    </w:rPr>
  </w:style>
  <w:style w:type="character" w:styleId="22">
    <w:name w:val="page number"/>
    <w:basedOn w:val="19"/>
    <w:qFormat/>
    <w:uiPriority w:val="0"/>
  </w:style>
  <w:style w:type="character" w:styleId="23">
    <w:name w:val="Hyperlink"/>
    <w:basedOn w:val="19"/>
    <w:qFormat/>
    <w:uiPriority w:val="0"/>
    <w:rPr>
      <w:color w:val="0000FF"/>
      <w:u w:val="single"/>
    </w:rPr>
  </w:style>
  <w:style w:type="paragraph" w:customStyle="1" w:styleId="24">
    <w:name w:val=" Char Char Char Char Char Char Char Char Char1 Char Char Char Char"/>
    <w:basedOn w:val="25"/>
    <w:link w:val="19"/>
    <w:qFormat/>
    <w:uiPriority w:val="0"/>
  </w:style>
  <w:style w:type="paragraph" w:customStyle="1" w:styleId="25">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6">
    <w:name w:val="样式1"/>
    <w:basedOn w:val="1"/>
    <w:qFormat/>
    <w:uiPriority w:val="0"/>
    <w:pPr>
      <w:ind w:firstLine="602" w:firstLineChars="200"/>
    </w:pPr>
    <w:rPr>
      <w:rFonts w:ascii="仿宋" w:hAnsi="仿宋" w:eastAsia="仿宋"/>
      <w:sz w:val="30"/>
      <w:szCs w:val="30"/>
    </w:rPr>
  </w:style>
  <w:style w:type="paragraph" w:customStyle="1" w:styleId="27">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8">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29">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30">
    <w:name w:val="p0"/>
    <w:basedOn w:val="1"/>
    <w:qFormat/>
    <w:uiPriority w:val="0"/>
    <w:pPr>
      <w:widowControl/>
    </w:pPr>
    <w:rPr>
      <w:rFonts w:hint="eastAsia" w:ascii="宋体" w:hAnsi="宋体"/>
      <w:sz w:val="32"/>
    </w:rPr>
  </w:style>
  <w:style w:type="paragraph" w:customStyle="1" w:styleId="31">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2">
    <w:name w:val="p1"/>
    <w:basedOn w:val="1"/>
    <w:qFormat/>
    <w:uiPriority w:val="99"/>
    <w:pPr>
      <w:widowControl/>
      <w:jc w:val="center"/>
    </w:pPr>
    <w:rPr>
      <w:rFonts w:ascii=".PingFang SC" w:hAnsi=".PingFang SC" w:eastAsia=".PingFang SC"/>
      <w:color w:val="454545"/>
      <w:kern w:val="0"/>
      <w:sz w:val="18"/>
      <w:szCs w:val="18"/>
    </w:rPr>
  </w:style>
  <w:style w:type="paragraph" w:customStyle="1" w:styleId="33">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34">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5">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6">
    <w:name w:val="正文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37">
    <w:name w:val="15"/>
    <w:basedOn w:val="19"/>
    <w:qFormat/>
    <w:uiPriority w:val="0"/>
    <w:rPr>
      <w:rFonts w:hint="default" w:ascii="Times New Roman" w:hAnsi="Times New Roman" w:cs="Times New Roman"/>
      <w:b/>
      <w:bCs/>
      <w:sz w:val="20"/>
      <w:szCs w:val="20"/>
    </w:rPr>
  </w:style>
  <w:style w:type="character" w:customStyle="1" w:styleId="38">
    <w:name w:val="form-textarea-print1"/>
    <w:basedOn w:val="19"/>
    <w:qFormat/>
    <w:uiPriority w:val="0"/>
    <w:rPr>
      <w:sz w:val="14"/>
      <w:szCs w:val="14"/>
    </w:rPr>
  </w:style>
  <w:style w:type="paragraph" w:customStyle="1" w:styleId="39">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40">
    <w:name w:val="p15"/>
    <w:basedOn w:val="41"/>
    <w:qFormat/>
    <w:uiPriority w:val="3"/>
    <w:pPr>
      <w:widowControl/>
      <w:ind w:firstLine="420"/>
    </w:pPr>
    <w:rPr>
      <w:rFonts w:ascii="仿宋_GB2312" w:hAnsi="仿宋_GB2312" w:eastAsia="仿宋_GB2312" w:cs="仿宋_GB2312"/>
      <w:kern w:val="0"/>
      <w:sz w:val="32"/>
      <w:szCs w:val="32"/>
    </w:rPr>
  </w:style>
  <w:style w:type="paragraph" w:customStyle="1" w:styleId="41">
    <w:name w:val="正文 New New New New New New New New New New New New New New New New New New New New New New New New New New New New New New New New"/>
    <w:qFormat/>
    <w:uiPriority w:val="2"/>
    <w:pPr>
      <w:widowControl w:val="0"/>
      <w:jc w:val="both"/>
    </w:pPr>
    <w:rPr>
      <w:rFonts w:ascii="Calibri" w:hAnsi="Calibri" w:eastAsia="宋体" w:cs="Times New Roman"/>
      <w:color w:val="000000"/>
      <w:kern w:val="1"/>
      <w:sz w:val="21"/>
      <w:szCs w:val="22"/>
      <w:lang w:val="en-US" w:eastAsia="zh-CN" w:bidi="ar-SA"/>
    </w:rPr>
  </w:style>
  <w:style w:type="character" w:customStyle="1" w:styleId="42">
    <w:name w:val="bjh-p"/>
    <w:unhideWhenUsed/>
    <w:qFormat/>
    <w:uiPriority w:val="0"/>
    <w:rPr>
      <w:rFonts w:hint="default"/>
      <w:sz w:val="24"/>
    </w:rPr>
  </w:style>
  <w:style w:type="paragraph" w:customStyle="1" w:styleId="43">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4">
    <w:name w:val="p17"/>
    <w:basedOn w:val="1"/>
    <w:qFormat/>
    <w:uiPriority w:val="0"/>
    <w:pPr>
      <w:widowControl/>
      <w:ind w:firstLine="420"/>
    </w:pPr>
    <w:rPr>
      <w:rFonts w:ascii="仿宋_GB2312" w:hAnsi="宋体" w:eastAsia="仿宋_GB2312" w:cs="宋体"/>
      <w:kern w:val="0"/>
      <w:sz w:val="32"/>
      <w:szCs w:val="32"/>
    </w:rPr>
  </w:style>
  <w:style w:type="paragraph" w:customStyle="1" w:styleId="45">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 w:type="paragraph" w:customStyle="1" w:styleId="46">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7">
    <w:name w:val="Body Text Indent"/>
    <w:basedOn w:val="1"/>
    <w:qFormat/>
    <w:uiPriority w:val="0"/>
    <w:pPr>
      <w:ind w:firstLine="645"/>
    </w:pPr>
    <w:rPr>
      <w:rFonts w:ascii="黑体" w:eastAsia="黑体"/>
      <w:sz w:val="32"/>
    </w:rPr>
  </w:style>
  <w:style w:type="paragraph" w:customStyle="1" w:styleId="48">
    <w:name w:val="Normal Indent"/>
    <w:qFormat/>
    <w:uiPriority w:val="0"/>
    <w:pPr>
      <w:widowControl w:val="0"/>
      <w:adjustRightInd w:val="0"/>
      <w:spacing w:line="360" w:lineRule="auto"/>
      <w:ind w:firstLine="420"/>
      <w:jc w:val="both"/>
      <w:textAlignment w:val="baseline"/>
    </w:pPr>
    <w:rPr>
      <w:rFonts w:ascii="Calibri" w:hAnsi="Calibri" w:eastAsia="宋体" w:cs="Times New Roman"/>
      <w:kern w:val="0"/>
      <w:sz w:val="24"/>
      <w:lang w:val="en-US" w:eastAsia="zh-CN"/>
    </w:rPr>
  </w:style>
  <w:style w:type="paragraph" w:customStyle="1" w:styleId="49">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 w:type="paragraph" w:customStyle="1" w:styleId="50">
    <w:name w:val="0"/>
    <w:basedOn w:val="1"/>
    <w:qFormat/>
    <w:uiPriority w:val="0"/>
    <w:pPr>
      <w:widowControl/>
      <w:snapToGrid w:val="0"/>
      <w:spacing w:line="240" w:lineRule="atLeast"/>
    </w:pPr>
    <w:rPr>
      <w:rFonts w:ascii="Times New Roman" w:hAnsi="Times New Roman" w:cs="Times New Roman"/>
      <w:spacing w:val="-6"/>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32</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2019-04-19T15:40:00Z</dcterms:created>
  <dc:creator>谢浩然</dc:creator>
  <cp:lastModifiedBy>@liyaolan</cp:lastModifiedBy>
  <cp:lastPrinted>2022-06-15T02:29:00Z</cp:lastPrinted>
  <dcterms:modified xsi:type="dcterms:W3CDTF">2022-06-16T17:19:01Z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