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lang w:eastAsia="zh-CN"/>
        </w:rPr>
      </w:pPr>
    </w:p>
    <w:p>
      <w:pPr>
        <w:overflowPunct w:val="0"/>
        <w:adjustRightInd w:val="0"/>
        <w:spacing w:beforeLines="0" w:afterLines="0" w:line="590" w:lineRule="exact"/>
        <w:rPr>
          <w:rFonts w:hint="eastAsia" w:ascii="宋体" w:hAnsi="宋体"/>
          <w:lang w:eastAsia="zh-CN"/>
        </w:rPr>
      </w:pPr>
    </w:p>
    <w:p>
      <w:pPr>
        <w:pStyle w:val="8"/>
        <w:keepNext w:val="0"/>
        <w:keepLines w:val="0"/>
        <w:pageBreakBefore w:val="0"/>
        <w:widowControl w:val="0"/>
        <w:kinsoku/>
        <w:wordWrap/>
        <w:overflowPunct w:val="0"/>
        <w:topLinePunct w:val="0"/>
        <w:autoSpaceDE/>
        <w:autoSpaceDN/>
        <w:bidi w:val="0"/>
        <w:adjustRightInd w:val="0"/>
        <w:snapToGrid/>
        <w:spacing w:beforeLines="0" w:after="0" w:line="59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广东省土地权属纠纷处理条例</w:t>
      </w:r>
    </w:p>
    <w:p>
      <w:pPr>
        <w:pStyle w:val="8"/>
        <w:keepNext w:val="0"/>
        <w:keepLines w:val="0"/>
        <w:pageBreakBefore w:val="0"/>
        <w:widowControl w:val="0"/>
        <w:kinsoku/>
        <w:wordWrap/>
        <w:overflowPunct w:val="0"/>
        <w:topLinePunct w:val="0"/>
        <w:autoSpaceDE/>
        <w:autoSpaceDN/>
        <w:bidi w:val="0"/>
        <w:adjustRightInd w:val="0"/>
        <w:snapToGrid/>
        <w:spacing w:beforeLines="0" w:after="0" w:line="590" w:lineRule="exact"/>
        <w:ind w:left="0" w:leftChars="0"/>
        <w:jc w:val="center"/>
        <w:textAlignment w:val="auto"/>
        <w:outlineLvl w:val="9"/>
        <w:rPr>
          <w:rFonts w:hint="eastAsia" w:ascii="宋体" w:hAnsi="宋体" w:eastAsia="宋体" w:cs="宋体"/>
          <w:bCs/>
          <w:color w:val="000000"/>
          <w:sz w:val="32"/>
          <w:szCs w:val="32"/>
        </w:rPr>
      </w:pPr>
    </w:p>
    <w:p>
      <w:pPr>
        <w:pStyle w:val="8"/>
        <w:keepNext w:val="0"/>
        <w:keepLines w:val="0"/>
        <w:pageBreakBefore w:val="0"/>
        <w:widowControl w:val="0"/>
        <w:kinsoku/>
        <w:wordWrap/>
        <w:overflowPunct w:val="0"/>
        <w:topLinePunct w:val="0"/>
        <w:autoSpaceDE/>
        <w:autoSpaceDN/>
        <w:bidi w:val="0"/>
        <w:adjustRightInd w:val="0"/>
        <w:snapToGrid/>
        <w:spacing w:beforeLines="0" w:after="0" w:afterLines="0" w:line="590" w:lineRule="exact"/>
        <w:ind w:right="632" w:rightChars="200"/>
        <w:jc w:val="left"/>
        <w:textAlignment w:val="auto"/>
        <w:outlineLvl w:val="9"/>
        <w:rPr>
          <w:rFonts w:hint="eastAsia" w:ascii="宋体" w:hAnsi="宋体" w:eastAsia="楷体_GB2312"/>
          <w:bCs/>
          <w:szCs w:val="32"/>
        </w:rPr>
      </w:pPr>
      <w:r>
        <w:rPr>
          <w:rFonts w:hint="eastAsia" w:ascii="宋体" w:hAnsi="宋体" w:eastAsia="楷体_GB2312"/>
          <w:bCs/>
          <w:szCs w:val="32"/>
        </w:rPr>
        <w:t>（</w:t>
      </w:r>
      <w:r>
        <w:rPr>
          <w:rFonts w:hint="eastAsia" w:ascii="宋体" w:hAnsi="宋体" w:eastAsiaTheme="minorEastAsia" w:cstheme="minorEastAsia"/>
          <w:bCs/>
          <w:szCs w:val="32"/>
        </w:rPr>
        <w:t>1995</w:t>
      </w:r>
      <w:r>
        <w:rPr>
          <w:rFonts w:hint="eastAsia" w:ascii="宋体" w:hAnsi="宋体" w:eastAsia="楷体_GB2312"/>
          <w:bCs/>
          <w:szCs w:val="32"/>
        </w:rPr>
        <w:t>年</w:t>
      </w:r>
      <w:r>
        <w:rPr>
          <w:rFonts w:hint="eastAsia" w:ascii="宋体" w:hAnsi="宋体" w:eastAsiaTheme="minorEastAsia" w:cstheme="minorEastAsia"/>
          <w:bCs/>
          <w:szCs w:val="32"/>
        </w:rPr>
        <w:t>9</w:t>
      </w:r>
      <w:r>
        <w:rPr>
          <w:rFonts w:hint="eastAsia" w:ascii="宋体" w:hAnsi="宋体" w:eastAsia="楷体_GB2312"/>
          <w:bCs/>
          <w:szCs w:val="32"/>
        </w:rPr>
        <w:t>月</w:t>
      </w:r>
      <w:r>
        <w:rPr>
          <w:rFonts w:hint="eastAsia" w:ascii="宋体" w:hAnsi="宋体" w:eastAsiaTheme="minorEastAsia" w:cstheme="minorEastAsia"/>
          <w:bCs/>
          <w:szCs w:val="32"/>
        </w:rPr>
        <w:t>19</w:t>
      </w:r>
      <w:r>
        <w:rPr>
          <w:rFonts w:hint="eastAsia" w:ascii="宋体" w:hAnsi="宋体" w:eastAsia="楷体_GB2312"/>
          <w:bCs/>
          <w:szCs w:val="32"/>
        </w:rPr>
        <w:t>日广东</w:t>
      </w:r>
      <w:bookmarkStart w:id="0" w:name="_GoBack"/>
      <w:bookmarkEnd w:id="0"/>
      <w:r>
        <w:rPr>
          <w:rFonts w:hint="eastAsia" w:ascii="宋体" w:hAnsi="宋体" w:eastAsia="楷体_GB2312"/>
          <w:bCs/>
          <w:szCs w:val="32"/>
        </w:rPr>
        <w:t>省第八届人民代表大会常务委员会第十七次会议通过  根据</w:t>
      </w:r>
      <w:r>
        <w:rPr>
          <w:rFonts w:hint="eastAsia" w:ascii="宋体" w:hAnsi="宋体" w:eastAsiaTheme="minorEastAsia" w:cstheme="minorEastAsia"/>
          <w:bCs/>
          <w:szCs w:val="32"/>
        </w:rPr>
        <w:t>2014</w:t>
      </w:r>
      <w:r>
        <w:rPr>
          <w:rFonts w:hint="eastAsia" w:ascii="宋体" w:hAnsi="宋体" w:eastAsia="楷体_GB2312"/>
          <w:bCs/>
          <w:szCs w:val="32"/>
        </w:rPr>
        <w:t>年</w:t>
      </w:r>
      <w:r>
        <w:rPr>
          <w:rFonts w:hint="eastAsia" w:ascii="宋体" w:hAnsi="宋体" w:eastAsiaTheme="minorEastAsia" w:cstheme="minorEastAsia"/>
          <w:bCs/>
          <w:szCs w:val="32"/>
        </w:rPr>
        <w:t>9</w:t>
      </w:r>
      <w:r>
        <w:rPr>
          <w:rFonts w:hint="eastAsia" w:ascii="宋体" w:hAnsi="宋体" w:eastAsia="楷体_GB2312"/>
          <w:bCs/>
          <w:szCs w:val="32"/>
        </w:rPr>
        <w:t>月</w:t>
      </w:r>
      <w:r>
        <w:rPr>
          <w:rFonts w:hint="eastAsia" w:ascii="宋体" w:hAnsi="宋体" w:eastAsiaTheme="minorEastAsia" w:cstheme="minorEastAsia"/>
          <w:bCs/>
          <w:szCs w:val="32"/>
        </w:rPr>
        <w:t>25</w:t>
      </w:r>
      <w:r>
        <w:rPr>
          <w:rFonts w:hint="eastAsia" w:ascii="宋体" w:hAnsi="宋体" w:eastAsia="楷体_GB2312"/>
          <w:bCs/>
          <w:szCs w:val="32"/>
        </w:rPr>
        <w:t>日广东省第十二届人民代表大会常务委员会第十一次会议《关于修改〈广东省商品房预售管理条例〉等二十七项地方性法规的决定》</w:t>
      </w:r>
      <w:r>
        <w:rPr>
          <w:rFonts w:hint="eastAsia" w:ascii="宋体" w:hAnsi="宋体" w:eastAsia="楷体_GB2312"/>
          <w:bCs/>
          <w:szCs w:val="32"/>
          <w:lang w:eastAsia="zh-CN"/>
        </w:rPr>
        <w:t>第一次</w:t>
      </w:r>
      <w:r>
        <w:rPr>
          <w:rFonts w:hint="eastAsia" w:ascii="宋体" w:hAnsi="宋体" w:eastAsia="楷体_GB2312"/>
          <w:bCs/>
          <w:szCs w:val="32"/>
        </w:rPr>
        <w:t>修正</w:t>
      </w:r>
      <w:r>
        <w:rPr>
          <w:rFonts w:hint="eastAsia" w:ascii="宋体" w:hAnsi="宋体" w:eastAsia="楷体_GB2312"/>
          <w:bCs/>
          <w:szCs w:val="32"/>
          <w:lang w:val="en-US" w:eastAsia="zh-CN"/>
        </w:rPr>
        <w:t xml:space="preserve">  </w:t>
      </w:r>
      <w:r>
        <w:rPr>
          <w:rFonts w:hint="eastAsia" w:ascii="宋体" w:hAnsi="宋体" w:eastAsia="楷体_GB2312"/>
          <w:bCs/>
          <w:szCs w:val="32"/>
        </w:rPr>
        <w:t>根据</w:t>
      </w:r>
      <w:r>
        <w:rPr>
          <w:rFonts w:hint="eastAsia" w:ascii="宋体" w:hAnsi="宋体" w:eastAsiaTheme="minorEastAsia" w:cstheme="minorEastAsia"/>
          <w:bCs/>
          <w:szCs w:val="32"/>
        </w:rPr>
        <w:t>20</w:t>
      </w:r>
      <w:r>
        <w:rPr>
          <w:rFonts w:hint="eastAsia" w:ascii="宋体" w:hAnsi="宋体" w:eastAsiaTheme="minorEastAsia" w:cstheme="minorEastAsia"/>
          <w:bCs/>
          <w:szCs w:val="32"/>
          <w:lang w:val="en-US" w:eastAsia="zh-CN"/>
        </w:rPr>
        <w:t>22</w:t>
      </w:r>
      <w:r>
        <w:rPr>
          <w:rFonts w:hint="eastAsia" w:ascii="宋体" w:hAnsi="宋体" w:eastAsia="楷体_GB2312"/>
          <w:bCs/>
          <w:szCs w:val="32"/>
        </w:rPr>
        <w:t>年</w:t>
      </w:r>
      <w:r>
        <w:rPr>
          <w:rFonts w:hint="eastAsia" w:ascii="宋体" w:hAnsi="宋体" w:eastAsiaTheme="minorEastAsia" w:cstheme="minorEastAsia"/>
          <w:bCs/>
          <w:szCs w:val="32"/>
          <w:lang w:val="en-US" w:eastAsia="zh-CN"/>
        </w:rPr>
        <w:t>6</w:t>
      </w:r>
      <w:r>
        <w:rPr>
          <w:rFonts w:hint="eastAsia" w:ascii="宋体" w:hAnsi="宋体" w:eastAsia="楷体_GB2312"/>
          <w:bCs/>
          <w:szCs w:val="32"/>
        </w:rPr>
        <w:t>月</w:t>
      </w:r>
      <w:r>
        <w:rPr>
          <w:rFonts w:hint="eastAsia" w:ascii="宋体" w:hAnsi="宋体" w:eastAsiaTheme="minorEastAsia" w:cstheme="minorEastAsia"/>
          <w:bCs/>
          <w:szCs w:val="32"/>
          <w:lang w:val="en-US" w:eastAsia="zh-CN"/>
        </w:rPr>
        <w:t>1</w:t>
      </w:r>
      <w:r>
        <w:rPr>
          <w:rFonts w:hint="eastAsia" w:ascii="宋体" w:hAnsi="宋体" w:eastAsia="楷体_GB2312"/>
          <w:bCs/>
          <w:szCs w:val="32"/>
        </w:rPr>
        <w:t>日广东省第十</w:t>
      </w:r>
      <w:r>
        <w:rPr>
          <w:rFonts w:hint="eastAsia" w:ascii="宋体" w:hAnsi="宋体" w:eastAsia="楷体_GB2312"/>
          <w:bCs/>
          <w:szCs w:val="32"/>
          <w:lang w:eastAsia="zh-CN"/>
        </w:rPr>
        <w:t>三</w:t>
      </w:r>
      <w:r>
        <w:rPr>
          <w:rFonts w:hint="eastAsia" w:ascii="宋体" w:hAnsi="宋体" w:eastAsia="楷体_GB2312"/>
          <w:bCs/>
          <w:szCs w:val="32"/>
        </w:rPr>
        <w:t>届人民代表大会常务委员会第</w:t>
      </w:r>
      <w:r>
        <w:rPr>
          <w:rFonts w:hint="eastAsia" w:ascii="宋体" w:hAnsi="宋体" w:eastAsia="楷体_GB2312"/>
          <w:bCs/>
          <w:szCs w:val="32"/>
          <w:lang w:eastAsia="zh-CN"/>
        </w:rPr>
        <w:t>四</w:t>
      </w:r>
      <w:r>
        <w:rPr>
          <w:rFonts w:hint="eastAsia" w:ascii="宋体" w:hAnsi="宋体" w:eastAsia="楷体_GB2312"/>
          <w:bCs/>
          <w:szCs w:val="32"/>
        </w:rPr>
        <w:t>十</w:t>
      </w:r>
      <w:r>
        <w:rPr>
          <w:rFonts w:hint="eastAsia" w:ascii="宋体" w:hAnsi="宋体" w:eastAsia="楷体_GB2312"/>
          <w:bCs/>
          <w:szCs w:val="32"/>
          <w:lang w:eastAsia="zh-CN"/>
        </w:rPr>
        <w:t>三</w:t>
      </w:r>
      <w:r>
        <w:rPr>
          <w:rFonts w:hint="eastAsia" w:ascii="宋体" w:hAnsi="宋体" w:eastAsia="楷体_GB2312"/>
          <w:bCs/>
          <w:szCs w:val="32"/>
        </w:rPr>
        <w:t>次会议《关于修改〈广东省土地权属纠纷处理条例〉等</w:t>
      </w:r>
      <w:r>
        <w:rPr>
          <w:rFonts w:hint="eastAsia" w:ascii="宋体" w:hAnsi="宋体" w:eastAsia="楷体_GB2312"/>
          <w:bCs/>
          <w:szCs w:val="32"/>
          <w:lang w:eastAsia="zh-CN"/>
        </w:rPr>
        <w:t>四</w:t>
      </w:r>
      <w:r>
        <w:rPr>
          <w:rFonts w:hint="eastAsia" w:ascii="宋体" w:hAnsi="宋体" w:eastAsia="楷体_GB2312"/>
          <w:bCs/>
          <w:szCs w:val="32"/>
        </w:rPr>
        <w:t>项地方性法规的决定》</w:t>
      </w:r>
      <w:r>
        <w:rPr>
          <w:rFonts w:hint="eastAsia" w:ascii="宋体" w:hAnsi="宋体" w:eastAsia="楷体_GB2312"/>
          <w:bCs/>
          <w:szCs w:val="32"/>
          <w:lang w:eastAsia="zh-CN"/>
        </w:rPr>
        <w:t>第二次</w:t>
      </w:r>
      <w:r>
        <w:rPr>
          <w:rFonts w:hint="eastAsia" w:ascii="宋体" w:hAnsi="宋体" w:eastAsia="楷体_GB2312"/>
          <w:bCs/>
          <w:szCs w:val="32"/>
        </w:rPr>
        <w:t>修正）</w:t>
      </w:r>
    </w:p>
    <w:p>
      <w:pPr>
        <w:pStyle w:val="8"/>
        <w:keepNext w:val="0"/>
        <w:keepLines w:val="0"/>
        <w:pageBreakBefore w:val="0"/>
        <w:widowControl w:val="0"/>
        <w:kinsoku/>
        <w:wordWrap/>
        <w:overflowPunct w:val="0"/>
        <w:topLinePunct w:val="0"/>
        <w:autoSpaceDE/>
        <w:autoSpaceDN/>
        <w:bidi w:val="0"/>
        <w:adjustRightInd w:val="0"/>
        <w:snapToGrid/>
        <w:spacing w:beforeLines="0" w:after="0" w:afterLines="0" w:line="59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both"/>
        <w:textAlignment w:val="auto"/>
        <w:outlineLvl w:val="9"/>
        <w:rPr>
          <w:rFonts w:hint="eastAsia" w:ascii="宋体" w:hAnsi="宋体" w:eastAsia="仿宋_GB2312" w:cs="仿宋_GB2312"/>
          <w:b w:val="0"/>
          <w:bCs/>
          <w:szCs w:val="32"/>
        </w:rPr>
      </w:pPr>
      <w:r>
        <w:rPr>
          <w:rFonts w:hint="eastAsia" w:ascii="宋体" w:hAnsi="宋体" w:cs="仿宋_GB2312"/>
          <w:b w:val="0"/>
          <w:bCs/>
          <w:szCs w:val="32"/>
          <w:lang w:val="en-US" w:eastAsia="zh-CN"/>
        </w:rPr>
        <w:t xml:space="preserve">   </w:t>
      </w:r>
      <w:r>
        <w:rPr>
          <w:rFonts w:hint="eastAsia" w:ascii="宋体" w:hAnsi="宋体" w:eastAsia="黑体" w:cs="黑体"/>
          <w:b w:val="0"/>
          <w:bCs/>
          <w:szCs w:val="32"/>
          <w:lang w:val="en-US" w:eastAsia="zh-CN"/>
        </w:rPr>
        <w:t xml:space="preserve"> </w:t>
      </w:r>
      <w:r>
        <w:rPr>
          <w:rFonts w:hint="eastAsia" w:ascii="宋体" w:hAnsi="宋体" w:eastAsia="黑体" w:cs="黑体"/>
          <w:b w:val="0"/>
          <w:bCs/>
          <w:szCs w:val="32"/>
        </w:rPr>
        <w:t>第一条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为了公正、及时处理土地权属纠纷、保护土地所有者和使用者的合法权益，根据《中华人民共和国土地管理法》</w:t>
      </w:r>
      <w:r>
        <w:rPr>
          <w:rFonts w:hint="eastAsia" w:ascii="宋体" w:hAnsi="宋体" w:cs="仿宋_GB2312"/>
          <w:b w:val="0"/>
          <w:bCs/>
          <w:szCs w:val="32"/>
          <w:lang w:eastAsia="zh-CN"/>
        </w:rPr>
        <w:t>等</w:t>
      </w:r>
      <w:r>
        <w:rPr>
          <w:rFonts w:hint="eastAsia" w:ascii="宋体" w:hAnsi="宋体" w:eastAsia="仿宋_GB2312" w:cs="仿宋_GB2312"/>
          <w:b w:val="0"/>
          <w:bCs/>
          <w:szCs w:val="32"/>
        </w:rPr>
        <w:t>法律、</w:t>
      </w:r>
      <w:r>
        <w:rPr>
          <w:rFonts w:hint="eastAsia" w:ascii="宋体" w:hAnsi="宋体" w:cs="仿宋_GB2312"/>
          <w:b w:val="0"/>
          <w:bCs/>
          <w:szCs w:val="32"/>
          <w:lang w:eastAsia="zh-CN"/>
        </w:rPr>
        <w:t>行政</w:t>
      </w:r>
      <w:r>
        <w:rPr>
          <w:rFonts w:hint="eastAsia" w:ascii="宋体" w:hAnsi="宋体" w:eastAsia="仿宋_GB2312" w:cs="仿宋_GB2312"/>
          <w:b w:val="0"/>
          <w:bCs/>
          <w:szCs w:val="32"/>
        </w:rPr>
        <w:t>法规，结合我省实际，制定本条例。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 xml:space="preserve">    </w:t>
      </w:r>
      <w:r>
        <w:rPr>
          <w:rFonts w:hint="eastAsia" w:ascii="宋体" w:hAnsi="宋体" w:eastAsia="黑体" w:cs="黑体"/>
          <w:b w:val="0"/>
          <w:bCs/>
          <w:szCs w:val="32"/>
        </w:rPr>
        <w:t>第二条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本条例所称土地权属纠纷是指</w:t>
      </w:r>
      <w:r>
        <w:rPr>
          <w:rFonts w:hint="eastAsia" w:ascii="宋体" w:hAnsi="宋体" w:cs="仿宋_GB2312"/>
          <w:b w:val="0"/>
          <w:bCs/>
          <w:szCs w:val="32"/>
          <w:lang w:eastAsia="zh-CN"/>
        </w:rPr>
        <w:t>单位</w:t>
      </w:r>
      <w:r>
        <w:rPr>
          <w:rFonts w:hint="eastAsia" w:ascii="宋体" w:hAnsi="宋体" w:eastAsia="仿宋_GB2312" w:cs="仿宋_GB2312"/>
          <w:b w:val="0"/>
          <w:bCs/>
          <w:szCs w:val="32"/>
        </w:rPr>
        <w:t>与</w:t>
      </w:r>
      <w:r>
        <w:rPr>
          <w:rFonts w:hint="eastAsia" w:ascii="宋体" w:hAnsi="宋体" w:cs="仿宋_GB2312"/>
          <w:b w:val="0"/>
          <w:bCs/>
          <w:szCs w:val="32"/>
          <w:lang w:eastAsia="zh-CN"/>
        </w:rPr>
        <w:t>单位</w:t>
      </w:r>
      <w:r>
        <w:rPr>
          <w:rFonts w:hint="eastAsia" w:ascii="宋体" w:hAnsi="宋体" w:eastAsia="仿宋_GB2312" w:cs="仿宋_GB2312"/>
          <w:b w:val="0"/>
          <w:bCs/>
          <w:szCs w:val="32"/>
        </w:rPr>
        <w:t>之间、</w:t>
      </w:r>
      <w:r>
        <w:rPr>
          <w:rFonts w:hint="eastAsia" w:ascii="宋体" w:hAnsi="宋体" w:cs="仿宋_GB2312"/>
          <w:b w:val="0"/>
          <w:bCs/>
          <w:szCs w:val="32"/>
          <w:lang w:eastAsia="zh-CN"/>
        </w:rPr>
        <w:t>单位</w:t>
      </w:r>
      <w:r>
        <w:rPr>
          <w:rFonts w:hint="eastAsia" w:ascii="宋体" w:hAnsi="宋体" w:eastAsia="仿宋_GB2312" w:cs="仿宋_GB2312"/>
          <w:b w:val="0"/>
          <w:bCs/>
          <w:szCs w:val="32"/>
        </w:rPr>
        <w:t>与个人之间、个人与个人之间发生的土地所有权或者使用权纠纷。</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 xml:space="preserve">    </w:t>
      </w:r>
      <w:r>
        <w:rPr>
          <w:rFonts w:hint="eastAsia" w:ascii="宋体" w:hAnsi="宋体" w:eastAsia="黑体" w:cs="黑体"/>
          <w:b w:val="0"/>
          <w:bCs/>
          <w:szCs w:val="32"/>
        </w:rPr>
        <w:t>第三条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各级人民政府依法负责本行政区域内发生的土地权属纠纷的调解和处理（以下简称调处）工作。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黑体" w:cs="黑体"/>
          <w:b w:val="0"/>
          <w:bCs/>
          <w:szCs w:val="32"/>
        </w:rPr>
      </w:pPr>
      <w:r>
        <w:rPr>
          <w:rFonts w:hint="eastAsia" w:ascii="宋体" w:hAnsi="宋体" w:eastAsia="仿宋_GB2312" w:cs="仿宋_GB2312"/>
          <w:sz w:val="32"/>
          <w:szCs w:val="32"/>
          <w:lang w:val="en-US" w:eastAsia="zh-CN"/>
        </w:rPr>
        <w:t>各级人民政府负责调处土地权属纠纷的负责人及工作人员在调处工作中作出显著成绩的，由同级人民政府或者上级人民政府给予奖励。</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第四条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人民政府调处土地权属纠纷，必须坚持以事实为依据，以法律为准绳，尊重历史，照顾现实，充分协商，妥善调处。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农村集体土地权属纠纷，依照《中华人民共和国土地管理法》第</w:t>
      </w:r>
      <w:r>
        <w:rPr>
          <w:rFonts w:hint="eastAsia" w:ascii="宋体" w:hAnsi="宋体" w:cs="仿宋_GB2312"/>
          <w:b w:val="0"/>
          <w:bCs/>
          <w:szCs w:val="32"/>
          <w:lang w:eastAsia="zh-CN"/>
        </w:rPr>
        <w:t>九</w:t>
      </w:r>
      <w:r>
        <w:rPr>
          <w:rFonts w:hint="eastAsia" w:ascii="宋体" w:hAnsi="宋体" w:eastAsia="仿宋_GB2312" w:cs="仿宋_GB2312"/>
          <w:b w:val="0"/>
          <w:bCs/>
          <w:szCs w:val="32"/>
        </w:rPr>
        <w:t>条和有关法律、法规调处。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第五条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土地权属纠纷实行地域管辖、分级调处：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jc w:val="both"/>
        <w:textAlignment w:val="auto"/>
        <w:outlineLvl w:val="9"/>
        <w:rPr>
          <w:rFonts w:hint="eastAsia" w:ascii="宋体" w:hAnsi="宋体" w:eastAsia="仿宋_GB2312" w:cs="仿宋_GB2312"/>
          <w:b w:val="0"/>
          <w:bCs/>
          <w:szCs w:val="32"/>
        </w:rPr>
      </w:pPr>
      <w:r>
        <w:rPr>
          <w:rFonts w:hint="eastAsia" w:ascii="宋体" w:hAnsi="宋体" w:cs="仿宋_GB2312"/>
          <w:b w:val="0"/>
          <w:bCs/>
          <w:szCs w:val="32"/>
          <w:lang w:val="en-US" w:eastAsia="zh-CN"/>
        </w:rPr>
        <w:t xml:space="preserve">    </w:t>
      </w:r>
      <w:r>
        <w:rPr>
          <w:rFonts w:hint="eastAsia" w:ascii="宋体" w:hAnsi="宋体" w:eastAsia="仿宋_GB2312" w:cs="仿宋_GB2312"/>
          <w:b w:val="0"/>
          <w:bCs/>
          <w:szCs w:val="32"/>
        </w:rPr>
        <w:t>（一）个人与个人之间、个人与</w:t>
      </w:r>
      <w:r>
        <w:rPr>
          <w:rFonts w:hint="eastAsia" w:ascii="宋体" w:hAnsi="宋体" w:cs="仿宋_GB2312"/>
          <w:b w:val="0"/>
          <w:bCs/>
          <w:szCs w:val="32"/>
          <w:lang w:eastAsia="zh-CN"/>
        </w:rPr>
        <w:t>单位</w:t>
      </w:r>
      <w:r>
        <w:rPr>
          <w:rFonts w:hint="eastAsia" w:ascii="宋体" w:hAnsi="宋体" w:eastAsia="仿宋_GB2312" w:cs="仿宋_GB2312"/>
          <w:b w:val="0"/>
          <w:bCs/>
          <w:szCs w:val="32"/>
        </w:rPr>
        <w:t>之间的土地使用权纠纷由乡（镇）或</w:t>
      </w:r>
      <w:r>
        <w:rPr>
          <w:rFonts w:hint="eastAsia" w:ascii="宋体" w:hAnsi="宋体" w:cs="仿宋_GB2312"/>
          <w:b w:val="0"/>
          <w:bCs/>
          <w:szCs w:val="32"/>
          <w:lang w:eastAsia="zh-CN"/>
        </w:rPr>
        <w:t>者</w:t>
      </w:r>
      <w:r>
        <w:rPr>
          <w:rFonts w:hint="eastAsia" w:ascii="宋体" w:hAnsi="宋体" w:eastAsia="仿宋_GB2312" w:cs="仿宋_GB2312"/>
          <w:b w:val="0"/>
          <w:bCs/>
          <w:szCs w:val="32"/>
        </w:rPr>
        <w:t>县级人民政府调处。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jc w:val="both"/>
        <w:textAlignment w:val="auto"/>
        <w:outlineLvl w:val="9"/>
        <w:rPr>
          <w:rFonts w:hint="eastAsia" w:ascii="宋体" w:hAnsi="宋体" w:eastAsia="仿宋_GB2312" w:cs="仿宋_GB2312"/>
          <w:b w:val="0"/>
          <w:bCs/>
          <w:szCs w:val="32"/>
        </w:rPr>
      </w:pPr>
      <w:r>
        <w:rPr>
          <w:rFonts w:hint="eastAsia" w:ascii="宋体" w:hAnsi="宋体" w:cs="仿宋_GB2312"/>
          <w:b w:val="0"/>
          <w:bCs/>
          <w:szCs w:val="32"/>
          <w:lang w:val="en-US" w:eastAsia="zh-CN"/>
        </w:rPr>
        <w:t xml:space="preserve">    </w:t>
      </w:r>
      <w:r>
        <w:rPr>
          <w:rFonts w:hint="eastAsia" w:ascii="宋体" w:hAnsi="宋体" w:eastAsia="仿宋_GB2312" w:cs="仿宋_GB2312"/>
          <w:b w:val="0"/>
          <w:bCs/>
          <w:szCs w:val="32"/>
        </w:rPr>
        <w:t>（二）</w:t>
      </w:r>
      <w:r>
        <w:rPr>
          <w:rFonts w:hint="eastAsia" w:ascii="宋体" w:hAnsi="宋体" w:cs="仿宋_GB2312"/>
          <w:b w:val="0"/>
          <w:bCs/>
          <w:szCs w:val="32"/>
          <w:lang w:eastAsia="zh-CN"/>
        </w:rPr>
        <w:t>单位</w:t>
      </w:r>
      <w:r>
        <w:rPr>
          <w:rFonts w:hint="eastAsia" w:ascii="宋体" w:hAnsi="宋体" w:eastAsia="仿宋_GB2312" w:cs="仿宋_GB2312"/>
          <w:b w:val="0"/>
          <w:bCs/>
          <w:szCs w:val="32"/>
        </w:rPr>
        <w:t>与</w:t>
      </w:r>
      <w:r>
        <w:rPr>
          <w:rFonts w:hint="eastAsia" w:ascii="宋体" w:hAnsi="宋体" w:cs="仿宋_GB2312"/>
          <w:b w:val="0"/>
          <w:bCs/>
          <w:szCs w:val="32"/>
          <w:lang w:eastAsia="zh-CN"/>
        </w:rPr>
        <w:t>单位</w:t>
      </w:r>
      <w:r>
        <w:rPr>
          <w:rFonts w:hint="eastAsia" w:ascii="宋体" w:hAnsi="宋体" w:eastAsia="仿宋_GB2312" w:cs="仿宋_GB2312"/>
          <w:b w:val="0"/>
          <w:bCs/>
          <w:szCs w:val="32"/>
        </w:rPr>
        <w:t>之间的土地权属纠纷，由争议土地所在地的县级以上人民政府调处。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jc w:val="both"/>
        <w:textAlignment w:val="auto"/>
        <w:outlineLvl w:val="9"/>
        <w:rPr>
          <w:rFonts w:hint="eastAsia" w:ascii="宋体" w:hAnsi="宋体" w:eastAsia="仿宋_GB2312" w:cs="仿宋_GB2312"/>
          <w:b w:val="0"/>
          <w:bCs/>
          <w:szCs w:val="32"/>
        </w:rPr>
      </w:pPr>
      <w:r>
        <w:rPr>
          <w:rFonts w:hint="eastAsia" w:ascii="宋体" w:hAnsi="宋体" w:cs="仿宋_GB2312"/>
          <w:b w:val="0"/>
          <w:bCs/>
          <w:szCs w:val="32"/>
          <w:lang w:val="en-US" w:eastAsia="zh-CN"/>
        </w:rPr>
        <w:t xml:space="preserve">    </w:t>
      </w:r>
      <w:r>
        <w:rPr>
          <w:rFonts w:hint="eastAsia" w:ascii="宋体" w:hAnsi="宋体" w:eastAsia="仿宋_GB2312" w:cs="仿宋_GB2312"/>
          <w:b w:val="0"/>
          <w:bCs/>
          <w:szCs w:val="32"/>
        </w:rPr>
        <w:t>（三）跨行政区域的土地权属纠纷，由双方共同的上一级人民政府调处。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第六条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在土地权属纠纷未解决前，任何一方不得改变争议范围内的土地现状，不得破坏土地上的附着物、生长物或</w:t>
      </w:r>
      <w:r>
        <w:rPr>
          <w:rFonts w:hint="eastAsia" w:ascii="宋体" w:hAnsi="宋体" w:cs="仿宋_GB2312"/>
          <w:b w:val="0"/>
          <w:bCs/>
          <w:szCs w:val="32"/>
          <w:lang w:eastAsia="zh-CN"/>
        </w:rPr>
        <w:t>者</w:t>
      </w:r>
      <w:r>
        <w:rPr>
          <w:rFonts w:hint="eastAsia" w:ascii="宋体" w:hAnsi="宋体" w:eastAsia="仿宋_GB2312" w:cs="仿宋_GB2312"/>
          <w:b w:val="0"/>
          <w:bCs/>
          <w:szCs w:val="32"/>
        </w:rPr>
        <w:t>挖掘地下的矿产和埋藏物。</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第七条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申请调处土地权属纠纷必须符合以下条件：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jc w:val="both"/>
        <w:textAlignment w:val="auto"/>
        <w:outlineLvl w:val="9"/>
        <w:rPr>
          <w:rFonts w:hint="eastAsia" w:ascii="宋体" w:hAnsi="宋体" w:eastAsia="仿宋_GB2312" w:cs="仿宋_GB2312"/>
          <w:b w:val="0"/>
          <w:bCs/>
          <w:szCs w:val="32"/>
        </w:rPr>
      </w:pPr>
      <w:r>
        <w:rPr>
          <w:rFonts w:hint="eastAsia" w:ascii="宋体" w:hAnsi="宋体" w:cs="仿宋_GB2312"/>
          <w:b w:val="0"/>
          <w:bCs/>
          <w:szCs w:val="32"/>
          <w:lang w:val="en-US" w:eastAsia="zh-CN"/>
        </w:rPr>
        <w:t xml:space="preserve">    </w:t>
      </w:r>
      <w:r>
        <w:rPr>
          <w:rFonts w:hint="eastAsia" w:ascii="宋体" w:hAnsi="宋体" w:eastAsia="仿宋_GB2312" w:cs="仿宋_GB2312"/>
          <w:b w:val="0"/>
          <w:bCs/>
          <w:szCs w:val="32"/>
        </w:rPr>
        <w:t>（一）申请人与土地权属纠纷有直接利害关系的；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jc w:val="both"/>
        <w:textAlignment w:val="auto"/>
        <w:outlineLvl w:val="9"/>
        <w:rPr>
          <w:rFonts w:hint="eastAsia" w:ascii="宋体" w:hAnsi="宋体" w:eastAsia="仿宋_GB2312" w:cs="仿宋_GB2312"/>
          <w:b w:val="0"/>
          <w:bCs/>
          <w:szCs w:val="32"/>
        </w:rPr>
      </w:pPr>
      <w:r>
        <w:rPr>
          <w:rFonts w:hint="eastAsia" w:ascii="宋体" w:hAnsi="宋体" w:cs="仿宋_GB2312"/>
          <w:b w:val="0"/>
          <w:bCs/>
          <w:szCs w:val="32"/>
          <w:lang w:val="en-US" w:eastAsia="zh-CN"/>
        </w:rPr>
        <w:t xml:space="preserve">    </w:t>
      </w:r>
      <w:r>
        <w:rPr>
          <w:rFonts w:hint="eastAsia" w:ascii="宋体" w:hAnsi="宋体" w:eastAsia="仿宋_GB2312" w:cs="仿宋_GB2312"/>
          <w:b w:val="0"/>
          <w:bCs/>
          <w:szCs w:val="32"/>
        </w:rPr>
        <w:t>（二）有明确的请求调处对象、具体的调处请求和事实根据；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jc w:val="both"/>
        <w:textAlignment w:val="auto"/>
        <w:outlineLvl w:val="9"/>
        <w:rPr>
          <w:rFonts w:hint="eastAsia" w:ascii="宋体" w:hAnsi="宋体" w:eastAsia="仿宋_GB2312" w:cs="仿宋_GB2312"/>
          <w:b w:val="0"/>
          <w:bCs/>
          <w:szCs w:val="32"/>
        </w:rPr>
      </w:pPr>
      <w:r>
        <w:rPr>
          <w:rFonts w:hint="eastAsia" w:ascii="宋体" w:hAnsi="宋体" w:cs="仿宋_GB2312"/>
          <w:b w:val="0"/>
          <w:bCs/>
          <w:szCs w:val="32"/>
          <w:lang w:val="en-US" w:eastAsia="zh-CN"/>
        </w:rPr>
        <w:t xml:space="preserve">    </w:t>
      </w:r>
      <w:r>
        <w:rPr>
          <w:rFonts w:hint="eastAsia" w:ascii="宋体" w:hAnsi="宋体" w:cs="仿宋_GB2312"/>
          <w:b w:val="0"/>
          <w:bCs/>
          <w:szCs w:val="32"/>
          <w:lang w:eastAsia="zh-CN"/>
        </w:rPr>
        <w:t>（</w:t>
      </w:r>
      <w:r>
        <w:rPr>
          <w:rFonts w:hint="eastAsia" w:ascii="宋体" w:hAnsi="宋体" w:eastAsia="仿宋_GB2312" w:cs="仿宋_GB2312"/>
          <w:b w:val="0"/>
          <w:bCs/>
          <w:szCs w:val="32"/>
        </w:rPr>
        <w:t>三）符合人民政府调处的范围。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第八条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申请调处土地权属纠纷的当事人应向人民政府递交申请书。申请书应当载明下列事项，并按当事人另一方人数提交副本：</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（一）争议双方当事人的姓名、性别、年龄、职业、工作单位和住所，</w:t>
      </w:r>
      <w:r>
        <w:rPr>
          <w:rFonts w:hint="eastAsia" w:ascii="宋体" w:hAnsi="宋体" w:cs="仿宋_GB2312"/>
          <w:b w:val="0"/>
          <w:bCs/>
          <w:szCs w:val="32"/>
          <w:lang w:eastAsia="zh-CN"/>
        </w:rPr>
        <w:t>单位</w:t>
      </w:r>
      <w:r>
        <w:rPr>
          <w:rFonts w:hint="eastAsia" w:ascii="宋体" w:hAnsi="宋体" w:eastAsia="仿宋_GB2312" w:cs="仿宋_GB2312"/>
          <w:b w:val="0"/>
          <w:bCs/>
          <w:szCs w:val="32"/>
        </w:rPr>
        <w:t>的名称、住所和法定代表人或者主要负责人的姓名、职务；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（二）调处土地权属纠纷的请求和所根据的事实、理由；</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（三）证据和证据来源、证人姓名和住所。</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第九条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当事人对自己的请求负有举证责任。当事人申请调处土地权属纠纷，应根据不同情况提交下列相应的有关证据材料：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（一）县级以上人民政府核发的</w:t>
      </w:r>
      <w:r>
        <w:rPr>
          <w:rFonts w:hint="eastAsia" w:ascii="宋体" w:hAnsi="宋体" w:eastAsia="仿宋_GB2312" w:cs="仿宋_GB2312"/>
          <w:b w:val="0"/>
          <w:bCs/>
          <w:color w:val="auto"/>
          <w:szCs w:val="32"/>
          <w:lang w:val="en-US" w:eastAsia="zh-CN"/>
        </w:rPr>
        <w:t>不动产权属证明材料</w:t>
      </w:r>
      <w:r>
        <w:rPr>
          <w:rFonts w:hint="eastAsia" w:ascii="宋体" w:hAnsi="宋体" w:eastAsia="仿宋_GB2312" w:cs="仿宋_GB2312"/>
          <w:b w:val="0"/>
          <w:bCs/>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（二）县级以上人民政府及其主管部门依法批准征收、划拨土地的文件、附图和有关的补偿协议书、补偿清单；依法出让土地使用权的出让合同书和交付地价款的凭证；规划部门批准规划用地的文件及红线图；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（三）乡（镇）人民政府依法批准农民建房用地的文件；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（四）土地资源详查工作中，按规定形成的土地权属界线核定书及附图；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（五）生效的人民政府的调解书、</w:t>
      </w:r>
      <w:r>
        <w:rPr>
          <w:rFonts w:hint="eastAsia" w:ascii="宋体" w:hAnsi="宋体" w:cs="仿宋_GB2312"/>
          <w:b w:val="0"/>
          <w:bCs/>
          <w:szCs w:val="32"/>
          <w:lang w:eastAsia="zh-CN"/>
        </w:rPr>
        <w:t>行政裁决</w:t>
      </w:r>
      <w:r>
        <w:rPr>
          <w:rFonts w:hint="eastAsia" w:ascii="宋体" w:hAnsi="宋体" w:eastAsia="仿宋_GB2312" w:cs="仿宋_GB2312"/>
          <w:b w:val="0"/>
          <w:bCs/>
          <w:szCs w:val="32"/>
        </w:rPr>
        <w:t>和人民法院的裁定书、判决书以及有关土地权属协议书；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（六）法律规定可以作为证据的有关文件、资料。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人民政府在接到申请书之日起</w:t>
      </w:r>
      <w:r>
        <w:rPr>
          <w:rFonts w:hint="eastAsia" w:ascii="宋体" w:hAnsi="宋体" w:cs="仿宋_GB2312"/>
          <w:b w:val="0"/>
          <w:bCs/>
          <w:szCs w:val="32"/>
          <w:lang w:eastAsia="zh-CN"/>
        </w:rPr>
        <w:t>十五日</w:t>
      </w:r>
      <w:r>
        <w:rPr>
          <w:rFonts w:hint="eastAsia" w:ascii="宋体" w:hAnsi="宋体" w:eastAsia="仿宋_GB2312" w:cs="仿宋_GB2312"/>
          <w:b w:val="0"/>
          <w:bCs/>
          <w:szCs w:val="32"/>
        </w:rPr>
        <w:t>日内，凡符合受理条件的，应当受理，并通知申请当事人；不符合受理条件的，应当书面通知申请当事人，并说明不受理的理由。</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第十一条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人民政府应当在受理申请书之日起</w:t>
      </w:r>
      <w:r>
        <w:rPr>
          <w:rFonts w:hint="eastAsia" w:ascii="宋体" w:hAnsi="宋体" w:cs="仿宋_GB2312"/>
          <w:b w:val="0"/>
          <w:bCs/>
          <w:szCs w:val="32"/>
          <w:lang w:eastAsia="zh-CN"/>
        </w:rPr>
        <w:t>五</w:t>
      </w:r>
      <w:r>
        <w:rPr>
          <w:rFonts w:hint="eastAsia" w:ascii="宋体" w:hAnsi="宋体" w:eastAsia="仿宋_GB2312" w:cs="仿宋_GB2312"/>
          <w:b w:val="0"/>
          <w:bCs/>
          <w:szCs w:val="32"/>
        </w:rPr>
        <w:t>日内将申请书的副本发送给另一方当事人。另一方当事人收到申请书副本之日起</w:t>
      </w:r>
      <w:r>
        <w:rPr>
          <w:rFonts w:hint="eastAsia" w:ascii="宋体" w:hAnsi="宋体" w:cs="仿宋_GB2312"/>
          <w:b w:val="0"/>
          <w:bCs/>
          <w:szCs w:val="32"/>
          <w:lang w:eastAsia="zh-CN"/>
        </w:rPr>
        <w:t>二十</w:t>
      </w:r>
      <w:r>
        <w:rPr>
          <w:rFonts w:hint="eastAsia" w:ascii="宋体" w:hAnsi="宋体" w:eastAsia="仿宋_GB2312" w:cs="仿宋_GB2312"/>
          <w:b w:val="0"/>
          <w:bCs/>
          <w:szCs w:val="32"/>
        </w:rPr>
        <w:t>日内，向人民政府提交有关争议的证据材料。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另一方当事人未提交有关争议证据材料的，不影响调处程序的进行。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第十二条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申请当事人可以放弃或者变更申请请求。另一方当事人可以承认或者反驳申请请求，可以提出反请求。</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第十三条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人民政府对双方当事人所提供的证据材料，应当进行调查核实，才能作为认定事实的根据。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第十四条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人民政府受理的土地权属纠纷案件，能够调解的，应当根据自愿和合法的原则，在查明事实、分清是非的基础上进行调解，促使当事人互相谅解，达成协议。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调解不成的，应及时作出</w:t>
      </w:r>
      <w:r>
        <w:rPr>
          <w:rFonts w:hint="eastAsia" w:ascii="宋体" w:hAnsi="宋体" w:cs="仿宋_GB2312"/>
          <w:b w:val="0"/>
          <w:bCs/>
          <w:szCs w:val="32"/>
          <w:lang w:eastAsia="zh-CN"/>
        </w:rPr>
        <w:t>行政裁决</w:t>
      </w:r>
      <w:r>
        <w:rPr>
          <w:rFonts w:hint="eastAsia" w:ascii="宋体" w:hAnsi="宋体" w:eastAsia="仿宋_GB2312" w:cs="仿宋_GB2312"/>
          <w:b w:val="0"/>
          <w:bCs/>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第十五条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双方当事人对土地权属纠纷达成协议的，双方应在协议书及有关界线图上签名盖章。任何一方未经对方和有权调处的人民政府同意，不得修改协议内容和界线图。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第十六条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人民政府受理土地权属纠纷案应在受理之日起</w:t>
      </w:r>
      <w:r>
        <w:rPr>
          <w:rFonts w:hint="eastAsia" w:ascii="宋体" w:hAnsi="宋体" w:cs="仿宋_GB2312"/>
          <w:b w:val="0"/>
          <w:bCs/>
          <w:szCs w:val="32"/>
          <w:lang w:eastAsia="zh-CN"/>
        </w:rPr>
        <w:t>六</w:t>
      </w:r>
      <w:r>
        <w:rPr>
          <w:rFonts w:hint="eastAsia" w:ascii="宋体" w:hAnsi="宋体" w:eastAsia="仿宋_GB2312" w:cs="仿宋_GB2312"/>
          <w:b w:val="0"/>
          <w:bCs/>
          <w:szCs w:val="32"/>
        </w:rPr>
        <w:t>个月内作出</w:t>
      </w:r>
      <w:r>
        <w:rPr>
          <w:rFonts w:hint="eastAsia" w:ascii="宋体" w:hAnsi="宋体" w:cs="仿宋_GB2312"/>
          <w:b w:val="0"/>
          <w:bCs/>
          <w:szCs w:val="32"/>
          <w:lang w:eastAsia="zh-CN"/>
        </w:rPr>
        <w:t>行政裁决</w:t>
      </w:r>
      <w:r>
        <w:rPr>
          <w:rFonts w:hint="eastAsia" w:ascii="宋体" w:hAnsi="宋体" w:eastAsia="仿宋_GB2312" w:cs="仿宋_GB2312"/>
          <w:b w:val="0"/>
          <w:bCs/>
          <w:szCs w:val="32"/>
        </w:rPr>
        <w:t>。特殊情况需要延长的，应向上一级人民政府报告</w:t>
      </w:r>
      <w:r>
        <w:rPr>
          <w:rFonts w:hint="eastAsia" w:ascii="宋体" w:hAnsi="宋体" w:cs="仿宋_GB2312"/>
          <w:b w:val="0"/>
          <w:bCs/>
          <w:szCs w:val="32"/>
          <w:lang w:eastAsia="zh-CN"/>
        </w:rPr>
        <w:t>，</w:t>
      </w:r>
      <w:r>
        <w:rPr>
          <w:rFonts w:hint="eastAsia" w:ascii="宋体" w:hAnsi="宋体" w:cs="仿宋_GB2312"/>
          <w:b w:val="0"/>
          <w:bCs/>
          <w:color w:val="auto"/>
          <w:szCs w:val="32"/>
          <w:lang w:val="en-US" w:eastAsia="zh-CN"/>
        </w:rPr>
        <w:t>并书面告知当事人延期理由。</w:t>
      </w:r>
      <w:r>
        <w:rPr>
          <w:rFonts w:hint="eastAsia" w:ascii="宋体" w:hAnsi="宋体" w:eastAsia="仿宋_GB2312" w:cs="仿宋_GB2312"/>
          <w:kern w:val="2"/>
          <w:sz w:val="32"/>
          <w:szCs w:val="32"/>
          <w:lang w:val="en-US" w:eastAsia="zh-CN"/>
        </w:rPr>
        <w:t>延长期限</w:t>
      </w:r>
      <w:r>
        <w:rPr>
          <w:rFonts w:hint="eastAsia" w:ascii="宋体" w:hAnsi="宋体" w:cs="仿宋_GB2312"/>
          <w:kern w:val="2"/>
          <w:sz w:val="32"/>
          <w:szCs w:val="32"/>
          <w:lang w:val="en-US" w:eastAsia="zh-CN"/>
        </w:rPr>
        <w:t>一般</w:t>
      </w:r>
      <w:r>
        <w:rPr>
          <w:rFonts w:hint="eastAsia" w:ascii="宋体" w:hAnsi="宋体" w:eastAsia="仿宋_GB2312" w:cs="仿宋_GB2312"/>
          <w:kern w:val="2"/>
          <w:sz w:val="32"/>
          <w:szCs w:val="32"/>
          <w:lang w:val="en-US" w:eastAsia="zh-CN"/>
        </w:rPr>
        <w:t>不超过</w:t>
      </w:r>
      <w:r>
        <w:rPr>
          <w:rFonts w:hint="eastAsia" w:ascii="宋体" w:hAnsi="宋体" w:cs="仿宋_GB2312"/>
          <w:kern w:val="2"/>
          <w:sz w:val="32"/>
          <w:szCs w:val="32"/>
          <w:lang w:val="en-US" w:eastAsia="zh-CN"/>
        </w:rPr>
        <w:t>六</w:t>
      </w:r>
      <w:r>
        <w:rPr>
          <w:rFonts w:hint="eastAsia" w:ascii="宋体" w:hAnsi="宋体" w:eastAsia="仿宋_GB2312" w:cs="仿宋_GB2312"/>
          <w:kern w:val="2"/>
          <w:sz w:val="32"/>
          <w:szCs w:val="32"/>
          <w:lang w:val="en-US" w:eastAsia="zh-CN"/>
        </w:rPr>
        <w:t>个月。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第十七条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土地权属纠纷的</w:t>
      </w:r>
      <w:r>
        <w:rPr>
          <w:rFonts w:hint="eastAsia" w:ascii="宋体" w:hAnsi="宋体" w:cs="仿宋_GB2312"/>
          <w:b w:val="0"/>
          <w:bCs/>
          <w:szCs w:val="32"/>
          <w:lang w:eastAsia="zh-CN"/>
        </w:rPr>
        <w:t>行政裁决书</w:t>
      </w:r>
      <w:r>
        <w:rPr>
          <w:rFonts w:hint="eastAsia" w:ascii="宋体" w:hAnsi="宋体" w:eastAsia="仿宋_GB2312" w:cs="仿宋_GB2312"/>
          <w:b w:val="0"/>
          <w:bCs/>
          <w:szCs w:val="32"/>
        </w:rPr>
        <w:t>应加盖人民政府的印章并写明：</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（一）案由、申请请求、双方当事人提出的事实和理由；</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（二）处理认定的事实、理由和适用的法律；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（三）</w:t>
      </w:r>
      <w:r>
        <w:rPr>
          <w:rFonts w:hint="eastAsia" w:ascii="宋体" w:hAnsi="宋体" w:cs="仿宋_GB2312"/>
          <w:b w:val="0"/>
          <w:bCs/>
          <w:szCs w:val="32"/>
          <w:lang w:eastAsia="zh-CN"/>
        </w:rPr>
        <w:t>行政裁决</w:t>
      </w:r>
      <w:r>
        <w:rPr>
          <w:rFonts w:hint="eastAsia" w:ascii="宋体" w:hAnsi="宋体" w:eastAsia="仿宋_GB2312" w:cs="仿宋_GB2312"/>
          <w:b w:val="0"/>
          <w:bCs/>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第十八条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当事人对人民政府</w:t>
      </w:r>
      <w:r>
        <w:rPr>
          <w:rFonts w:hint="eastAsia" w:ascii="宋体" w:hAnsi="宋体" w:cs="仿宋_GB2312"/>
          <w:b w:val="0"/>
          <w:bCs/>
          <w:szCs w:val="32"/>
          <w:lang w:eastAsia="zh-CN"/>
        </w:rPr>
        <w:t>行政裁决</w:t>
      </w:r>
      <w:r>
        <w:rPr>
          <w:rFonts w:hint="eastAsia" w:ascii="宋体" w:hAnsi="宋体" w:eastAsia="仿宋_GB2312" w:cs="仿宋_GB2312"/>
          <w:b w:val="0"/>
          <w:bCs/>
          <w:szCs w:val="32"/>
        </w:rPr>
        <w:t>不服的，</w:t>
      </w:r>
      <w:r>
        <w:rPr>
          <w:rFonts w:hint="eastAsia" w:ascii="宋体" w:hAnsi="宋体" w:eastAsia="仿宋_GB2312" w:cs="仿宋_GB2312"/>
          <w:b w:val="0"/>
          <w:bCs/>
          <w:color w:val="auto"/>
          <w:szCs w:val="32"/>
          <w:lang w:val="en-US" w:eastAsia="zh-CN"/>
        </w:rPr>
        <w:t>可以依法申请行政复议或者依法提起行政诉讼</w:t>
      </w:r>
      <w:r>
        <w:rPr>
          <w:rFonts w:hint="eastAsia" w:ascii="宋体" w:hAnsi="宋体" w:eastAsia="仿宋_GB2312" w:cs="仿宋_GB2312"/>
          <w:b w:val="0"/>
          <w:bCs/>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逾期不申请复议、不起诉又不履行</w:t>
      </w:r>
      <w:r>
        <w:rPr>
          <w:rFonts w:hint="eastAsia" w:ascii="宋体" w:hAnsi="宋体" w:cs="仿宋_GB2312"/>
          <w:b w:val="0"/>
          <w:bCs/>
          <w:szCs w:val="32"/>
          <w:lang w:eastAsia="zh-CN"/>
        </w:rPr>
        <w:t>行政裁决</w:t>
      </w:r>
      <w:r>
        <w:rPr>
          <w:rFonts w:hint="eastAsia" w:ascii="宋体" w:hAnsi="宋体" w:eastAsia="仿宋_GB2312" w:cs="仿宋_GB2312"/>
          <w:b w:val="0"/>
          <w:bCs/>
          <w:szCs w:val="32"/>
        </w:rPr>
        <w:t>的，由作出</w:t>
      </w:r>
      <w:r>
        <w:rPr>
          <w:rFonts w:hint="eastAsia" w:ascii="宋体" w:hAnsi="宋体" w:cs="仿宋_GB2312"/>
          <w:b w:val="0"/>
          <w:bCs/>
          <w:szCs w:val="32"/>
          <w:lang w:eastAsia="zh-CN"/>
        </w:rPr>
        <w:t>行政裁决</w:t>
      </w:r>
      <w:r>
        <w:rPr>
          <w:rFonts w:hint="eastAsia" w:ascii="宋体" w:hAnsi="宋体" w:eastAsia="仿宋_GB2312" w:cs="仿宋_GB2312"/>
          <w:b w:val="0"/>
          <w:bCs/>
          <w:szCs w:val="32"/>
        </w:rPr>
        <w:t>的人民政府</w:t>
      </w:r>
      <w:r>
        <w:rPr>
          <w:rFonts w:hint="eastAsia" w:ascii="宋体" w:hAnsi="宋体" w:cs="仿宋_GB2312"/>
          <w:b w:val="0"/>
          <w:bCs/>
          <w:szCs w:val="32"/>
          <w:lang w:eastAsia="zh-CN"/>
        </w:rPr>
        <w:t>依法</w:t>
      </w:r>
      <w:r>
        <w:rPr>
          <w:rFonts w:hint="eastAsia" w:ascii="宋体" w:hAnsi="宋体" w:eastAsia="仿宋_GB2312" w:cs="仿宋_GB2312"/>
          <w:b w:val="0"/>
          <w:bCs/>
          <w:szCs w:val="32"/>
        </w:rPr>
        <w:t>申请人民法院强制执行。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第十九条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人民政府应当根据生效的调解书、</w:t>
      </w:r>
      <w:r>
        <w:rPr>
          <w:rFonts w:hint="eastAsia" w:ascii="宋体" w:hAnsi="宋体" w:cs="仿宋_GB2312"/>
          <w:b w:val="0"/>
          <w:bCs/>
          <w:szCs w:val="32"/>
          <w:lang w:eastAsia="zh-CN"/>
        </w:rPr>
        <w:t>行政裁决</w:t>
      </w:r>
      <w:r>
        <w:rPr>
          <w:rFonts w:hint="eastAsia" w:ascii="宋体" w:hAnsi="宋体" w:eastAsia="仿宋_GB2312" w:cs="仿宋_GB2312"/>
          <w:b w:val="0"/>
          <w:bCs/>
          <w:szCs w:val="32"/>
        </w:rPr>
        <w:t>或</w:t>
      </w:r>
      <w:r>
        <w:rPr>
          <w:rFonts w:hint="eastAsia" w:ascii="宋体" w:hAnsi="宋体" w:cs="仿宋_GB2312"/>
          <w:b w:val="0"/>
          <w:bCs/>
          <w:szCs w:val="32"/>
          <w:lang w:eastAsia="zh-CN"/>
        </w:rPr>
        <w:t>者</w:t>
      </w:r>
      <w:r>
        <w:rPr>
          <w:rFonts w:hint="eastAsia" w:ascii="宋体" w:hAnsi="宋体" w:eastAsia="仿宋_GB2312" w:cs="仿宋_GB2312"/>
          <w:b w:val="0"/>
          <w:bCs/>
          <w:szCs w:val="32"/>
        </w:rPr>
        <w:t>人民法院的裁定书、判决书等组织测定土地权属界址、界线、拐点坐标及埋设界桩，办理土地登记。双方当事人必须遵守和执行。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实地测量土地权属界址、界线、拐点坐标及埋设界桩的费用，由当事人双方负责。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第二十条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违反</w:t>
      </w:r>
      <w:r>
        <w:rPr>
          <w:rFonts w:hint="eastAsia" w:ascii="宋体" w:hAnsi="宋体" w:cs="仿宋_GB2312"/>
          <w:b w:val="0"/>
          <w:bCs/>
          <w:szCs w:val="32"/>
          <w:lang w:eastAsia="zh-CN"/>
        </w:rPr>
        <w:t>本条例</w:t>
      </w:r>
      <w:r>
        <w:rPr>
          <w:rFonts w:hint="eastAsia" w:ascii="宋体" w:hAnsi="宋体" w:eastAsia="仿宋_GB2312" w:cs="仿宋_GB2312"/>
          <w:b w:val="0"/>
          <w:bCs/>
          <w:szCs w:val="32"/>
        </w:rPr>
        <w:t>第六条规定</w:t>
      </w:r>
      <w:r>
        <w:rPr>
          <w:rFonts w:hint="eastAsia" w:ascii="宋体" w:hAnsi="宋体" w:cs="仿宋_GB2312"/>
          <w:b w:val="0"/>
          <w:bCs/>
          <w:szCs w:val="32"/>
          <w:lang w:eastAsia="zh-CN"/>
        </w:rPr>
        <w:t>的</w:t>
      </w:r>
      <w:r>
        <w:rPr>
          <w:rFonts w:hint="eastAsia" w:ascii="宋体" w:hAnsi="宋体" w:eastAsia="仿宋_GB2312" w:cs="仿宋_GB2312"/>
          <w:b w:val="0"/>
          <w:bCs/>
          <w:szCs w:val="32"/>
        </w:rPr>
        <w:t>，由负责调处的人民政府责令恢复原状</w:t>
      </w:r>
      <w:r>
        <w:rPr>
          <w:rFonts w:hint="eastAsia" w:ascii="宋体" w:hAnsi="宋体" w:cs="仿宋_GB2312"/>
          <w:b w:val="0"/>
          <w:bCs/>
          <w:szCs w:val="32"/>
          <w:lang w:eastAsia="zh-CN"/>
        </w:rPr>
        <w:t>，</w:t>
      </w:r>
      <w:r>
        <w:rPr>
          <w:rFonts w:hint="eastAsia" w:ascii="宋体" w:hAnsi="宋体" w:eastAsia="仿宋_GB2312" w:cs="仿宋_GB2312"/>
          <w:b w:val="0"/>
          <w:bCs/>
          <w:szCs w:val="32"/>
        </w:rPr>
        <w:t>没收</w:t>
      </w:r>
      <w:r>
        <w:rPr>
          <w:rFonts w:hint="eastAsia" w:ascii="宋体" w:hAnsi="宋体" w:cs="仿宋_GB2312"/>
          <w:b w:val="0"/>
          <w:bCs/>
          <w:szCs w:val="32"/>
          <w:lang w:eastAsia="zh-CN"/>
        </w:rPr>
        <w:t>违</w:t>
      </w:r>
      <w:r>
        <w:rPr>
          <w:rFonts w:hint="eastAsia" w:ascii="宋体" w:hAnsi="宋体" w:eastAsia="仿宋_GB2312" w:cs="仿宋_GB2312"/>
          <w:b w:val="0"/>
          <w:bCs/>
          <w:szCs w:val="32"/>
        </w:rPr>
        <w:t>法所得；当事人一方给另一方造成经济损失的，还应承担民事赔偿责任；构成犯罪的，</w:t>
      </w:r>
      <w:r>
        <w:rPr>
          <w:rFonts w:hint="eastAsia" w:ascii="宋体" w:hAnsi="宋体" w:cs="仿宋_GB2312"/>
          <w:b w:val="0"/>
          <w:bCs/>
          <w:szCs w:val="32"/>
          <w:lang w:eastAsia="zh-CN"/>
        </w:rPr>
        <w:t>依法</w:t>
      </w:r>
      <w:r>
        <w:rPr>
          <w:rFonts w:hint="eastAsia" w:ascii="宋体" w:hAnsi="宋体" w:eastAsia="仿宋_GB2312" w:cs="仿宋_GB2312"/>
          <w:b w:val="0"/>
          <w:bCs/>
          <w:szCs w:val="32"/>
        </w:rPr>
        <w:t>追究刑事责任。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第二十一条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当事人伪造、毁灭重要证据或</w:t>
      </w:r>
      <w:r>
        <w:rPr>
          <w:rFonts w:hint="eastAsia" w:ascii="宋体" w:hAnsi="宋体" w:cs="仿宋_GB2312"/>
          <w:b w:val="0"/>
          <w:bCs/>
          <w:szCs w:val="32"/>
          <w:lang w:eastAsia="zh-CN"/>
        </w:rPr>
        <w:t>者</w:t>
      </w:r>
      <w:r>
        <w:rPr>
          <w:rFonts w:hint="eastAsia" w:ascii="宋体" w:hAnsi="宋体" w:eastAsia="仿宋_GB2312" w:cs="仿宋_GB2312"/>
          <w:b w:val="0"/>
          <w:bCs/>
          <w:szCs w:val="32"/>
        </w:rPr>
        <w:t>以暴力</w:t>
      </w:r>
      <w:r>
        <w:rPr>
          <w:rFonts w:hint="eastAsia" w:ascii="宋体" w:hAnsi="宋体" w:cs="仿宋_GB2312"/>
          <w:b w:val="0"/>
          <w:bCs/>
          <w:szCs w:val="32"/>
          <w:lang w:eastAsia="zh-CN"/>
        </w:rPr>
        <w:t>、</w:t>
      </w:r>
      <w:r>
        <w:rPr>
          <w:rFonts w:hint="eastAsia" w:ascii="宋体" w:hAnsi="宋体" w:eastAsia="仿宋_GB2312" w:cs="仿宋_GB2312"/>
          <w:b w:val="0"/>
          <w:bCs/>
          <w:szCs w:val="32"/>
        </w:rPr>
        <w:t>威胁、贿买方法阻止证人作证或者指使、贿买、胁迫他人作伪证，构成犯罪的，</w:t>
      </w:r>
      <w:r>
        <w:rPr>
          <w:rFonts w:hint="eastAsia" w:ascii="宋体" w:hAnsi="宋体" w:cs="仿宋_GB2312"/>
          <w:b w:val="0"/>
          <w:bCs/>
          <w:szCs w:val="32"/>
          <w:lang w:eastAsia="zh-CN"/>
        </w:rPr>
        <w:t>依法</w:t>
      </w:r>
      <w:r>
        <w:rPr>
          <w:rFonts w:hint="eastAsia" w:ascii="宋体" w:hAnsi="宋体" w:eastAsia="仿宋_GB2312" w:cs="仿宋_GB2312"/>
          <w:b w:val="0"/>
          <w:bCs/>
          <w:szCs w:val="32"/>
        </w:rPr>
        <w:t>追究刑事责任；构成</w:t>
      </w:r>
      <w:r>
        <w:rPr>
          <w:rFonts w:hint="eastAsia" w:ascii="宋体" w:hAnsi="宋体" w:cs="仿宋_GB2312"/>
          <w:b w:val="0"/>
          <w:bCs/>
          <w:szCs w:val="32"/>
          <w:lang w:eastAsia="zh-CN"/>
        </w:rPr>
        <w:t>违反治安管理行为</w:t>
      </w:r>
      <w:r>
        <w:rPr>
          <w:rFonts w:hint="eastAsia" w:ascii="宋体" w:hAnsi="宋体" w:eastAsia="仿宋_GB2312" w:cs="仿宋_GB2312"/>
          <w:b w:val="0"/>
          <w:bCs/>
          <w:szCs w:val="32"/>
        </w:rPr>
        <w:t>的，由公安机关依照《中华人民共和国治安管理处罚</w:t>
      </w:r>
      <w:r>
        <w:rPr>
          <w:rFonts w:hint="eastAsia" w:ascii="宋体" w:hAnsi="宋体" w:cs="仿宋_GB2312"/>
          <w:b w:val="0"/>
          <w:bCs/>
          <w:szCs w:val="32"/>
          <w:lang w:eastAsia="zh-CN"/>
        </w:rPr>
        <w:t>法</w:t>
      </w:r>
      <w:r>
        <w:rPr>
          <w:rFonts w:hint="eastAsia" w:ascii="宋体" w:hAnsi="宋体" w:eastAsia="仿宋_GB2312" w:cs="仿宋_GB2312"/>
          <w:b w:val="0"/>
          <w:bCs/>
          <w:szCs w:val="32"/>
        </w:rPr>
        <w:t>》</w:t>
      </w:r>
      <w:r>
        <w:rPr>
          <w:rFonts w:hint="eastAsia" w:ascii="宋体" w:hAnsi="宋体" w:cs="仿宋_GB2312"/>
          <w:b w:val="0"/>
          <w:bCs/>
          <w:szCs w:val="32"/>
          <w:lang w:eastAsia="zh-CN"/>
        </w:rPr>
        <w:t>给予处罚</w:t>
      </w:r>
      <w:r>
        <w:rPr>
          <w:rFonts w:hint="eastAsia" w:ascii="宋体" w:hAnsi="宋体" w:eastAsia="仿宋_GB2312" w:cs="仿宋_GB2312"/>
          <w:b w:val="0"/>
          <w:bCs/>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第二十二条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土地权属纠纷解决后，仍故意损毁、移动界桩</w:t>
      </w:r>
      <w:r>
        <w:rPr>
          <w:rFonts w:hint="eastAsia" w:ascii="宋体" w:hAnsi="宋体" w:cs="仿宋_GB2312"/>
          <w:b w:val="0"/>
          <w:bCs/>
          <w:szCs w:val="32"/>
          <w:lang w:eastAsia="zh-CN"/>
        </w:rPr>
        <w:t>的</w:t>
      </w:r>
      <w:r>
        <w:rPr>
          <w:rFonts w:hint="eastAsia" w:ascii="宋体" w:hAnsi="宋体" w:eastAsia="仿宋_GB2312" w:cs="仿宋_GB2312"/>
          <w:b w:val="0"/>
          <w:bCs/>
          <w:szCs w:val="32"/>
        </w:rPr>
        <w:t>，由负责调处的人民政府责令恢复界桩，并处以</w:t>
      </w:r>
      <w:r>
        <w:rPr>
          <w:rFonts w:hint="eastAsia" w:ascii="宋体" w:hAnsi="宋体" w:cs="仿宋_GB2312"/>
          <w:b w:val="0"/>
          <w:bCs/>
          <w:szCs w:val="32"/>
          <w:lang w:eastAsia="zh-CN"/>
        </w:rPr>
        <w:t>五千</w:t>
      </w:r>
      <w:r>
        <w:rPr>
          <w:rFonts w:hint="eastAsia" w:ascii="宋体" w:hAnsi="宋体" w:eastAsia="仿宋_GB2312" w:cs="仿宋_GB2312"/>
          <w:b w:val="0"/>
          <w:bCs/>
          <w:szCs w:val="32"/>
        </w:rPr>
        <w:t>元以上</w:t>
      </w:r>
      <w:r>
        <w:rPr>
          <w:rFonts w:hint="eastAsia" w:ascii="宋体" w:hAnsi="宋体" w:cs="仿宋_GB2312"/>
          <w:b w:val="0"/>
          <w:bCs/>
          <w:szCs w:val="32"/>
          <w:lang w:eastAsia="zh-CN"/>
        </w:rPr>
        <w:t>一万</w:t>
      </w:r>
      <w:r>
        <w:rPr>
          <w:rFonts w:hint="eastAsia" w:ascii="宋体" w:hAnsi="宋体" w:eastAsia="仿宋_GB2312" w:cs="仿宋_GB2312"/>
          <w:b w:val="0"/>
          <w:bCs/>
          <w:szCs w:val="32"/>
        </w:rPr>
        <w:t>元以下罚款；当事人造成其他经济损失的，承担民事赔偿责任。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第二十三条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以土地权属纠纷为借口，</w:t>
      </w:r>
      <w:r>
        <w:rPr>
          <w:rFonts w:hint="eastAsia" w:ascii="宋体" w:hAnsi="宋体" w:cs="仿宋_GB2312"/>
          <w:b w:val="0"/>
          <w:bCs/>
          <w:szCs w:val="32"/>
          <w:lang w:eastAsia="zh-CN"/>
        </w:rPr>
        <w:t>侵害民事权益</w:t>
      </w:r>
      <w:r>
        <w:rPr>
          <w:rFonts w:hint="eastAsia" w:ascii="宋体" w:hAnsi="宋体" w:eastAsia="仿宋_GB2312" w:cs="仿宋_GB2312"/>
          <w:b w:val="0"/>
          <w:bCs/>
          <w:szCs w:val="32"/>
        </w:rPr>
        <w:t>，造成经济损失的，承担民事赔偿责任；构成犯罪的，</w:t>
      </w:r>
      <w:r>
        <w:rPr>
          <w:rFonts w:hint="eastAsia" w:ascii="宋体" w:hAnsi="宋体" w:cs="仿宋_GB2312"/>
          <w:b w:val="0"/>
          <w:bCs/>
          <w:szCs w:val="32"/>
          <w:lang w:eastAsia="zh-CN"/>
        </w:rPr>
        <w:t>依法</w:t>
      </w:r>
      <w:r>
        <w:rPr>
          <w:rFonts w:hint="eastAsia" w:ascii="宋体" w:hAnsi="宋体" w:eastAsia="仿宋_GB2312" w:cs="仿宋_GB2312"/>
          <w:b w:val="0"/>
          <w:bCs/>
          <w:szCs w:val="32"/>
        </w:rPr>
        <w:t>追究刑事责任。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第二十四条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各级人民政府负责调处土地权属纠纷的负责人及工作人员违反本条例规定，玩忽职守、滥用职权、徇私舞弊的，</w:t>
      </w:r>
      <w:r>
        <w:rPr>
          <w:rFonts w:hint="eastAsia" w:ascii="宋体" w:hAnsi="宋体" w:cs="仿宋_GB2312"/>
          <w:b w:val="0"/>
          <w:bCs/>
          <w:szCs w:val="32"/>
          <w:lang w:eastAsia="zh-CN"/>
        </w:rPr>
        <w:t>依法</w:t>
      </w:r>
      <w:r>
        <w:rPr>
          <w:rFonts w:hint="eastAsia" w:ascii="宋体" w:hAnsi="宋体" w:eastAsia="仿宋_GB2312" w:cs="仿宋_GB2312"/>
          <w:b w:val="0"/>
          <w:bCs/>
          <w:szCs w:val="32"/>
        </w:rPr>
        <w:t>给予处分；构成犯罪的，</w:t>
      </w:r>
      <w:r>
        <w:rPr>
          <w:rFonts w:hint="eastAsia" w:ascii="宋体" w:hAnsi="宋体" w:cs="仿宋_GB2312"/>
          <w:b w:val="0"/>
          <w:bCs/>
          <w:szCs w:val="32"/>
          <w:lang w:eastAsia="zh-CN"/>
        </w:rPr>
        <w:t>依法</w:t>
      </w:r>
      <w:r>
        <w:rPr>
          <w:rFonts w:hint="eastAsia" w:ascii="宋体" w:hAnsi="宋体" w:eastAsia="仿宋_GB2312" w:cs="仿宋_GB2312"/>
          <w:b w:val="0"/>
          <w:bCs/>
          <w:szCs w:val="32"/>
        </w:rPr>
        <w:t>追究刑事责任。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第二十五条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Cs w:val="32"/>
        </w:rPr>
        <w:t>本条例自</w:t>
      </w:r>
      <w:r>
        <w:rPr>
          <w:rFonts w:hint="eastAsia" w:ascii="宋体" w:hAnsi="宋体" w:eastAsiaTheme="minorEastAsia" w:cstheme="minorEastAsia"/>
          <w:b w:val="0"/>
          <w:bCs/>
          <w:szCs w:val="32"/>
        </w:rPr>
        <w:t>1995</w:t>
      </w:r>
      <w:r>
        <w:rPr>
          <w:rFonts w:hint="eastAsia" w:ascii="宋体" w:hAnsi="宋体" w:eastAsia="仿宋_GB2312" w:cs="仿宋_GB2312"/>
          <w:b w:val="0"/>
          <w:bCs/>
          <w:szCs w:val="32"/>
        </w:rPr>
        <w:t>年</w:t>
      </w:r>
      <w:r>
        <w:rPr>
          <w:rFonts w:hint="eastAsia" w:ascii="宋体" w:hAnsi="宋体" w:eastAsiaTheme="minorEastAsia" w:cstheme="minorEastAsia"/>
          <w:b w:val="0"/>
          <w:bCs/>
          <w:szCs w:val="32"/>
        </w:rPr>
        <w:t>11</w:t>
      </w:r>
      <w:r>
        <w:rPr>
          <w:rFonts w:hint="eastAsia" w:ascii="宋体" w:hAnsi="宋体" w:eastAsia="仿宋_GB2312" w:cs="仿宋_GB2312"/>
          <w:b w:val="0"/>
          <w:bCs/>
          <w:szCs w:val="32"/>
        </w:rPr>
        <w:t>月</w:t>
      </w:r>
      <w:r>
        <w:rPr>
          <w:rFonts w:hint="eastAsia" w:ascii="宋体" w:hAnsi="宋体" w:eastAsiaTheme="minorEastAsia" w:cstheme="minorEastAsia"/>
          <w:b w:val="0"/>
          <w:bCs/>
          <w:szCs w:val="32"/>
        </w:rPr>
        <w:t>1</w:t>
      </w:r>
      <w:r>
        <w:rPr>
          <w:rFonts w:hint="eastAsia" w:ascii="宋体" w:hAnsi="宋体" w:eastAsia="仿宋_GB2312" w:cs="仿宋_GB2312"/>
          <w:b w:val="0"/>
          <w:bCs/>
          <w:szCs w:val="32"/>
        </w:rPr>
        <w:t>日起施行。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jc w:val="both"/>
        <w:textAlignment w:val="auto"/>
        <w:outlineLvl w:val="9"/>
        <w:rPr>
          <w:rFonts w:hint="eastAsia" w:ascii="宋体" w:hAnsi="宋体" w:eastAsia="仿宋_GB2312" w:cs="仿宋_GB2312"/>
          <w:b w:val="0"/>
          <w:bCs/>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jc w:val="both"/>
        <w:textAlignment w:val="auto"/>
        <w:outlineLvl w:val="9"/>
        <w:rPr>
          <w:rFonts w:hint="eastAsia" w:ascii="宋体" w:hAnsi="宋体" w:eastAsia="仿宋_GB2312" w:cs="仿宋_GB2312"/>
          <w:b w:val="0"/>
          <w:bCs/>
          <w:szCs w:val="32"/>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华文楷体">
    <w:altName w:val="方正楷体_GBK"/>
    <w:panose1 w:val="02010600040101010101"/>
    <w:charset w:val="86"/>
    <w:family w:val="auto"/>
    <w:pitch w:val="default"/>
    <w:sig w:usb0="00000000" w:usb1="00000000" w:usb2="00000000" w:usb3="00000000" w:csb0="0004009F" w:csb1="DFD70000"/>
  </w:font>
  <w:font w:name="Calibri Light">
    <w:altName w:val="DejaVu Sans"/>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DejaVu Sans"/>
    <w:panose1 w:val="020B0604020202020204"/>
    <w:charset w:val="86"/>
    <w:family w:val="auto"/>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汉仪中宋简"/>
    <w:panose1 w:val="02010600040101010101"/>
    <w:charset w:val="86"/>
    <w:family w:val="auto"/>
    <w:pitch w:val="default"/>
    <w:sig w:usb0="00000000" w:usb1="00000000" w:usb2="00000000" w:usb3="00000000" w:csb0="0004009F" w:csb1="DFD70000"/>
  </w:font>
  <w:font w:name="仿宋">
    <w:altName w:val="宋体"/>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汉仪中宋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revisionView w:markup="0"/>
  <w:documentProtection w:enforcement="0"/>
  <w:defaultTabStop w:val="42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95D5101"/>
    <w:rsid w:val="0A1707EC"/>
    <w:rsid w:val="0A54491A"/>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1B6270"/>
    <w:rsid w:val="309C11A1"/>
    <w:rsid w:val="324169E2"/>
    <w:rsid w:val="33FDB8C7"/>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B8081"/>
    <w:rsid w:val="3ADC390C"/>
    <w:rsid w:val="3B224807"/>
    <w:rsid w:val="3CBBCF09"/>
    <w:rsid w:val="3CED384C"/>
    <w:rsid w:val="3F0B7828"/>
    <w:rsid w:val="3F5A8271"/>
    <w:rsid w:val="3FBB2606"/>
    <w:rsid w:val="40673A31"/>
    <w:rsid w:val="438B51D4"/>
    <w:rsid w:val="44CF252C"/>
    <w:rsid w:val="45CD1F56"/>
    <w:rsid w:val="478618DB"/>
    <w:rsid w:val="47F60ED7"/>
    <w:rsid w:val="4862267E"/>
    <w:rsid w:val="4A527932"/>
    <w:rsid w:val="4AF01A75"/>
    <w:rsid w:val="4B1D40BD"/>
    <w:rsid w:val="4B1D5138"/>
    <w:rsid w:val="4BF05C55"/>
    <w:rsid w:val="4C845E22"/>
    <w:rsid w:val="4D076608"/>
    <w:rsid w:val="4D7145C9"/>
    <w:rsid w:val="4DA05958"/>
    <w:rsid w:val="4F335376"/>
    <w:rsid w:val="4FFF369A"/>
    <w:rsid w:val="50B0551C"/>
    <w:rsid w:val="50B86759"/>
    <w:rsid w:val="511D4D5B"/>
    <w:rsid w:val="51533045"/>
    <w:rsid w:val="515A66AF"/>
    <w:rsid w:val="5166023C"/>
    <w:rsid w:val="51B7661C"/>
    <w:rsid w:val="520703CB"/>
    <w:rsid w:val="53B42844"/>
    <w:rsid w:val="552737D4"/>
    <w:rsid w:val="567A46E2"/>
    <w:rsid w:val="571A1A87"/>
    <w:rsid w:val="573C1368"/>
    <w:rsid w:val="57D30A6D"/>
    <w:rsid w:val="57DDBDEC"/>
    <w:rsid w:val="5891480F"/>
    <w:rsid w:val="593E4648"/>
    <w:rsid w:val="5AB1597C"/>
    <w:rsid w:val="5BBA7455"/>
    <w:rsid w:val="5BDB7634"/>
    <w:rsid w:val="5C216CEF"/>
    <w:rsid w:val="5C2962D6"/>
    <w:rsid w:val="5C334EFE"/>
    <w:rsid w:val="5E617566"/>
    <w:rsid w:val="5F484E2D"/>
    <w:rsid w:val="603B07CD"/>
    <w:rsid w:val="6132442B"/>
    <w:rsid w:val="641104D4"/>
    <w:rsid w:val="64711DC6"/>
    <w:rsid w:val="64B62227"/>
    <w:rsid w:val="65DA60DB"/>
    <w:rsid w:val="66120C2F"/>
    <w:rsid w:val="664A32AF"/>
    <w:rsid w:val="664D7EF0"/>
    <w:rsid w:val="68F8002B"/>
    <w:rsid w:val="69124AC8"/>
    <w:rsid w:val="6ABE3898"/>
    <w:rsid w:val="6BBCC22C"/>
    <w:rsid w:val="6C5845E4"/>
    <w:rsid w:val="6C8303A1"/>
    <w:rsid w:val="6CEE14CF"/>
    <w:rsid w:val="6D336076"/>
    <w:rsid w:val="6E8E3424"/>
    <w:rsid w:val="6EE84763"/>
    <w:rsid w:val="6F461695"/>
    <w:rsid w:val="6F66394D"/>
    <w:rsid w:val="6FA51309"/>
    <w:rsid w:val="6FF79F11"/>
    <w:rsid w:val="70481D52"/>
    <w:rsid w:val="70AD1945"/>
    <w:rsid w:val="70FA6FEE"/>
    <w:rsid w:val="712E3A7A"/>
    <w:rsid w:val="714E48E7"/>
    <w:rsid w:val="715F5207"/>
    <w:rsid w:val="71A74628"/>
    <w:rsid w:val="722217A9"/>
    <w:rsid w:val="724D25A1"/>
    <w:rsid w:val="72517AA9"/>
    <w:rsid w:val="72C57038"/>
    <w:rsid w:val="735215C5"/>
    <w:rsid w:val="735ABBCC"/>
    <w:rsid w:val="738F1352"/>
    <w:rsid w:val="73C2091D"/>
    <w:rsid w:val="74C5727F"/>
    <w:rsid w:val="74CB1321"/>
    <w:rsid w:val="74D62D9C"/>
    <w:rsid w:val="758D0145"/>
    <w:rsid w:val="7594513B"/>
    <w:rsid w:val="75E6EFD0"/>
    <w:rsid w:val="769D666E"/>
    <w:rsid w:val="76DA649D"/>
    <w:rsid w:val="76E00EDF"/>
    <w:rsid w:val="78210BA4"/>
    <w:rsid w:val="784038DC"/>
    <w:rsid w:val="78A01794"/>
    <w:rsid w:val="79025A8E"/>
    <w:rsid w:val="796A5CF4"/>
    <w:rsid w:val="7A8239AD"/>
    <w:rsid w:val="7BB40DDE"/>
    <w:rsid w:val="7C15252B"/>
    <w:rsid w:val="7C8A566B"/>
    <w:rsid w:val="7C996E3F"/>
    <w:rsid w:val="7D6F7A16"/>
    <w:rsid w:val="7D7FEF69"/>
    <w:rsid w:val="7DDF0F91"/>
    <w:rsid w:val="7DF974AE"/>
    <w:rsid w:val="7F6C6ACC"/>
    <w:rsid w:val="7F6CA199"/>
    <w:rsid w:val="CF1FB811"/>
    <w:rsid w:val="D5F7C653"/>
    <w:rsid w:val="E1FC2CF1"/>
    <w:rsid w:val="E7DF6002"/>
    <w:rsid w:val="F7FBFF58"/>
    <w:rsid w:val="F83EB47F"/>
    <w:rsid w:val="FBDF514E"/>
    <w:rsid w:val="FDDF8371"/>
    <w:rsid w:val="FFFEA7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8">
    <w:name w:val="Default Paragraph Font"/>
    <w:link w:val="19"/>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annotation text"/>
    <w:basedOn w:val="1"/>
    <w:qFormat/>
    <w:uiPriority w:val="0"/>
    <w:pPr>
      <w:jc w:val="left"/>
    </w:pPr>
  </w:style>
  <w:style w:type="paragraph" w:styleId="7">
    <w:name w:val="Body Text"/>
    <w:basedOn w:val="1"/>
    <w:next w:val="1"/>
    <w:qFormat/>
    <w:uiPriority w:val="0"/>
    <w:rPr>
      <w:rFonts w:eastAsia="宋体"/>
      <w:sz w:val="44"/>
      <w:szCs w:val="24"/>
    </w:rPr>
  </w:style>
  <w:style w:type="paragraph" w:styleId="8">
    <w:name w:val="Body Text Indent"/>
    <w:basedOn w:val="1"/>
    <w:next w:val="1"/>
    <w:qFormat/>
    <w:uiPriority w:val="0"/>
    <w:pPr>
      <w:spacing w:after="120" w:afterLines="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2">
    <w:name w:val="Body Text Indent 3"/>
    <w:basedOn w:val="1"/>
    <w:qFormat/>
    <w:uiPriority w:val="0"/>
    <w:pPr>
      <w:ind w:firstLine="640" w:firstLineChars="200"/>
    </w:pPr>
    <w:rPr>
      <w:rFonts w:ascii="黑体" w:hAnsi="华文楷体" w:eastAsia="黑体"/>
      <w:sz w:val="32"/>
    </w:rPr>
  </w:style>
  <w:style w:type="paragraph" w:styleId="13">
    <w:name w:val="Body Text 2"/>
    <w:basedOn w:val="1"/>
    <w:qFormat/>
    <w:uiPriority w:val="0"/>
    <w:rPr>
      <w:rFonts w:eastAsia="仿宋_GB2312"/>
      <w:i/>
      <w:iCs/>
      <w:sz w:val="32"/>
      <w:u w:val="single"/>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6">
    <w:name w:val="Body Text First Indent"/>
    <w:basedOn w:val="7"/>
    <w:qFormat/>
    <w:uiPriority w:val="0"/>
    <w:pPr>
      <w:ind w:firstLine="420" w:firstLineChars="100"/>
    </w:pPr>
  </w:style>
  <w:style w:type="paragraph" w:customStyle="1" w:styleId="19">
    <w:name w:val=" Char"/>
    <w:basedOn w:val="1"/>
    <w:link w:val="18"/>
    <w:qFormat/>
    <w:uiPriority w:val="0"/>
  </w:style>
  <w:style w:type="character" w:styleId="20">
    <w:name w:val="Strong"/>
    <w:qFormat/>
    <w:uiPriority w:val="0"/>
    <w:rPr>
      <w:b/>
      <w:bCs/>
    </w:rPr>
  </w:style>
  <w:style w:type="character" w:styleId="21">
    <w:name w:val="page number"/>
    <w:basedOn w:val="18"/>
    <w:qFormat/>
    <w:uiPriority w:val="0"/>
  </w:style>
  <w:style w:type="paragraph" w:customStyle="1" w:styleId="22">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5">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6">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8">
    <w:name w:val="p1"/>
    <w:basedOn w:val="1"/>
    <w:qFormat/>
    <w:uiPriority w:val="99"/>
    <w:pPr>
      <w:widowControl/>
      <w:jc w:val="center"/>
    </w:pPr>
    <w:rPr>
      <w:rFonts w:ascii=".PingFang SC" w:hAnsi=".PingFang SC" w:eastAsia=".PingFang SC"/>
      <w:color w:val="454545"/>
      <w:kern w:val="0"/>
      <w:sz w:val="18"/>
      <w:szCs w:val="18"/>
    </w:rPr>
  </w:style>
  <w:style w:type="paragraph" w:customStyle="1" w:styleId="29">
    <w:name w:val="p0"/>
    <w:basedOn w:val="1"/>
    <w:qFormat/>
    <w:uiPriority w:val="0"/>
    <w:pPr>
      <w:widowControl/>
    </w:pPr>
    <w:rPr>
      <w:rFonts w:hint="eastAsia" w:ascii="宋体" w:hAnsi="宋体"/>
      <w:sz w:val="32"/>
    </w:rPr>
  </w:style>
  <w:style w:type="paragraph" w:customStyle="1" w:styleId="30">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1">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2">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4">
    <w:name w:val="普通(网站)1"/>
    <w:basedOn w:val="1"/>
    <w:qFormat/>
    <w:uiPriority w:val="0"/>
    <w:rPr>
      <w:sz w:val="24"/>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9">
    <w:name w:val="Normal Indent"/>
    <w:basedOn w:val="1"/>
    <w:next w:val="1"/>
    <w:qFormat/>
    <w:uiPriority w:val="0"/>
    <w:pPr>
      <w:ind w:firstLine="420" w:firstLineChars="200"/>
    </w:pPr>
    <w:rPr>
      <w:rFonts w:hint="eastAsia"/>
    </w:rPr>
  </w:style>
  <w:style w:type="paragraph" w:customStyle="1" w:styleId="4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41">
    <w:name w:val="font_fulltext1"/>
    <w:basedOn w:val="18"/>
    <w:qFormat/>
    <w:uiPriority w:val="0"/>
    <w:rPr>
      <w:sz w:val="18"/>
      <w:szCs w:val="18"/>
    </w:rPr>
  </w:style>
  <w:style w:type="character" w:customStyle="1" w:styleId="42">
    <w:name w:val="15"/>
    <w:qFormat/>
    <w:uiPriority w:val="0"/>
    <w:rPr>
      <w:rFonts w:hint="default" w:ascii="Times New Roman" w:hAnsi="Times New Roman" w:cs="Times New Roman"/>
      <w:b/>
      <w:bCs/>
      <w:sz w:val="20"/>
      <w:szCs w:val="20"/>
    </w:rPr>
  </w:style>
  <w:style w:type="character" w:customStyle="1" w:styleId="43">
    <w:name w:val="form-textarea-print1"/>
    <w:basedOn w:val="18"/>
    <w:qFormat/>
    <w:uiPriority w:val="0"/>
    <w:rPr>
      <w:sz w:val="14"/>
      <w:szCs w:val="14"/>
    </w:rPr>
  </w:style>
  <w:style w:type="paragraph" w:customStyle="1" w:styleId="44">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47">
    <w:name w:val=" Char Char Char Char Char Char Char"/>
    <w:basedOn w:val="1"/>
    <w:qFormat/>
    <w:uiPriority w:val="0"/>
    <w:rPr>
      <w:rFonts w:eastAsia="宋体"/>
      <w:sz w:val="24"/>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28</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2019-04-14T15:40:00Z</dcterms:created>
  <dc:creator>谢浩然</dc:creator>
  <cp:lastModifiedBy>@liyaolan</cp:lastModifiedBy>
  <cp:lastPrinted>2022-06-14T18:27:00Z</cp:lastPrinted>
  <dcterms:modified xsi:type="dcterms:W3CDTF">2022-06-17T11:17:54Z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