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overflowPunct w:val="0"/>
        <w:spacing w:line="590" w:lineRule="exact"/>
        <w:ind w:left="0" w:leftChars="0" w:firstLine="0" w:firstLineChars="0"/>
        <w:rPr>
          <w:rFonts w:hint="eastAsia" w:ascii="宋体" w:hAnsi="宋体"/>
          <w:lang w:eastAsia="zh-CN"/>
        </w:rPr>
      </w:pPr>
    </w:p>
    <w:p>
      <w:pPr>
        <w:pStyle w:val="2"/>
        <w:wordWrap/>
        <w:overflowPunct w:val="0"/>
        <w:spacing w:line="590" w:lineRule="exact"/>
        <w:ind w:left="0" w:leftChars="0" w:right="0" w:firstLine="0" w:firstLineChars="0"/>
        <w:jc w:val="center"/>
        <w:textAlignment w:val="auto"/>
        <w:rPr>
          <w:rFonts w:hint="eastAsia" w:ascii="宋体" w:hAnsi="宋体" w:eastAsia="仿宋_GB2312" w:cs="仿宋_GB2312"/>
          <w:spacing w:val="0"/>
          <w:sz w:val="32"/>
          <w:szCs w:val="32"/>
        </w:rPr>
      </w:pPr>
      <w:r>
        <w:rPr>
          <w:rFonts w:hint="eastAsia" w:ascii="宋体" w:hAnsi="宋体" w:eastAsia="宋体" w:cs="宋体"/>
          <w:color w:val="auto"/>
          <w:spacing w:val="0"/>
          <w:sz w:val="44"/>
          <w:szCs w:val="44"/>
          <w:lang w:eastAsia="zh-CN"/>
        </w:rPr>
        <w:t>广东省市场监管条例</w:t>
      </w:r>
    </w:p>
    <w:p>
      <w:pPr>
        <w:pStyle w:val="8"/>
        <w:widowControl w:val="0"/>
        <w:wordWrap/>
        <w:overflowPunct w:val="0"/>
        <w:adjustRightInd w:val="0"/>
        <w:snapToGrid w:val="0"/>
        <w:spacing w:after="0" w:afterLines="0" w:line="590" w:lineRule="exact"/>
        <w:ind w:left="0" w:leftChars="0" w:right="22" w:rightChars="7" w:firstLine="638" w:firstLineChars="202"/>
        <w:jc w:val="both"/>
        <w:textAlignment w:val="auto"/>
        <w:outlineLvl w:val="9"/>
        <w:rPr>
          <w:rFonts w:hint="eastAsia" w:ascii="宋体" w:hAnsi="宋体" w:eastAsia="宋体" w:cs="宋体"/>
          <w:b w:val="0"/>
          <w:bCs/>
          <w:sz w:val="32"/>
          <w:szCs w:val="32"/>
        </w:rPr>
      </w:pPr>
    </w:p>
    <w:p>
      <w:pPr>
        <w:pStyle w:val="8"/>
        <w:widowControl w:val="0"/>
        <w:wordWrap/>
        <w:overflowPunct w:val="0"/>
        <w:adjustRightInd w:val="0"/>
        <w:snapToGrid w:val="0"/>
        <w:spacing w:beforeLines="0" w:after="0" w:afterLines="0" w:line="590" w:lineRule="exact"/>
        <w:ind w:left="632" w:leftChars="200" w:right="632" w:rightChars="200" w:firstLine="0" w:firstLineChars="0"/>
        <w:jc w:val="both"/>
        <w:textAlignment w:val="auto"/>
        <w:outlineLvl w:val="9"/>
        <w:rPr>
          <w:rFonts w:hint="eastAsia" w:ascii="宋体" w:hAnsi="宋体" w:eastAsia="楷体_GB2312" w:cs="楷体_GB2312"/>
          <w:b w:val="0"/>
          <w:bCs/>
          <w:sz w:val="32"/>
          <w:szCs w:val="32"/>
        </w:rPr>
      </w:pPr>
      <w:r>
        <w:rPr>
          <w:rFonts w:hint="eastAsia" w:ascii="宋体" w:hAnsi="宋体" w:eastAsia="楷体_GB2312" w:cs="楷体_GB2312"/>
          <w:b w:val="0"/>
          <w:bCs/>
          <w:sz w:val="32"/>
          <w:szCs w:val="32"/>
        </w:rPr>
        <w:t>（</w:t>
      </w:r>
      <w:r>
        <w:rPr>
          <w:rFonts w:hint="eastAsia" w:ascii="宋体" w:hAnsi="宋体" w:eastAsia="楷体_GB2312" w:cs="楷体_GB2312"/>
          <w:bCs/>
          <w:sz w:val="32"/>
          <w:szCs w:val="32"/>
        </w:rPr>
        <w:t>2016年7月28日广东省第十二届人民代表大会常务委员会第二十七次会议通过</w:t>
      </w:r>
      <w:r>
        <w:rPr>
          <w:rFonts w:hint="eastAsia" w:ascii="宋体" w:hAnsi="宋体" w:eastAsia="楷体_GB2312" w:cs="楷体_GB2312"/>
          <w:b w:val="0"/>
          <w:bCs/>
          <w:sz w:val="32"/>
          <w:szCs w:val="32"/>
          <w:lang w:val="en-US" w:eastAsia="zh-CN"/>
        </w:rPr>
        <w:t xml:space="preserve">  </w:t>
      </w:r>
      <w:r>
        <w:rPr>
          <w:rFonts w:hint="eastAsia" w:ascii="宋体" w:hAnsi="宋体" w:eastAsia="楷体_GB2312" w:cs="楷体_GB2312"/>
          <w:b w:val="0"/>
          <w:bCs/>
          <w:sz w:val="32"/>
          <w:szCs w:val="32"/>
        </w:rPr>
        <w:t>20</w:t>
      </w:r>
      <w:r>
        <w:rPr>
          <w:rFonts w:hint="eastAsia" w:ascii="宋体" w:hAnsi="宋体" w:eastAsia="楷体_GB2312" w:cs="楷体_GB2312"/>
          <w:b w:val="0"/>
          <w:bCs/>
          <w:sz w:val="32"/>
          <w:szCs w:val="32"/>
          <w:lang w:val="en-US" w:eastAsia="zh-CN"/>
        </w:rPr>
        <w:t>21</w:t>
      </w:r>
      <w:r>
        <w:rPr>
          <w:rFonts w:hint="eastAsia" w:ascii="宋体" w:hAnsi="宋体" w:eastAsia="楷体_GB2312" w:cs="楷体_GB2312"/>
          <w:b w:val="0"/>
          <w:bCs/>
          <w:sz w:val="32"/>
          <w:szCs w:val="32"/>
        </w:rPr>
        <w:t>年</w:t>
      </w:r>
      <w:r>
        <w:rPr>
          <w:rFonts w:hint="eastAsia" w:ascii="宋体" w:hAnsi="宋体" w:eastAsia="楷体_GB2312" w:cs="楷体_GB2312"/>
          <w:b w:val="0"/>
          <w:bCs/>
          <w:sz w:val="32"/>
          <w:szCs w:val="32"/>
          <w:lang w:val="en-US" w:eastAsia="zh-CN"/>
        </w:rPr>
        <w:t>9</w:t>
      </w:r>
      <w:r>
        <w:rPr>
          <w:rFonts w:hint="eastAsia" w:ascii="宋体" w:hAnsi="宋体" w:eastAsia="楷体_GB2312" w:cs="楷体_GB2312"/>
          <w:b w:val="0"/>
          <w:bCs/>
          <w:sz w:val="32"/>
          <w:szCs w:val="32"/>
        </w:rPr>
        <w:t>月2</w:t>
      </w:r>
      <w:r>
        <w:rPr>
          <w:rFonts w:hint="eastAsia" w:ascii="宋体" w:hAnsi="宋体" w:eastAsia="楷体_GB2312" w:cs="楷体_GB2312"/>
          <w:b w:val="0"/>
          <w:bCs/>
          <w:sz w:val="32"/>
          <w:szCs w:val="32"/>
          <w:lang w:val="en-US" w:eastAsia="zh-CN"/>
        </w:rPr>
        <w:t>9</w:t>
      </w:r>
      <w:r>
        <w:rPr>
          <w:rFonts w:hint="eastAsia" w:ascii="宋体" w:hAnsi="宋体" w:eastAsia="楷体_GB2312" w:cs="楷体_GB2312"/>
          <w:b w:val="0"/>
          <w:bCs/>
          <w:sz w:val="32"/>
          <w:szCs w:val="32"/>
        </w:rPr>
        <w:t>日广东省第十</w:t>
      </w:r>
      <w:r>
        <w:rPr>
          <w:rFonts w:hint="eastAsia" w:ascii="宋体" w:hAnsi="宋体" w:eastAsia="楷体_GB2312" w:cs="楷体_GB2312"/>
          <w:b w:val="0"/>
          <w:bCs/>
          <w:sz w:val="32"/>
          <w:szCs w:val="32"/>
          <w:lang w:eastAsia="zh-CN"/>
        </w:rPr>
        <w:t>三</w:t>
      </w:r>
      <w:r>
        <w:rPr>
          <w:rFonts w:hint="eastAsia" w:ascii="宋体" w:hAnsi="宋体" w:eastAsia="楷体_GB2312" w:cs="楷体_GB2312"/>
          <w:b w:val="0"/>
          <w:bCs/>
          <w:sz w:val="32"/>
          <w:szCs w:val="32"/>
        </w:rPr>
        <w:t>届人民代表大会常务委员会第</w:t>
      </w:r>
      <w:r>
        <w:rPr>
          <w:rFonts w:hint="eastAsia" w:ascii="宋体" w:hAnsi="宋体" w:eastAsia="楷体_GB2312" w:cs="楷体_GB2312"/>
          <w:b w:val="0"/>
          <w:bCs/>
          <w:sz w:val="32"/>
          <w:szCs w:val="32"/>
          <w:lang w:eastAsia="zh-CN"/>
        </w:rPr>
        <w:t>三十五</w:t>
      </w:r>
      <w:r>
        <w:rPr>
          <w:rFonts w:hint="eastAsia" w:ascii="宋体" w:hAnsi="宋体" w:eastAsia="楷体_GB2312" w:cs="楷体_GB2312"/>
          <w:b w:val="0"/>
          <w:bCs/>
          <w:sz w:val="32"/>
          <w:szCs w:val="32"/>
        </w:rPr>
        <w:t>次会议修订）</w:t>
      </w:r>
    </w:p>
    <w:p>
      <w:pPr>
        <w:pStyle w:val="2"/>
        <w:wordWrap/>
        <w:overflowPunct w:val="0"/>
        <w:spacing w:beforeLines="0" w:afterLines="0" w:line="590" w:lineRule="exact"/>
        <w:ind w:left="0" w:leftChars="0" w:right="0"/>
        <w:textAlignment w:val="auto"/>
        <w:rPr>
          <w:rFonts w:hint="eastAsia" w:ascii="宋体" w:hAnsi="宋体" w:eastAsia="宋体" w:cs="宋体"/>
          <w:color w:val="auto"/>
          <w:sz w:val="32"/>
          <w:szCs w:val="32"/>
        </w:rPr>
      </w:pPr>
    </w:p>
    <w:p>
      <w:pPr>
        <w:pStyle w:val="25"/>
        <w:widowControl w:val="0"/>
        <w:wordWrap/>
        <w:overflowPunct w:val="0"/>
        <w:spacing w:line="590" w:lineRule="exact"/>
        <w:jc w:val="center"/>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目    录</w:t>
      </w:r>
    </w:p>
    <w:p>
      <w:pPr>
        <w:pStyle w:val="25"/>
        <w:widowControl w:val="0"/>
        <w:numPr>
          <w:ilvl w:val="0"/>
          <w:numId w:val="0"/>
        </w:numPr>
        <w:wordWrap/>
        <w:overflowPunct w:val="0"/>
        <w:spacing w:line="590" w:lineRule="exact"/>
        <w:ind w:firstLine="632" w:firstLineChars="200"/>
        <w:jc w:val="left"/>
        <w:textAlignment w:val="auto"/>
        <w:outlineLvl w:val="9"/>
        <w:rPr>
          <w:rFonts w:hint="eastAsia" w:ascii="宋体" w:hAnsi="宋体" w:eastAsia="楷体_GB2312" w:cs="Times New Roman"/>
          <w:spacing w:val="0"/>
          <w:szCs w:val="32"/>
          <w:lang w:val="en-US" w:eastAsia="zh-CN"/>
        </w:rPr>
      </w:pPr>
      <w:r>
        <w:rPr>
          <w:rFonts w:hint="eastAsia" w:ascii="宋体" w:hAnsi="宋体" w:eastAsia="楷体_GB2312" w:cs="Times New Roman"/>
          <w:spacing w:val="0"/>
          <w:szCs w:val="32"/>
          <w:lang w:val="en-US" w:eastAsia="zh-CN"/>
        </w:rPr>
        <w:t>第一章  总则</w:t>
      </w:r>
    </w:p>
    <w:p>
      <w:pPr>
        <w:pStyle w:val="25"/>
        <w:widowControl w:val="0"/>
        <w:numPr>
          <w:ilvl w:val="0"/>
          <w:numId w:val="0"/>
        </w:numPr>
        <w:wordWrap/>
        <w:overflowPunct w:val="0"/>
        <w:spacing w:line="590" w:lineRule="exact"/>
        <w:ind w:firstLine="632" w:firstLineChars="200"/>
        <w:jc w:val="left"/>
        <w:textAlignment w:val="auto"/>
        <w:outlineLvl w:val="9"/>
        <w:rPr>
          <w:rFonts w:hint="eastAsia" w:ascii="宋体" w:hAnsi="宋体" w:eastAsia="楷体_GB2312" w:cs="Times New Roman"/>
          <w:spacing w:val="0"/>
          <w:szCs w:val="32"/>
          <w:lang w:val="en-US" w:eastAsia="zh-CN"/>
        </w:rPr>
      </w:pPr>
      <w:r>
        <w:rPr>
          <w:rFonts w:hint="eastAsia" w:ascii="宋体" w:hAnsi="宋体" w:eastAsia="楷体_GB2312" w:cs="Times New Roman"/>
          <w:spacing w:val="0"/>
          <w:szCs w:val="32"/>
          <w:lang w:val="en-US" w:eastAsia="zh-CN"/>
        </w:rPr>
        <w:t>第二章  监管职责</w:t>
      </w:r>
    </w:p>
    <w:p>
      <w:pPr>
        <w:pStyle w:val="25"/>
        <w:widowControl w:val="0"/>
        <w:numPr>
          <w:ilvl w:val="0"/>
          <w:numId w:val="0"/>
        </w:numPr>
        <w:wordWrap/>
        <w:overflowPunct w:val="0"/>
        <w:spacing w:line="590" w:lineRule="exact"/>
        <w:ind w:firstLine="632" w:firstLineChars="200"/>
        <w:jc w:val="left"/>
        <w:textAlignment w:val="auto"/>
        <w:outlineLvl w:val="9"/>
        <w:rPr>
          <w:rFonts w:hint="eastAsia" w:ascii="宋体" w:hAnsi="宋体" w:eastAsia="楷体_GB2312" w:cs="Times New Roman"/>
          <w:spacing w:val="0"/>
          <w:szCs w:val="32"/>
          <w:lang w:val="en-US" w:eastAsia="zh-CN"/>
        </w:rPr>
      </w:pPr>
      <w:r>
        <w:rPr>
          <w:rFonts w:hint="eastAsia" w:ascii="宋体" w:hAnsi="宋体" w:eastAsia="楷体_GB2312" w:cs="Times New Roman"/>
          <w:spacing w:val="0"/>
          <w:szCs w:val="32"/>
          <w:lang w:val="en-US" w:eastAsia="zh-CN"/>
        </w:rPr>
        <w:t>第三章  市场准入</w:t>
      </w:r>
    </w:p>
    <w:p>
      <w:pPr>
        <w:pStyle w:val="25"/>
        <w:widowControl w:val="0"/>
        <w:numPr>
          <w:ilvl w:val="0"/>
          <w:numId w:val="0"/>
        </w:numPr>
        <w:wordWrap/>
        <w:overflowPunct w:val="0"/>
        <w:spacing w:line="590" w:lineRule="exact"/>
        <w:ind w:firstLine="632" w:firstLineChars="200"/>
        <w:jc w:val="left"/>
        <w:textAlignment w:val="auto"/>
        <w:outlineLvl w:val="9"/>
        <w:rPr>
          <w:rFonts w:hint="eastAsia" w:ascii="宋体" w:hAnsi="宋体" w:eastAsia="楷体_GB2312" w:cs="Times New Roman"/>
          <w:spacing w:val="0"/>
          <w:szCs w:val="32"/>
          <w:lang w:val="en-US" w:eastAsia="zh-CN"/>
        </w:rPr>
      </w:pPr>
      <w:r>
        <w:rPr>
          <w:rFonts w:hint="eastAsia" w:ascii="宋体" w:hAnsi="宋体" w:eastAsia="楷体_GB2312" w:cs="Times New Roman"/>
          <w:spacing w:val="0"/>
          <w:szCs w:val="32"/>
          <w:lang w:val="en-US" w:eastAsia="zh-CN"/>
        </w:rPr>
        <w:t>第四章  市场监管</w:t>
      </w:r>
    </w:p>
    <w:p>
      <w:pPr>
        <w:pStyle w:val="25"/>
        <w:widowControl w:val="0"/>
        <w:numPr>
          <w:ilvl w:val="0"/>
          <w:numId w:val="0"/>
        </w:numPr>
        <w:wordWrap/>
        <w:overflowPunct w:val="0"/>
        <w:spacing w:line="590" w:lineRule="exact"/>
        <w:ind w:firstLine="1264" w:firstLineChars="400"/>
        <w:jc w:val="left"/>
        <w:textAlignment w:val="auto"/>
        <w:outlineLvl w:val="9"/>
        <w:rPr>
          <w:rFonts w:hint="eastAsia" w:ascii="宋体" w:hAnsi="宋体" w:eastAsia="楷体_GB2312" w:cs="Times New Roman"/>
          <w:spacing w:val="0"/>
          <w:szCs w:val="32"/>
          <w:lang w:val="en-US" w:eastAsia="zh-CN"/>
        </w:rPr>
      </w:pPr>
      <w:r>
        <w:rPr>
          <w:rFonts w:hint="eastAsia" w:ascii="宋体" w:hAnsi="宋体" w:eastAsia="楷体_GB2312" w:cs="Times New Roman"/>
          <w:spacing w:val="0"/>
          <w:szCs w:val="32"/>
          <w:lang w:val="en-US" w:eastAsia="zh-CN"/>
        </w:rPr>
        <w:t>第一节  一般监管</w:t>
      </w:r>
    </w:p>
    <w:p>
      <w:pPr>
        <w:pStyle w:val="25"/>
        <w:widowControl w:val="0"/>
        <w:numPr>
          <w:ilvl w:val="0"/>
          <w:numId w:val="0"/>
        </w:numPr>
        <w:wordWrap/>
        <w:overflowPunct w:val="0"/>
        <w:spacing w:line="590" w:lineRule="exact"/>
        <w:ind w:firstLine="1264" w:firstLineChars="400"/>
        <w:jc w:val="left"/>
        <w:textAlignment w:val="auto"/>
        <w:outlineLvl w:val="9"/>
        <w:rPr>
          <w:rFonts w:hint="eastAsia" w:ascii="宋体" w:hAnsi="宋体" w:eastAsia="楷体_GB2312" w:cs="Times New Roman"/>
          <w:spacing w:val="0"/>
          <w:szCs w:val="32"/>
          <w:lang w:val="en-US" w:eastAsia="zh-CN"/>
        </w:rPr>
      </w:pPr>
      <w:r>
        <w:rPr>
          <w:rFonts w:hint="eastAsia" w:ascii="宋体" w:hAnsi="宋体" w:eastAsia="楷体_GB2312" w:cs="Times New Roman"/>
          <w:spacing w:val="0"/>
          <w:szCs w:val="32"/>
          <w:lang w:val="en-US" w:eastAsia="zh-CN"/>
        </w:rPr>
        <w:t>第二节  协同监管</w:t>
      </w:r>
    </w:p>
    <w:p>
      <w:pPr>
        <w:pStyle w:val="25"/>
        <w:widowControl w:val="0"/>
        <w:numPr>
          <w:ilvl w:val="0"/>
          <w:numId w:val="0"/>
        </w:numPr>
        <w:wordWrap/>
        <w:overflowPunct w:val="0"/>
        <w:spacing w:line="590" w:lineRule="exact"/>
        <w:ind w:firstLine="1264" w:firstLineChars="400"/>
        <w:jc w:val="left"/>
        <w:textAlignment w:val="auto"/>
        <w:outlineLvl w:val="9"/>
        <w:rPr>
          <w:rFonts w:hint="eastAsia" w:ascii="宋体" w:hAnsi="宋体" w:eastAsia="楷体_GB2312" w:cs="Times New Roman"/>
          <w:spacing w:val="0"/>
          <w:szCs w:val="32"/>
          <w:lang w:val="en-US" w:eastAsia="zh-CN"/>
        </w:rPr>
      </w:pPr>
      <w:r>
        <w:rPr>
          <w:rFonts w:hint="eastAsia" w:ascii="宋体" w:hAnsi="宋体" w:eastAsia="楷体_GB2312" w:cs="Times New Roman"/>
          <w:spacing w:val="0"/>
          <w:szCs w:val="32"/>
          <w:lang w:val="en-US" w:eastAsia="zh-CN"/>
        </w:rPr>
        <w:t>第三节  信用监管</w:t>
      </w:r>
    </w:p>
    <w:p>
      <w:pPr>
        <w:pStyle w:val="25"/>
        <w:widowControl w:val="0"/>
        <w:numPr>
          <w:ilvl w:val="0"/>
          <w:numId w:val="0"/>
        </w:numPr>
        <w:wordWrap/>
        <w:overflowPunct w:val="0"/>
        <w:spacing w:line="590" w:lineRule="exact"/>
        <w:ind w:firstLine="1264" w:firstLineChars="400"/>
        <w:jc w:val="left"/>
        <w:textAlignment w:val="auto"/>
        <w:outlineLvl w:val="9"/>
        <w:rPr>
          <w:rFonts w:hint="eastAsia" w:ascii="宋体" w:hAnsi="宋体" w:eastAsia="楷体_GB2312" w:cs="Times New Roman"/>
          <w:spacing w:val="0"/>
          <w:szCs w:val="32"/>
          <w:lang w:val="en-US" w:eastAsia="zh-CN"/>
        </w:rPr>
      </w:pPr>
      <w:r>
        <w:rPr>
          <w:rFonts w:hint="eastAsia" w:ascii="宋体" w:hAnsi="宋体" w:eastAsia="楷体_GB2312" w:cs="Times New Roman"/>
          <w:spacing w:val="0"/>
          <w:szCs w:val="32"/>
          <w:lang w:val="en-US" w:eastAsia="zh-CN"/>
        </w:rPr>
        <w:t>第四节  风险监管</w:t>
      </w:r>
    </w:p>
    <w:p>
      <w:pPr>
        <w:pStyle w:val="25"/>
        <w:widowControl w:val="0"/>
        <w:numPr>
          <w:ilvl w:val="0"/>
          <w:numId w:val="0"/>
        </w:numPr>
        <w:wordWrap/>
        <w:overflowPunct w:val="0"/>
        <w:spacing w:line="590" w:lineRule="exact"/>
        <w:ind w:firstLine="632" w:firstLineChars="200"/>
        <w:jc w:val="left"/>
        <w:textAlignment w:val="auto"/>
        <w:outlineLvl w:val="9"/>
        <w:rPr>
          <w:rFonts w:hint="eastAsia" w:ascii="宋体" w:hAnsi="宋体" w:eastAsia="楷体_GB2312" w:cs="Times New Roman"/>
          <w:spacing w:val="0"/>
          <w:szCs w:val="32"/>
          <w:lang w:val="en-US" w:eastAsia="zh-CN"/>
        </w:rPr>
      </w:pPr>
      <w:r>
        <w:rPr>
          <w:rFonts w:hint="eastAsia" w:ascii="宋体" w:hAnsi="宋体" w:eastAsia="楷体_GB2312" w:cs="Times New Roman"/>
          <w:spacing w:val="0"/>
          <w:szCs w:val="32"/>
          <w:lang w:val="en-US" w:eastAsia="zh-CN"/>
        </w:rPr>
        <w:t>第五章  社会监督</w:t>
      </w:r>
    </w:p>
    <w:p>
      <w:pPr>
        <w:pStyle w:val="25"/>
        <w:widowControl w:val="0"/>
        <w:numPr>
          <w:ilvl w:val="0"/>
          <w:numId w:val="0"/>
        </w:numPr>
        <w:wordWrap/>
        <w:overflowPunct w:val="0"/>
        <w:spacing w:line="590" w:lineRule="exact"/>
        <w:ind w:firstLine="632" w:firstLineChars="200"/>
        <w:jc w:val="left"/>
        <w:textAlignment w:val="auto"/>
        <w:outlineLvl w:val="9"/>
        <w:rPr>
          <w:rFonts w:hint="eastAsia" w:ascii="宋体" w:hAnsi="宋体" w:eastAsia="楷体_GB2312" w:cs="Times New Roman"/>
          <w:spacing w:val="0"/>
          <w:szCs w:val="32"/>
          <w:lang w:val="en-US" w:eastAsia="zh-CN"/>
        </w:rPr>
      </w:pPr>
      <w:r>
        <w:rPr>
          <w:rFonts w:hint="eastAsia" w:ascii="宋体" w:hAnsi="宋体" w:eastAsia="楷体_GB2312" w:cs="Times New Roman"/>
          <w:spacing w:val="0"/>
          <w:szCs w:val="32"/>
          <w:lang w:val="en-US" w:eastAsia="zh-CN"/>
        </w:rPr>
        <w:t>第六章  法律责任</w:t>
      </w:r>
    </w:p>
    <w:p>
      <w:pPr>
        <w:pStyle w:val="25"/>
        <w:widowControl w:val="0"/>
        <w:numPr>
          <w:ilvl w:val="0"/>
          <w:numId w:val="0"/>
        </w:numPr>
        <w:wordWrap/>
        <w:overflowPunct w:val="0"/>
        <w:spacing w:line="590" w:lineRule="exact"/>
        <w:ind w:firstLine="632" w:firstLineChars="200"/>
        <w:jc w:val="left"/>
        <w:textAlignment w:val="auto"/>
        <w:outlineLvl w:val="9"/>
        <w:rPr>
          <w:rFonts w:hint="eastAsia" w:ascii="宋体" w:hAnsi="宋体" w:eastAsia="楷体_GB2312" w:cs="Times New Roman"/>
          <w:spacing w:val="0"/>
          <w:szCs w:val="32"/>
          <w:lang w:val="en-US" w:eastAsia="zh-CN"/>
        </w:rPr>
      </w:pPr>
      <w:r>
        <w:rPr>
          <w:rFonts w:hint="eastAsia" w:ascii="宋体" w:hAnsi="宋体" w:eastAsia="楷体_GB2312" w:cs="Times New Roman"/>
          <w:spacing w:val="0"/>
          <w:szCs w:val="32"/>
          <w:lang w:val="en-US" w:eastAsia="zh-CN"/>
        </w:rPr>
        <w:t>第七章  附则</w:t>
      </w:r>
    </w:p>
    <w:p>
      <w:pPr>
        <w:pStyle w:val="25"/>
        <w:widowControl w:val="0"/>
        <w:numPr>
          <w:ilvl w:val="0"/>
          <w:numId w:val="0"/>
        </w:numPr>
        <w:wordWrap/>
        <w:overflowPunct w:val="0"/>
        <w:spacing w:line="590" w:lineRule="exact"/>
        <w:ind w:firstLine="632" w:firstLineChars="200"/>
        <w:jc w:val="left"/>
        <w:textAlignment w:val="auto"/>
        <w:outlineLvl w:val="9"/>
        <w:rPr>
          <w:rFonts w:hint="eastAsia" w:ascii="宋体" w:hAnsi="宋体" w:eastAsia="楷体_GB2312" w:cs="Times New Roman"/>
          <w:spacing w:val="0"/>
          <w:szCs w:val="32"/>
          <w:lang w:val="en-US" w:eastAsia="zh-CN"/>
        </w:rPr>
      </w:pPr>
    </w:p>
    <w:p>
      <w:pPr>
        <w:pStyle w:val="39"/>
        <w:widowControl w:val="0"/>
        <w:wordWrap/>
        <w:overflowPunct w:val="0"/>
        <w:spacing w:before="0" w:beforeLines="0" w:beforeAutospacing="0" w:after="0" w:afterLines="0" w:afterAutospacing="0" w:line="590" w:lineRule="exact"/>
        <w:ind w:left="0" w:right="0"/>
        <w:jc w:val="center"/>
        <w:rPr>
          <w:rFonts w:hint="eastAsia" w:ascii="宋体" w:hAnsi="宋体" w:eastAsia="黑体" w:cs="黑体"/>
          <w:color w:val="auto"/>
          <w:kern w:val="2"/>
          <w:sz w:val="32"/>
          <w:szCs w:val="32"/>
        </w:rPr>
      </w:pPr>
      <w:r>
        <w:rPr>
          <w:rFonts w:hint="eastAsia" w:ascii="宋体" w:hAnsi="宋体" w:eastAsia="黑体" w:cs="黑体"/>
          <w:color w:val="auto"/>
          <w:kern w:val="2"/>
          <w:sz w:val="32"/>
          <w:szCs w:val="32"/>
        </w:rPr>
        <w:t>第一章</w:t>
      </w:r>
      <w:r>
        <w:rPr>
          <w:rFonts w:hint="eastAsia" w:ascii="宋体" w:hAnsi="宋体" w:eastAsia="黑体" w:cs="黑体"/>
          <w:color w:val="auto"/>
          <w:kern w:val="2"/>
          <w:sz w:val="32"/>
          <w:szCs w:val="32"/>
          <w:lang w:val="en-US" w:eastAsia="zh-CN"/>
        </w:rPr>
        <w:t xml:space="preserve">  </w:t>
      </w:r>
      <w:r>
        <w:rPr>
          <w:rFonts w:hint="eastAsia" w:ascii="宋体" w:hAnsi="宋体" w:eastAsia="黑体" w:cs="黑体"/>
          <w:color w:val="auto"/>
          <w:kern w:val="2"/>
          <w:sz w:val="32"/>
          <w:szCs w:val="32"/>
        </w:rPr>
        <w:t>总  则</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kern w:val="2"/>
          <w:sz w:val="32"/>
          <w:szCs w:val="32"/>
          <w:lang w:val="en-US" w:eastAsia="zh-CN"/>
        </w:rPr>
      </w:pP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第一条</w:t>
      </w:r>
      <w:r>
        <w:rPr>
          <w:rFonts w:hint="eastAsia" w:ascii="宋体" w:hAnsi="宋体" w:eastAsia="仿宋_GB2312" w:cs="仿宋_GB2312"/>
          <w:color w:val="auto"/>
          <w:kern w:val="2"/>
          <w:sz w:val="32"/>
          <w:szCs w:val="32"/>
          <w:lang w:val="en-US" w:eastAsia="zh-CN"/>
        </w:rPr>
        <w:t xml:space="preserve">  </w:t>
      </w:r>
      <w:r>
        <w:rPr>
          <w:rFonts w:hint="eastAsia" w:ascii="宋体" w:hAnsi="宋体" w:eastAsia="仿宋_GB2312" w:cs="仿宋_GB2312"/>
          <w:color w:val="auto"/>
          <w:kern w:val="0"/>
          <w:sz w:val="32"/>
          <w:szCs w:val="32"/>
          <w:lang w:val="en-US" w:eastAsia="zh-CN"/>
        </w:rPr>
        <w:t>为了规范市场监管行为，健全市场监管制度，维护公平竞争的市场秩序，保护市场主体和消费者的合法权益，加快建设高标准市场体系，营造市场化、法治化、国际化营商环境，根据有关法律、行政法规，结合本省实际，制定本条例。</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第二条</w:t>
      </w:r>
      <w:r>
        <w:rPr>
          <w:rFonts w:hint="eastAsia" w:ascii="宋体" w:hAnsi="宋体" w:eastAsia="仿宋_GB2312" w:cs="仿宋_GB2312"/>
          <w:kern w:val="2"/>
          <w:sz w:val="32"/>
          <w:szCs w:val="32"/>
          <w:lang w:val="en-US" w:eastAsia="zh-CN"/>
        </w:rPr>
        <w:t xml:space="preserve"> </w:t>
      </w:r>
      <w:r>
        <w:rPr>
          <w:rFonts w:hint="eastAsia" w:ascii="宋体" w:hAnsi="宋体" w:eastAsia="仿宋_GB2312" w:cs="仿宋_GB2312"/>
          <w:color w:val="auto"/>
          <w:kern w:val="2"/>
          <w:sz w:val="32"/>
          <w:szCs w:val="32"/>
          <w:lang w:val="en-US" w:eastAsia="zh-CN"/>
        </w:rPr>
        <w:t xml:space="preserve"> 本条例适用于本省行政区域内各级人民政府及其负有市场监管职责的部门（以下简称监管部门）对市场主体及其生产经营行为实施监督管理的活动。</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本条例所称市场主体，是指以营利为目的从事经营活动的自然人、法人和非法人组织。</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第三条</w:t>
      </w:r>
      <w:r>
        <w:rPr>
          <w:rFonts w:hint="eastAsia" w:ascii="宋体" w:hAnsi="宋体" w:eastAsia="仿宋_GB2312" w:cs="仿宋_GB2312"/>
          <w:kern w:val="2"/>
          <w:sz w:val="32"/>
          <w:szCs w:val="32"/>
          <w:lang w:val="en-US" w:eastAsia="zh-CN"/>
        </w:rPr>
        <w:t xml:space="preserve">  </w:t>
      </w:r>
      <w:r>
        <w:rPr>
          <w:rFonts w:hint="eastAsia" w:ascii="宋体" w:hAnsi="宋体" w:eastAsia="仿宋_GB2312" w:cs="仿宋_GB2312"/>
          <w:color w:val="auto"/>
          <w:kern w:val="2"/>
          <w:sz w:val="32"/>
          <w:szCs w:val="32"/>
          <w:lang w:val="en-US" w:eastAsia="zh-CN"/>
        </w:rPr>
        <w:t>各级人民政府及其监管部门实施市场监管，应当遵循合法适当、公平公正、诚信透明、便民高效、权责一致的原则。</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lang w:val="en-US" w:eastAsia="zh-CN"/>
        </w:rPr>
      </w:pPr>
      <w:r>
        <w:rPr>
          <w:rFonts w:hint="eastAsia" w:ascii="宋体" w:hAnsi="宋体" w:eastAsia="黑体" w:cs="黑体"/>
          <w:kern w:val="2"/>
          <w:sz w:val="32"/>
          <w:szCs w:val="32"/>
          <w:lang w:val="en-US" w:eastAsia="zh-CN"/>
        </w:rPr>
        <w:t>第四条</w:t>
      </w:r>
      <w:r>
        <w:rPr>
          <w:rFonts w:hint="eastAsia" w:ascii="宋体" w:hAnsi="宋体" w:eastAsia="仿宋_GB2312" w:cs="仿宋_GB2312"/>
          <w:color w:val="auto"/>
          <w:kern w:val="2"/>
          <w:sz w:val="32"/>
          <w:szCs w:val="32"/>
          <w:lang w:val="en-US" w:eastAsia="zh-CN"/>
        </w:rPr>
        <w:t xml:space="preserve">  各级人民政府及其监管部门应当依照法定权限和程序实施市场监管，不得违法</w:t>
      </w:r>
      <w:r>
        <w:rPr>
          <w:rFonts w:hint="eastAsia" w:ascii="宋体" w:hAnsi="宋体" w:eastAsia="仿宋_GB2312" w:cs="仿宋_GB2312"/>
          <w:i w:val="0"/>
          <w:color w:val="auto"/>
          <w:kern w:val="2"/>
          <w:sz w:val="32"/>
          <w:szCs w:val="32"/>
          <w:lang w:val="en-US" w:eastAsia="zh-CN"/>
        </w:rPr>
        <w:t>增加本部门的</w:t>
      </w:r>
      <w:r>
        <w:rPr>
          <w:rFonts w:hint="eastAsia" w:ascii="宋体" w:hAnsi="宋体" w:eastAsia="仿宋_GB2312" w:cs="仿宋_GB2312"/>
          <w:color w:val="auto"/>
          <w:kern w:val="2"/>
          <w:sz w:val="32"/>
          <w:szCs w:val="32"/>
          <w:lang w:val="en-US" w:eastAsia="zh-CN"/>
        </w:rPr>
        <w:t>权力或者减少</w:t>
      </w:r>
      <w:r>
        <w:rPr>
          <w:rFonts w:hint="eastAsia" w:ascii="宋体" w:hAnsi="宋体" w:eastAsia="仿宋_GB2312" w:cs="仿宋_GB2312"/>
          <w:i w:val="0"/>
          <w:color w:val="auto"/>
          <w:kern w:val="2"/>
          <w:sz w:val="32"/>
          <w:szCs w:val="32"/>
          <w:lang w:val="en-US" w:eastAsia="zh-CN"/>
        </w:rPr>
        <w:t>本部门的法定</w:t>
      </w:r>
      <w:r>
        <w:rPr>
          <w:rFonts w:hint="eastAsia" w:ascii="宋体" w:hAnsi="宋体" w:eastAsia="仿宋_GB2312" w:cs="仿宋_GB2312"/>
          <w:color w:val="auto"/>
          <w:kern w:val="2"/>
          <w:sz w:val="32"/>
          <w:szCs w:val="32"/>
          <w:lang w:val="en-US" w:eastAsia="zh-CN"/>
        </w:rPr>
        <w:t>职责。没有法律、法规或者国务院决定和命令依据，不得减损市场主体权</w:t>
      </w:r>
      <w:r>
        <w:rPr>
          <w:rFonts w:hint="eastAsia" w:ascii="宋体" w:hAnsi="宋体" w:eastAsia="仿宋_GB2312" w:cs="仿宋_GB2312"/>
          <w:i w:val="0"/>
          <w:color w:val="auto"/>
          <w:kern w:val="2"/>
          <w:sz w:val="32"/>
          <w:szCs w:val="32"/>
          <w:lang w:val="en-US" w:eastAsia="zh-CN"/>
        </w:rPr>
        <w:t>利</w:t>
      </w:r>
      <w:r>
        <w:rPr>
          <w:rFonts w:hint="eastAsia" w:ascii="宋体" w:hAnsi="宋体" w:eastAsia="仿宋_GB2312" w:cs="仿宋_GB2312"/>
          <w:color w:val="auto"/>
          <w:kern w:val="2"/>
          <w:sz w:val="32"/>
          <w:szCs w:val="32"/>
          <w:lang w:val="en-US" w:eastAsia="zh-CN"/>
        </w:rPr>
        <w:t>或者增加市场主体义务。</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第五条</w:t>
      </w:r>
      <w:r>
        <w:rPr>
          <w:rFonts w:hint="eastAsia" w:ascii="宋体" w:hAnsi="宋体" w:eastAsia="仿宋_GB2312" w:cs="仿宋_GB2312"/>
          <w:kern w:val="2"/>
          <w:sz w:val="32"/>
          <w:szCs w:val="32"/>
          <w:lang w:val="en-US" w:eastAsia="zh-CN"/>
        </w:rPr>
        <w:t xml:space="preserve"> </w:t>
      </w:r>
      <w:r>
        <w:rPr>
          <w:rFonts w:hint="eastAsia" w:ascii="宋体" w:hAnsi="宋体" w:eastAsia="仿宋_GB2312" w:cs="仿宋_GB2312"/>
          <w:color w:val="auto"/>
          <w:kern w:val="2"/>
          <w:sz w:val="32"/>
          <w:szCs w:val="32"/>
          <w:lang w:val="en-US" w:eastAsia="zh-CN"/>
        </w:rPr>
        <w:t xml:space="preserve"> 各级人民政府应当建立行政监管、行业自律、社会监督、公众参与的社会共治体系，鼓励和支持社会组织、公众参与市场监督。</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各级人民政府及其监管部门、市场主体应当共同维护市场秩序，促进市场稳定健康发展。</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第六条</w:t>
      </w:r>
      <w:r>
        <w:rPr>
          <w:rFonts w:hint="eastAsia" w:ascii="宋体" w:hAnsi="宋体" w:eastAsia="仿宋_GB2312" w:cs="仿宋_GB2312"/>
          <w:color w:val="auto"/>
          <w:kern w:val="2"/>
          <w:sz w:val="32"/>
          <w:szCs w:val="32"/>
          <w:lang w:val="en-US" w:eastAsia="zh-CN"/>
        </w:rPr>
        <w:t xml:space="preserve">  市场主体应当加强内部管理和自我约束，自觉守法，诚信经营，接受政府及其监管部门、社会组织、媒体和公众的监督，依法承担生产经营活动产生的责任。</w:t>
      </w:r>
    </w:p>
    <w:p>
      <w:pPr>
        <w:overflowPunct w:val="0"/>
        <w:spacing w:line="590" w:lineRule="exact"/>
        <w:rPr>
          <w:rFonts w:hint="eastAsia" w:ascii="宋体" w:hAnsi="宋体" w:eastAsia="仿宋_GB2312" w:cs="仿宋_GB2312"/>
          <w:sz w:val="32"/>
          <w:szCs w:val="32"/>
        </w:rPr>
      </w:pPr>
    </w:p>
    <w:p>
      <w:pPr>
        <w:widowControl w:val="0"/>
        <w:wordWrap/>
        <w:overflowPunct w:val="0"/>
        <w:spacing w:beforeAutospacing="0" w:afterAutospacing="0" w:line="590" w:lineRule="exact"/>
        <w:ind w:left="0" w:right="0"/>
        <w:jc w:val="center"/>
        <w:rPr>
          <w:rFonts w:hint="eastAsia" w:ascii="宋体" w:hAnsi="宋体" w:eastAsia="黑体" w:cs="黑体"/>
          <w:kern w:val="2"/>
          <w:sz w:val="32"/>
          <w:szCs w:val="32"/>
        </w:rPr>
      </w:pPr>
      <w:r>
        <w:rPr>
          <w:rFonts w:hint="eastAsia" w:ascii="宋体" w:hAnsi="宋体" w:eastAsia="黑体" w:cs="黑体"/>
          <w:kern w:val="2"/>
          <w:sz w:val="32"/>
          <w:szCs w:val="32"/>
          <w:lang w:val="en-US" w:eastAsia="zh-CN"/>
        </w:rPr>
        <w:t>第二章  监管职责</w:t>
      </w:r>
    </w:p>
    <w:p>
      <w:pPr>
        <w:pStyle w:val="39"/>
        <w:widowControl w:val="0"/>
        <w:wordWrap/>
        <w:overflowPunct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color w:val="auto"/>
          <w:kern w:val="0"/>
          <w:sz w:val="32"/>
          <w:szCs w:val="32"/>
        </w:rPr>
      </w:pP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第七条</w:t>
      </w:r>
      <w:r>
        <w:rPr>
          <w:rFonts w:hint="eastAsia" w:ascii="宋体" w:hAnsi="宋体" w:eastAsia="仿宋_GB2312" w:cs="仿宋_GB2312"/>
          <w:color w:val="auto"/>
          <w:kern w:val="2"/>
          <w:sz w:val="32"/>
          <w:szCs w:val="32"/>
          <w:lang w:val="en-US" w:eastAsia="zh-CN"/>
        </w:rPr>
        <w:t xml:space="preserve">  各级人民政府应当建立健全市场监管统筹和协调机制，及时协调、解决市场监管中的重大问题。</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县级以上人民政府应当依法制定、调整所属监管部门的权责清单，并及时向社会公开。</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县级以上人民政府应当对所属监管部门和下一级人民政府履行市场监管职责的情况进行指导监督。</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第八条</w:t>
      </w:r>
      <w:r>
        <w:rPr>
          <w:rFonts w:hint="eastAsia" w:ascii="宋体" w:hAnsi="宋体" w:eastAsia="仿宋_GB2312" w:cs="仿宋_GB2312"/>
          <w:color w:val="auto"/>
          <w:kern w:val="2"/>
          <w:sz w:val="32"/>
          <w:szCs w:val="32"/>
          <w:lang w:val="en-US" w:eastAsia="zh-CN"/>
        </w:rPr>
        <w:t xml:space="preserve">  监管部门的监管职责依照法律、法规确定；法律、法规没有明确监管部门的，按照下列规定确定：</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（一）涉及行政许可或者备案的，实施行政许可或者备案的部门为监管部门；</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（二）不涉及行政许可或者备案但有行业主管部门的，行业主管部门为监管部门；</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（三）不涉及行政许可或者备案且无行业主管部门的，由县级以上人民政府指定监管部门；</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（四）涉及多个部门且监管职责分工不明确的，由县级以上人民政府指定监管部门。</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第九条</w:t>
      </w:r>
      <w:r>
        <w:rPr>
          <w:rFonts w:hint="eastAsia" w:ascii="宋体" w:hAnsi="宋体" w:eastAsia="仿宋_GB2312" w:cs="仿宋_GB2312"/>
          <w:color w:val="auto"/>
          <w:kern w:val="2"/>
          <w:sz w:val="32"/>
          <w:szCs w:val="32"/>
          <w:lang w:val="en-US" w:eastAsia="zh-CN"/>
        </w:rPr>
        <w:t xml:space="preserve">  市场主体依法应当取得而未取得行政许可，擅自从事与许可相关的生产经营活动的，由行使相应行政许可的部门予以查处。</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除前款规定的情形外，市场主体依法应当取得而未取得营业执照，擅自从事生产经营活动的，由市场监督管理部门予以查处。</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法律、法规另有规定的，从其规定。</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第十条</w:t>
      </w:r>
      <w:r>
        <w:rPr>
          <w:rFonts w:hint="eastAsia" w:ascii="宋体" w:hAnsi="宋体" w:eastAsia="仿宋_GB2312" w:cs="仿宋_GB2312"/>
          <w:color w:val="auto"/>
          <w:kern w:val="2"/>
          <w:sz w:val="32"/>
          <w:szCs w:val="32"/>
          <w:lang w:val="en-US" w:eastAsia="zh-CN"/>
        </w:rPr>
        <w:t xml:space="preserve">  省人民政府可以整合监管部门的职能,依法决定一个监管部门相对集中行使市场监管领域的行政处罚权。依法行使相对集中行政处罚权的行政机关，可以实施与该行政处罚权相关的行政检查权、行政强制措施权。</w:t>
      </w:r>
    </w:p>
    <w:p>
      <w:pPr>
        <w:widowControl w:val="0"/>
        <w:wordWrap/>
        <w:overflowPunct w:val="0"/>
        <w:adjustRightInd w:val="0"/>
        <w:snapToGrid w:val="0"/>
        <w:spacing w:beforeAutospacing="0" w:afterAutospacing="0" w:line="590" w:lineRule="exact"/>
        <w:ind w:left="0" w:right="0" w:firstLine="608" w:firstLineChars="200"/>
        <w:jc w:val="both"/>
        <w:rPr>
          <w:rFonts w:hint="eastAsia" w:ascii="宋体" w:hAnsi="宋体" w:eastAsia="仿宋_GB2312" w:cs="仿宋_GB2312"/>
          <w:color w:val="auto"/>
          <w:spacing w:val="-6"/>
          <w:kern w:val="2"/>
          <w:sz w:val="32"/>
          <w:szCs w:val="32"/>
        </w:rPr>
      </w:pPr>
      <w:r>
        <w:rPr>
          <w:rFonts w:hint="eastAsia" w:ascii="宋体" w:hAnsi="宋体" w:eastAsia="仿宋_GB2312" w:cs="仿宋_GB2312"/>
          <w:color w:val="auto"/>
          <w:spacing w:val="-6"/>
          <w:kern w:val="2"/>
          <w:sz w:val="32"/>
          <w:szCs w:val="32"/>
          <w:lang w:val="en-US" w:eastAsia="zh-CN"/>
        </w:rPr>
        <w:t>监管部门可以整合所属机构的执法职能，交由一个机构履行。</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第十一条</w:t>
      </w:r>
      <w:r>
        <w:rPr>
          <w:rFonts w:hint="eastAsia" w:ascii="宋体" w:hAnsi="宋体" w:eastAsia="仿宋_GB2312" w:cs="仿宋_GB2312"/>
          <w:kern w:val="2"/>
          <w:sz w:val="32"/>
          <w:szCs w:val="32"/>
          <w:lang w:val="en-US" w:eastAsia="zh-CN"/>
        </w:rPr>
        <w:t xml:space="preserve"> </w:t>
      </w:r>
      <w:r>
        <w:rPr>
          <w:rFonts w:hint="eastAsia" w:ascii="宋体" w:hAnsi="宋体" w:eastAsia="仿宋_GB2312" w:cs="仿宋_GB2312"/>
          <w:color w:val="auto"/>
          <w:kern w:val="2"/>
          <w:sz w:val="32"/>
          <w:szCs w:val="32"/>
          <w:lang w:val="en-US" w:eastAsia="zh-CN"/>
        </w:rPr>
        <w:t xml:space="preserve"> 不同层级的监管部门对同一市场主体及其生产经营行为均有监管职权的，原则上由最低一级监管部门实施监管。</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根据省人民政府的决定，地级以上市人民政府确定实行综合行政执法的乡镇人民政府和街道办事处名单以及相应的职权调整事项目录，县级人民政府决定乡镇人民政府和街道办事处实行综合行政执法的起始时间，并分别以政府公告形式公布。</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乡镇人民政府和街道办事处依照职权调整事项目录，依法查处市场违法行为，发现市场违法行为但无权查处的，应当向上一级人民政府或者相关监管部门报告。</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第十二条</w:t>
      </w:r>
      <w:r>
        <w:rPr>
          <w:rFonts w:hint="eastAsia" w:ascii="宋体" w:hAnsi="宋体" w:eastAsia="仿宋_GB2312" w:cs="仿宋_GB2312"/>
          <w:kern w:val="2"/>
          <w:sz w:val="32"/>
          <w:szCs w:val="32"/>
          <w:lang w:val="en-US" w:eastAsia="zh-CN"/>
        </w:rPr>
        <w:t xml:space="preserve"> </w:t>
      </w:r>
      <w:r>
        <w:rPr>
          <w:rFonts w:hint="eastAsia" w:ascii="宋体" w:hAnsi="宋体" w:eastAsia="仿宋_GB2312" w:cs="仿宋_GB2312"/>
          <w:color w:val="auto"/>
          <w:kern w:val="2"/>
          <w:sz w:val="32"/>
          <w:szCs w:val="32"/>
          <w:lang w:val="en-US" w:eastAsia="zh-CN"/>
        </w:rPr>
        <w:t xml:space="preserve"> 各级人民政府应当加强基层监管机构标准化、规范化建设，按照履行监管职责的要求，配备人员，保障场地、装备及经费，推进监管队伍专业化、职业化。</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上级监管部门应当加强对基层监管机构的工作指导，督促指导基层监管机构履行属地监管职责。</w:t>
      </w:r>
    </w:p>
    <w:p>
      <w:pPr>
        <w:widowControl w:val="0"/>
        <w:wordWrap/>
        <w:overflowPunct w:val="0"/>
        <w:spacing w:beforeAutospacing="0" w:afterAutospacing="0" w:line="590" w:lineRule="exact"/>
        <w:ind w:left="0" w:right="0" w:firstLine="632" w:firstLineChars="200"/>
        <w:jc w:val="both"/>
        <w:rPr>
          <w:rFonts w:hint="eastAsia" w:ascii="宋体" w:hAnsi="宋体" w:eastAsia="仿宋_GB2312" w:cs="仿宋_GB2312"/>
          <w:b/>
          <w:color w:val="auto"/>
          <w:kern w:val="2"/>
          <w:sz w:val="32"/>
          <w:szCs w:val="32"/>
        </w:rPr>
      </w:pPr>
    </w:p>
    <w:p>
      <w:pPr>
        <w:widowControl w:val="0"/>
        <w:wordWrap/>
        <w:overflowPunct w:val="0"/>
        <w:spacing w:beforeAutospacing="0" w:afterAutospacing="0" w:line="590" w:lineRule="exact"/>
        <w:ind w:left="0" w:right="0"/>
        <w:jc w:val="center"/>
        <w:rPr>
          <w:rFonts w:hint="eastAsia" w:ascii="宋体" w:hAnsi="宋体" w:eastAsia="黑体" w:cs="黑体"/>
          <w:kern w:val="2"/>
          <w:sz w:val="32"/>
          <w:szCs w:val="32"/>
        </w:rPr>
      </w:pPr>
      <w:r>
        <w:rPr>
          <w:rFonts w:hint="eastAsia" w:ascii="宋体" w:hAnsi="宋体" w:eastAsia="黑体" w:cs="黑体"/>
          <w:kern w:val="2"/>
          <w:sz w:val="32"/>
          <w:szCs w:val="32"/>
          <w:lang w:val="en-US" w:eastAsia="zh-CN"/>
        </w:rPr>
        <w:t>第三章  市场准入</w:t>
      </w:r>
    </w:p>
    <w:p>
      <w:pPr>
        <w:widowControl w:val="0"/>
        <w:wordWrap/>
        <w:overflowPunct w:val="0"/>
        <w:spacing w:beforeAutospacing="0" w:afterAutospacing="0" w:line="590" w:lineRule="exact"/>
        <w:ind w:left="0" w:right="0" w:firstLine="632" w:firstLineChars="200"/>
        <w:jc w:val="both"/>
        <w:rPr>
          <w:rFonts w:hint="eastAsia" w:ascii="宋体" w:hAnsi="宋体" w:eastAsia="仿宋_GB2312" w:cs="仿宋_GB2312"/>
          <w:color w:val="auto"/>
          <w:kern w:val="0"/>
          <w:sz w:val="32"/>
          <w:szCs w:val="32"/>
        </w:rPr>
      </w:pP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第十三条</w:t>
      </w:r>
      <w:r>
        <w:rPr>
          <w:rFonts w:hint="eastAsia" w:ascii="宋体" w:hAnsi="宋体" w:eastAsia="仿宋_GB2312" w:cs="仿宋_GB2312"/>
          <w:color w:val="auto"/>
          <w:kern w:val="2"/>
          <w:sz w:val="32"/>
          <w:szCs w:val="32"/>
          <w:lang w:val="en-US" w:eastAsia="zh-CN"/>
        </w:rPr>
        <w:t xml:space="preserve">  市场准入实行负面清单管理制度。负面清单按照国家有关规定执行。各地区、各部门不得另行制定市场准入性质的负面清单。</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没有法定依据不得实施市场准入行政许可。已取消的市场准入行政许可，非经法定程序不得恢复。</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i/>
          <w:color w:val="auto"/>
          <w:kern w:val="2"/>
          <w:sz w:val="32"/>
          <w:szCs w:val="32"/>
          <w:u w:val="single"/>
        </w:rPr>
      </w:pPr>
      <w:r>
        <w:rPr>
          <w:rFonts w:hint="eastAsia" w:ascii="宋体" w:hAnsi="宋体" w:eastAsia="黑体" w:cs="黑体"/>
          <w:kern w:val="2"/>
          <w:sz w:val="32"/>
          <w:szCs w:val="32"/>
          <w:lang w:val="en-US" w:eastAsia="zh-CN"/>
        </w:rPr>
        <w:t>第十四条</w:t>
      </w:r>
      <w:r>
        <w:rPr>
          <w:rFonts w:hint="eastAsia" w:ascii="宋体" w:hAnsi="宋体" w:eastAsia="仿宋_GB2312" w:cs="仿宋_GB2312"/>
          <w:color w:val="auto"/>
          <w:kern w:val="2"/>
          <w:sz w:val="32"/>
          <w:szCs w:val="32"/>
          <w:lang w:val="en-US" w:eastAsia="zh-CN"/>
        </w:rPr>
        <w:t xml:space="preserve">  商事登记前置许可事项范围按照国家编制的目录执行，确需调整的，由省人民政府按照法定程序报请有权机关批准或者取得授权。</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第十五条</w:t>
      </w:r>
      <w:r>
        <w:rPr>
          <w:rFonts w:hint="eastAsia" w:ascii="宋体" w:hAnsi="宋体" w:eastAsia="仿宋_GB2312" w:cs="仿宋_GB2312"/>
          <w:color w:val="auto"/>
          <w:kern w:val="2"/>
          <w:sz w:val="32"/>
          <w:szCs w:val="32"/>
          <w:lang w:val="en-US" w:eastAsia="zh-CN"/>
        </w:rPr>
        <w:t xml:space="preserve">  监管部门应当建立健全市场准入行政许可标准化制度，制定办事指南和业务手册，明确行政许可的实施主体、依据、条件、期限、流程、裁量标准和申请材料、申请办法、格式文本等事项，并在行政许可受理场所、政务网站公布。</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第十六条</w:t>
      </w:r>
      <w:r>
        <w:rPr>
          <w:rFonts w:hint="eastAsia" w:ascii="宋体" w:hAnsi="宋体" w:eastAsia="仿宋_GB2312" w:cs="仿宋_GB2312"/>
          <w:color w:val="auto"/>
          <w:kern w:val="2"/>
          <w:sz w:val="32"/>
          <w:szCs w:val="32"/>
          <w:lang w:val="en-US" w:eastAsia="zh-CN"/>
        </w:rPr>
        <w:t xml:space="preserve">  县级以上人民政府应当</w:t>
      </w:r>
      <w:r>
        <w:rPr>
          <w:rFonts w:hint="eastAsia" w:ascii="宋体" w:hAnsi="宋体" w:eastAsia="仿宋_GB2312" w:cs="仿宋_GB2312"/>
          <w:i w:val="0"/>
          <w:color w:val="auto"/>
          <w:kern w:val="2"/>
          <w:sz w:val="32"/>
          <w:szCs w:val="32"/>
          <w:lang w:val="en-US" w:eastAsia="zh-CN"/>
        </w:rPr>
        <w:t>简化</w:t>
      </w:r>
      <w:r>
        <w:rPr>
          <w:rFonts w:hint="eastAsia" w:ascii="宋体" w:hAnsi="宋体" w:eastAsia="仿宋_GB2312" w:cs="仿宋_GB2312"/>
          <w:color w:val="auto"/>
          <w:kern w:val="2"/>
          <w:sz w:val="32"/>
          <w:szCs w:val="32"/>
          <w:lang w:val="en-US" w:eastAsia="zh-CN"/>
        </w:rPr>
        <w:t>市场准入行政许可办理</w:t>
      </w:r>
      <w:r>
        <w:rPr>
          <w:rFonts w:hint="eastAsia" w:ascii="宋体" w:hAnsi="宋体" w:eastAsia="仿宋_GB2312" w:cs="仿宋_GB2312"/>
          <w:i w:val="0"/>
          <w:color w:val="auto"/>
          <w:kern w:val="2"/>
          <w:sz w:val="32"/>
          <w:szCs w:val="32"/>
          <w:lang w:val="en-US" w:eastAsia="zh-CN"/>
        </w:rPr>
        <w:t>流程</w:t>
      </w:r>
      <w:r>
        <w:rPr>
          <w:rFonts w:hint="eastAsia" w:ascii="宋体" w:hAnsi="宋体" w:eastAsia="仿宋_GB2312" w:cs="仿宋_GB2312"/>
          <w:color w:val="auto"/>
          <w:kern w:val="2"/>
          <w:sz w:val="32"/>
          <w:szCs w:val="32"/>
          <w:lang w:val="en-US" w:eastAsia="zh-CN"/>
        </w:rPr>
        <w:t>，推行当场办结、一次办结、限时办结等制度；完善政务服务平台和网上办事大厅，推进电子证照应用，实现集中办理、就近办理、网上办理、异地可办</w:t>
      </w:r>
      <w:r>
        <w:rPr>
          <w:rFonts w:hint="eastAsia" w:ascii="宋体" w:hAnsi="宋体" w:eastAsia="仿宋_GB2312" w:cs="仿宋_GB2312"/>
          <w:i w:val="0"/>
          <w:color w:val="auto"/>
          <w:kern w:val="2"/>
          <w:sz w:val="32"/>
          <w:szCs w:val="32"/>
          <w:lang w:val="en-US" w:eastAsia="zh-CN"/>
        </w:rPr>
        <w:t>。</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第十七条</w:t>
      </w:r>
      <w:r>
        <w:rPr>
          <w:rFonts w:hint="eastAsia" w:ascii="宋体" w:hAnsi="宋体" w:eastAsia="仿宋_GB2312" w:cs="仿宋_GB2312"/>
          <w:color w:val="auto"/>
          <w:kern w:val="2"/>
          <w:sz w:val="32"/>
          <w:szCs w:val="32"/>
          <w:lang w:val="en-US" w:eastAsia="zh-CN"/>
        </w:rPr>
        <w:t xml:space="preserve">  监管部门实施市场准入行政许可时，不得违法增减条件和程序。</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监管部门实施备案等非行政许可事项时，不得设置限制性前置条件，不得以行政许可的条件和程序要求行政相对人。</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第十八条</w:t>
      </w:r>
      <w:r>
        <w:rPr>
          <w:rFonts w:hint="eastAsia" w:ascii="宋体" w:hAnsi="宋体" w:eastAsia="仿宋_GB2312" w:cs="仿宋_GB2312"/>
          <w:color w:val="auto"/>
          <w:kern w:val="2"/>
          <w:sz w:val="32"/>
          <w:szCs w:val="32"/>
          <w:lang w:val="en-US" w:eastAsia="zh-CN"/>
        </w:rPr>
        <w:t xml:space="preserve">  监管部门实施市场准入行政许可，不得违法要求申请人接受中介服务。监管部门在行政审批过程中需要委托中介服务机构开展技术性服务的，应当自行承担服务费用，不得转嫁给市场主体承担。</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lang w:val="en-US" w:eastAsia="zh-CN"/>
        </w:rPr>
      </w:pPr>
      <w:r>
        <w:rPr>
          <w:rFonts w:hint="eastAsia" w:ascii="宋体" w:hAnsi="宋体" w:eastAsia="仿宋_GB2312" w:cs="仿宋_GB2312"/>
          <w:color w:val="auto"/>
          <w:kern w:val="2"/>
          <w:sz w:val="32"/>
          <w:szCs w:val="32"/>
          <w:lang w:val="en-US" w:eastAsia="zh-CN"/>
        </w:rPr>
        <w:t>行政许可前置环节确需技术审查、评估、鉴证、公证、信用评级、咨询等有偿中介服务的，应当有法律、法规或者国务院决定依据。监管部门应当建立行政许可中介服务事项清单并向社会公开，不得指定或者变相指定中介服务机构。中介服务机构应当明确办理法定行政审批中介服务的条件、流程、时限、收费标准，并向社会公开。</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highlight w:val="yellow"/>
        </w:rPr>
      </w:pPr>
      <w:r>
        <w:rPr>
          <w:rFonts w:hint="eastAsia" w:ascii="宋体" w:hAnsi="宋体" w:eastAsia="仿宋_GB2312" w:cs="仿宋_GB2312"/>
          <w:color w:val="auto"/>
          <w:kern w:val="2"/>
          <w:sz w:val="32"/>
          <w:szCs w:val="32"/>
          <w:lang w:val="en-US" w:eastAsia="zh-CN"/>
        </w:rPr>
        <w:t>监管部门应当在职责范围内加强对中介服务机构的监管。</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i w:val="0"/>
          <w:color w:val="auto"/>
          <w:kern w:val="2"/>
          <w:sz w:val="32"/>
          <w:szCs w:val="32"/>
        </w:rPr>
      </w:pPr>
      <w:r>
        <w:rPr>
          <w:rFonts w:hint="eastAsia" w:ascii="宋体" w:hAnsi="宋体" w:eastAsia="黑体" w:cs="黑体"/>
          <w:i w:val="0"/>
          <w:kern w:val="2"/>
          <w:sz w:val="32"/>
          <w:szCs w:val="32"/>
          <w:lang w:val="en-US" w:eastAsia="zh-CN"/>
        </w:rPr>
        <w:t>第十九条</w:t>
      </w:r>
      <w:r>
        <w:rPr>
          <w:rFonts w:hint="eastAsia" w:ascii="宋体" w:hAnsi="宋体" w:eastAsia="仿宋_GB2312" w:cs="仿宋_GB2312"/>
          <w:i w:val="0"/>
          <w:color w:val="auto"/>
          <w:kern w:val="2"/>
          <w:sz w:val="32"/>
          <w:szCs w:val="32"/>
          <w:lang w:val="en-US" w:eastAsia="zh-CN"/>
        </w:rPr>
        <w:t xml:space="preserve">  各级人民政府及其监管部门对违反市场监管法律、法规禁止性规定或者不符合强制性标准要求的市场主体，依法采取吊销相关证照等市场退出措施。</w:t>
      </w:r>
    </w:p>
    <w:p>
      <w:pPr>
        <w:pStyle w:val="39"/>
        <w:widowControl w:val="0"/>
        <w:wordWrap/>
        <w:overflowPunct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color w:val="auto"/>
          <w:kern w:val="0"/>
          <w:sz w:val="32"/>
          <w:szCs w:val="32"/>
        </w:rPr>
      </w:pPr>
    </w:p>
    <w:p>
      <w:pPr>
        <w:widowControl w:val="0"/>
        <w:wordWrap/>
        <w:overflowPunct w:val="0"/>
        <w:spacing w:beforeAutospacing="0" w:afterAutospacing="0" w:line="590" w:lineRule="exact"/>
        <w:ind w:left="0" w:right="0"/>
        <w:jc w:val="center"/>
        <w:rPr>
          <w:rFonts w:hint="eastAsia" w:ascii="宋体" w:hAnsi="宋体" w:eastAsia="黑体" w:cs="黑体"/>
          <w:color w:val="auto"/>
          <w:kern w:val="2"/>
          <w:sz w:val="32"/>
          <w:szCs w:val="32"/>
        </w:rPr>
      </w:pPr>
      <w:r>
        <w:rPr>
          <w:rFonts w:hint="eastAsia" w:ascii="宋体" w:hAnsi="宋体" w:eastAsia="黑体" w:cs="黑体"/>
          <w:kern w:val="2"/>
          <w:sz w:val="32"/>
          <w:szCs w:val="32"/>
          <w:lang w:val="en-US" w:eastAsia="zh-CN"/>
        </w:rPr>
        <w:t>第四章  市场监管</w:t>
      </w:r>
    </w:p>
    <w:p>
      <w:pPr>
        <w:pStyle w:val="39"/>
        <w:widowControl w:val="0"/>
        <w:wordWrap/>
        <w:overflowPunct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color w:val="auto"/>
          <w:kern w:val="0"/>
          <w:sz w:val="32"/>
          <w:szCs w:val="32"/>
        </w:rPr>
      </w:pPr>
    </w:p>
    <w:p>
      <w:pPr>
        <w:widowControl w:val="0"/>
        <w:wordWrap/>
        <w:overflowPunct w:val="0"/>
        <w:spacing w:beforeAutospacing="0" w:afterAutospacing="0" w:line="590" w:lineRule="exact"/>
        <w:ind w:left="0" w:right="0"/>
        <w:jc w:val="center"/>
        <w:rPr>
          <w:rFonts w:hint="eastAsia" w:ascii="宋体" w:hAnsi="宋体" w:eastAsia="宋体" w:cs="宋体"/>
          <w:kern w:val="2"/>
          <w:sz w:val="32"/>
          <w:szCs w:val="32"/>
        </w:rPr>
      </w:pPr>
      <w:r>
        <w:rPr>
          <w:rFonts w:hint="eastAsia" w:ascii="宋体" w:hAnsi="宋体" w:eastAsia="宋体" w:cs="宋体"/>
          <w:kern w:val="2"/>
          <w:sz w:val="32"/>
          <w:szCs w:val="32"/>
          <w:lang w:val="en-US" w:eastAsia="zh-CN"/>
        </w:rPr>
        <w:t>第一节  一般监管</w:t>
      </w:r>
    </w:p>
    <w:p>
      <w:pPr>
        <w:pStyle w:val="12"/>
        <w:widowControl w:val="0"/>
        <w:wordWrap/>
        <w:overflowPunct w:val="0"/>
        <w:adjustRightInd w:val="0"/>
        <w:spacing w:before="0" w:beforeAutospacing="0" w:after="0" w:afterAutospacing="0" w:line="590" w:lineRule="exact"/>
        <w:ind w:left="0" w:right="0" w:firstLine="0"/>
        <w:jc w:val="both"/>
        <w:textAlignment w:val="baseline"/>
        <w:rPr>
          <w:rFonts w:hint="eastAsia" w:ascii="宋体" w:hAnsi="宋体" w:eastAsia="仿宋_GB2312" w:cs="仿宋_GB2312"/>
          <w:color w:val="auto"/>
          <w:kern w:val="0"/>
          <w:sz w:val="32"/>
          <w:szCs w:val="32"/>
        </w:rPr>
      </w:pPr>
      <w:r>
        <w:rPr>
          <w:rFonts w:hint="eastAsia" w:ascii="宋体" w:hAnsi="宋体" w:eastAsia="仿宋_GB2312" w:cs="仿宋_GB2312"/>
          <w:color w:val="auto"/>
          <w:kern w:val="0"/>
          <w:sz w:val="32"/>
          <w:szCs w:val="32"/>
          <w:lang w:val="en-US" w:eastAsia="zh-CN"/>
        </w:rPr>
        <w:t xml:space="preserve"> </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第二十条</w:t>
      </w:r>
      <w:r>
        <w:rPr>
          <w:rFonts w:hint="eastAsia" w:ascii="宋体" w:hAnsi="宋体" w:eastAsia="仿宋_GB2312" w:cs="仿宋_GB2312"/>
          <w:color w:val="auto"/>
          <w:kern w:val="2"/>
          <w:sz w:val="32"/>
          <w:szCs w:val="32"/>
          <w:lang w:val="en-US" w:eastAsia="zh-CN"/>
        </w:rPr>
        <w:t xml:space="preserve">  各级人民政府应当完善监管程序，</w:t>
      </w:r>
      <w:r>
        <w:rPr>
          <w:rFonts w:hint="eastAsia" w:ascii="宋体" w:hAnsi="宋体" w:eastAsia="仿宋_GB2312" w:cs="仿宋_GB2312"/>
          <w:color w:val="auto"/>
          <w:spacing w:val="0"/>
          <w:kern w:val="2"/>
          <w:sz w:val="32"/>
          <w:szCs w:val="32"/>
          <w:lang w:val="en-US" w:eastAsia="zh-CN"/>
        </w:rPr>
        <w:t>落实监管责任，组织和督促所属监管部门共同做好市场监管工作。</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第二十一条</w:t>
      </w:r>
      <w:r>
        <w:rPr>
          <w:rFonts w:hint="eastAsia" w:ascii="宋体" w:hAnsi="宋体" w:eastAsia="仿宋_GB2312" w:cs="仿宋_GB2312"/>
          <w:color w:val="auto"/>
          <w:kern w:val="2"/>
          <w:sz w:val="32"/>
          <w:szCs w:val="32"/>
          <w:lang w:val="en-US" w:eastAsia="zh-CN"/>
        </w:rPr>
        <w:t xml:space="preserve">  监管部门应当制定本部门履行监管职责的具体标准和规范，明确监管事项、依据、程序等，并向社会公布。</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第二十二条</w:t>
      </w:r>
      <w:r>
        <w:rPr>
          <w:rFonts w:hint="eastAsia" w:ascii="宋体" w:hAnsi="宋体" w:eastAsia="仿宋_GB2312" w:cs="仿宋_GB2312"/>
          <w:color w:val="auto"/>
          <w:kern w:val="2"/>
          <w:sz w:val="32"/>
          <w:szCs w:val="32"/>
          <w:lang w:val="en-US" w:eastAsia="zh-CN"/>
        </w:rPr>
        <w:t xml:space="preserve">  各级人民政府及其监管部门应当建立监管信息交换共享机制，编制监管信息共享目录，并与公共信用信息平台互联互通。</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i w:val="0"/>
          <w:kern w:val="2"/>
          <w:sz w:val="32"/>
          <w:szCs w:val="32"/>
          <w:lang w:val="en-US" w:eastAsia="zh-CN"/>
        </w:rPr>
        <w:t>第二十三条</w:t>
      </w:r>
      <w:r>
        <w:rPr>
          <w:rFonts w:hint="eastAsia" w:ascii="宋体" w:hAnsi="宋体" w:eastAsia="仿宋_GB2312" w:cs="仿宋_GB2312"/>
          <w:i w:val="0"/>
          <w:color w:val="auto"/>
          <w:kern w:val="2"/>
          <w:sz w:val="32"/>
          <w:szCs w:val="32"/>
          <w:lang w:val="en-US" w:eastAsia="zh-CN"/>
        </w:rPr>
        <w:t xml:space="preserve">  </w:t>
      </w:r>
      <w:r>
        <w:rPr>
          <w:rFonts w:hint="eastAsia" w:ascii="宋体" w:hAnsi="宋体" w:eastAsia="仿宋_GB2312" w:cs="仿宋_GB2312"/>
          <w:color w:val="auto"/>
          <w:kern w:val="2"/>
          <w:sz w:val="32"/>
          <w:szCs w:val="32"/>
          <w:lang w:val="en-US" w:eastAsia="zh-CN"/>
        </w:rPr>
        <w:t>省人民政府监管部门应当组织制定统一的监管信息数据归集标准。</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县级以上人民政府应当按照全省统一的数据归集标准，依托各级政务大数据中心归集监管信息。</w:t>
      </w:r>
    </w:p>
    <w:p>
      <w:pPr>
        <w:pStyle w:val="12"/>
        <w:widowControl w:val="0"/>
        <w:wordWrap/>
        <w:overflowPunct w:val="0"/>
        <w:adjustRightInd w:val="0"/>
        <w:spacing w:before="0" w:beforeAutospacing="0" w:after="0" w:afterAutospacing="0" w:line="590" w:lineRule="exact"/>
        <w:ind w:left="0" w:right="0" w:firstLine="632" w:firstLineChars="200"/>
        <w:jc w:val="both"/>
        <w:textAlignment w:val="baseline"/>
        <w:rPr>
          <w:rFonts w:hint="eastAsia" w:ascii="宋体" w:hAnsi="宋体" w:eastAsia="仿宋_GB2312" w:cs="仿宋_GB2312"/>
          <w:i w:val="0"/>
          <w:color w:val="auto"/>
          <w:kern w:val="2"/>
          <w:sz w:val="32"/>
          <w:szCs w:val="32"/>
          <w:lang w:val="en-US" w:eastAsia="zh-CN"/>
        </w:rPr>
      </w:pPr>
      <w:r>
        <w:rPr>
          <w:rFonts w:hint="eastAsia" w:ascii="宋体" w:hAnsi="宋体" w:eastAsia="仿宋_GB2312" w:cs="仿宋_GB2312"/>
          <w:i w:val="0"/>
          <w:color w:val="auto"/>
          <w:kern w:val="2"/>
          <w:sz w:val="32"/>
          <w:szCs w:val="32"/>
          <w:lang w:val="en-US" w:eastAsia="zh-CN"/>
        </w:rPr>
        <w:t>监管部门应当在市场监管信息产生、更新之日起二十个工作日内，将市场主体的商事登记、行政许可、备案、行政检查、行政处罚、行政强制、表彰奖励等监管信息通过政务信息共享平台进行共享，并对所提供信息的真实性负责。</w:t>
      </w:r>
    </w:p>
    <w:p>
      <w:pPr>
        <w:pStyle w:val="12"/>
        <w:widowControl w:val="0"/>
        <w:wordWrap/>
        <w:overflowPunct w:val="0"/>
        <w:adjustRightInd w:val="0"/>
        <w:spacing w:before="0" w:beforeAutospacing="0" w:after="0" w:afterAutospacing="0" w:line="590" w:lineRule="exact"/>
        <w:ind w:left="0" w:right="0" w:firstLine="632" w:firstLineChars="200"/>
        <w:jc w:val="both"/>
        <w:textAlignment w:val="baseline"/>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bidi="ar-SA"/>
        </w:rPr>
        <w:t>第二十四条</w:t>
      </w:r>
      <w:r>
        <w:rPr>
          <w:rFonts w:hint="eastAsia" w:ascii="宋体" w:hAnsi="宋体" w:eastAsia="仿宋_GB2312" w:cs="仿宋_GB2312"/>
          <w:color w:val="auto"/>
          <w:kern w:val="2"/>
          <w:sz w:val="32"/>
          <w:szCs w:val="32"/>
          <w:lang w:val="en-US" w:eastAsia="zh-CN"/>
        </w:rPr>
        <w:t xml:space="preserve">  各级人民政府及其监管部门应当充分运用人工智能、互联网、大数据、区块链等技术手段，依托国家统一建立的在线监管系统，推行以远程监管、移动监管、预警防控为特征的非现场监管。</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第二十五条</w:t>
      </w:r>
      <w:r>
        <w:rPr>
          <w:rFonts w:hint="eastAsia" w:ascii="宋体" w:hAnsi="宋体" w:eastAsia="仿宋_GB2312" w:cs="仿宋_GB2312"/>
          <w:color w:val="auto"/>
          <w:kern w:val="2"/>
          <w:sz w:val="32"/>
          <w:szCs w:val="32"/>
          <w:lang w:val="en-US" w:eastAsia="zh-CN"/>
        </w:rPr>
        <w:t xml:space="preserve">  监管部门应当制定年度监督检查计划并向社会公开，依法对市场主体实施监督检查。</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监管部门实施监督检查，应当</w:t>
      </w:r>
      <w:r>
        <w:rPr>
          <w:rFonts w:hint="eastAsia" w:ascii="宋体" w:hAnsi="宋体" w:eastAsia="仿宋_GB2312" w:cs="仿宋_GB2312"/>
          <w:i w:val="0"/>
          <w:color w:val="auto"/>
          <w:kern w:val="2"/>
          <w:sz w:val="32"/>
          <w:szCs w:val="32"/>
          <w:lang w:val="en-US" w:eastAsia="zh-CN"/>
        </w:rPr>
        <w:t>制作</w:t>
      </w:r>
      <w:r>
        <w:rPr>
          <w:rFonts w:hint="eastAsia" w:ascii="宋体" w:hAnsi="宋体" w:eastAsia="仿宋_GB2312" w:cs="仿宋_GB2312"/>
          <w:color w:val="auto"/>
          <w:kern w:val="2"/>
          <w:sz w:val="32"/>
          <w:szCs w:val="32"/>
          <w:lang w:val="en-US" w:eastAsia="zh-CN"/>
        </w:rPr>
        <w:t>监督检查记录，如实记载监督检查情况和处理结果等内容。</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第二十六条</w:t>
      </w:r>
      <w:r>
        <w:rPr>
          <w:rFonts w:hint="eastAsia" w:ascii="宋体" w:hAnsi="宋体" w:eastAsia="仿宋_GB2312" w:cs="仿宋_GB2312"/>
          <w:color w:val="auto"/>
          <w:kern w:val="2"/>
          <w:sz w:val="32"/>
          <w:szCs w:val="32"/>
          <w:lang w:val="en-US" w:eastAsia="zh-CN"/>
        </w:rPr>
        <w:t xml:space="preserve">  市场监管领域</w:t>
      </w:r>
      <w:r>
        <w:rPr>
          <w:rFonts w:hint="eastAsia" w:ascii="宋体" w:hAnsi="宋体" w:eastAsia="仿宋_GB2312" w:cs="仿宋_GB2312"/>
          <w:i w:val="0"/>
          <w:color w:val="auto"/>
          <w:kern w:val="2"/>
          <w:sz w:val="32"/>
          <w:szCs w:val="32"/>
          <w:lang w:val="en-US" w:eastAsia="zh-CN"/>
        </w:rPr>
        <w:t>全面</w:t>
      </w:r>
      <w:r>
        <w:rPr>
          <w:rFonts w:hint="eastAsia" w:ascii="宋体" w:hAnsi="宋体" w:eastAsia="仿宋_GB2312" w:cs="仿宋_GB2312"/>
          <w:color w:val="auto"/>
          <w:kern w:val="2"/>
          <w:sz w:val="32"/>
          <w:szCs w:val="32"/>
          <w:lang w:val="en-US" w:eastAsia="zh-CN"/>
        </w:rPr>
        <w:t>实行随机抽取检查对象、随机选派执法检查人员、抽查事项及查处结果及时向社会公开的监管方式。</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各级人民政府及其监管部门应当健全跨部门随机抽查事项清单，针对同一检查对象的多个检查事项，应当尽可能合并或者纳入跨部门联合抽查范围。</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随机抽查的比例频次、被抽查概率与抽查对象的信用等级、风险程度相关联，有不良信用记录、风险高的应当增加抽查频次，信用较好、风险较低的可适当减少抽查。</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lang w:val="en-US" w:eastAsia="zh-CN"/>
        </w:rPr>
      </w:pPr>
      <w:r>
        <w:rPr>
          <w:rFonts w:hint="eastAsia" w:ascii="宋体" w:hAnsi="宋体" w:eastAsia="黑体" w:cs="黑体"/>
          <w:kern w:val="2"/>
          <w:sz w:val="32"/>
          <w:szCs w:val="32"/>
          <w:lang w:val="en-US" w:eastAsia="zh-CN"/>
        </w:rPr>
        <w:t>第二十七条</w:t>
      </w:r>
      <w:r>
        <w:rPr>
          <w:rFonts w:hint="eastAsia" w:ascii="宋体" w:hAnsi="宋体" w:eastAsia="仿宋_GB2312" w:cs="仿宋_GB2312"/>
          <w:color w:val="auto"/>
          <w:kern w:val="2"/>
          <w:sz w:val="32"/>
          <w:szCs w:val="32"/>
          <w:lang w:val="en-US" w:eastAsia="zh-CN"/>
        </w:rPr>
        <w:t xml:space="preserve">  对直接涉及公共安全和人民群众生命健康等特殊行业、重点领域，依法依规实行全覆盖的重点监管。</w:t>
      </w:r>
    </w:p>
    <w:p>
      <w:pPr>
        <w:pStyle w:val="25"/>
        <w:widowControl w:val="0"/>
        <w:wordWrap/>
        <w:overflowPunct w:val="0"/>
        <w:spacing w:before="0" w:beforeLines="0" w:beforeAutospacing="0" w:after="0" w:afterLines="0" w:afterAutospacing="0" w:line="590" w:lineRule="exact"/>
        <w:ind w:left="0" w:right="0" w:firstLine="640"/>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rPr>
        <w:t>对食品、药品、医疗器械、特种设备等涉及人体健康和生命财产安全的重点产品，建立健全以产品编码管理为主要方式的追溯体系，落实全过程质量</w:t>
      </w:r>
      <w:r>
        <w:rPr>
          <w:rFonts w:hint="eastAsia" w:ascii="宋体" w:hAnsi="宋体" w:eastAsia="仿宋_GB2312" w:cs="仿宋_GB2312"/>
          <w:color w:val="auto"/>
          <w:kern w:val="2"/>
          <w:sz w:val="32"/>
          <w:szCs w:val="32"/>
          <w:lang w:eastAsia="zh-CN"/>
        </w:rPr>
        <w:t>和</w:t>
      </w:r>
      <w:r>
        <w:rPr>
          <w:rFonts w:hint="eastAsia" w:ascii="宋体" w:hAnsi="宋体" w:eastAsia="仿宋_GB2312" w:cs="仿宋_GB2312"/>
          <w:color w:val="auto"/>
          <w:kern w:val="2"/>
          <w:sz w:val="32"/>
          <w:szCs w:val="32"/>
        </w:rPr>
        <w:t>安全责任。</w:t>
      </w:r>
    </w:p>
    <w:p>
      <w:pPr>
        <w:widowControl w:val="0"/>
        <w:wordWrap/>
        <w:overflowPunct w:val="0"/>
        <w:adjustRightInd w:val="0"/>
        <w:snapToGrid w:val="0"/>
        <w:spacing w:beforeLines="0" w:beforeAutospacing="0" w:afterLines="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各级人民政府及其监管部门</w:t>
      </w:r>
      <w:r>
        <w:rPr>
          <w:rFonts w:hint="eastAsia" w:ascii="宋体" w:hAnsi="宋体" w:eastAsia="仿宋_GB2312" w:cs="仿宋_GB2312"/>
          <w:i w:val="0"/>
          <w:color w:val="auto"/>
          <w:kern w:val="2"/>
          <w:sz w:val="32"/>
          <w:szCs w:val="32"/>
          <w:lang w:val="en-US" w:eastAsia="zh-CN"/>
        </w:rPr>
        <w:t>可以根据区域和行业风险特点，建立重点监管清单制度，</w:t>
      </w:r>
      <w:r>
        <w:rPr>
          <w:rFonts w:hint="eastAsia" w:ascii="宋体" w:hAnsi="宋体" w:eastAsia="仿宋_GB2312" w:cs="仿宋_GB2312"/>
          <w:color w:val="auto"/>
          <w:kern w:val="2"/>
          <w:sz w:val="32"/>
          <w:szCs w:val="32"/>
          <w:lang w:val="en-US" w:eastAsia="zh-CN"/>
        </w:rPr>
        <w:t>严格控制重点监管事项数量，规范重点监管的程序，</w:t>
      </w:r>
      <w:r>
        <w:rPr>
          <w:rFonts w:hint="eastAsia" w:ascii="宋体" w:hAnsi="宋体" w:eastAsia="仿宋_GB2312" w:cs="仿宋_GB2312"/>
          <w:i w:val="0"/>
          <w:color w:val="auto"/>
          <w:kern w:val="2"/>
          <w:sz w:val="32"/>
          <w:szCs w:val="32"/>
          <w:lang w:val="en-US" w:eastAsia="zh-CN"/>
        </w:rPr>
        <w:t>开展抽样检验检测和实行全过程跟踪监管</w:t>
      </w:r>
      <w:r>
        <w:rPr>
          <w:rFonts w:hint="eastAsia" w:ascii="宋体" w:hAnsi="宋体" w:eastAsia="仿宋_GB2312" w:cs="仿宋_GB2312"/>
          <w:color w:val="auto"/>
          <w:kern w:val="2"/>
          <w:sz w:val="32"/>
          <w:szCs w:val="32"/>
          <w:lang w:val="en-US" w:eastAsia="zh-CN"/>
        </w:rPr>
        <w:t>。</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第二十八条</w:t>
      </w:r>
      <w:r>
        <w:rPr>
          <w:rFonts w:hint="eastAsia" w:ascii="宋体" w:hAnsi="宋体" w:eastAsia="仿宋_GB2312" w:cs="仿宋_GB2312"/>
          <w:kern w:val="2"/>
          <w:sz w:val="32"/>
          <w:szCs w:val="32"/>
          <w:lang w:val="en-US" w:eastAsia="zh-CN"/>
        </w:rPr>
        <w:t xml:space="preserve"> </w:t>
      </w:r>
      <w:r>
        <w:rPr>
          <w:rFonts w:hint="eastAsia" w:ascii="宋体" w:hAnsi="宋体" w:eastAsia="仿宋_GB2312" w:cs="仿宋_GB2312"/>
          <w:color w:val="auto"/>
          <w:kern w:val="2"/>
          <w:sz w:val="32"/>
          <w:szCs w:val="32"/>
          <w:lang w:val="en-US" w:eastAsia="zh-CN"/>
        </w:rPr>
        <w:t xml:space="preserve"> 对投诉举报、风险监测、转办交办、媒体报道、检验检测发现的问题，监管部门应当进行核查，需要立案查处的，按照行政处罚程序规定进行调查处理。</w:t>
      </w:r>
    </w:p>
    <w:p>
      <w:pPr>
        <w:pStyle w:val="12"/>
        <w:widowControl w:val="0"/>
        <w:wordWrap/>
        <w:overflowPunct w:val="0"/>
        <w:adjustRightInd w:val="0"/>
        <w:spacing w:before="0" w:beforeAutospacing="0" w:after="0" w:afterAutospacing="0" w:line="590" w:lineRule="exact"/>
        <w:ind w:left="0" w:right="0" w:firstLine="632" w:firstLineChars="200"/>
        <w:jc w:val="both"/>
        <w:textAlignment w:val="baseline"/>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通过前款发现的普遍性问题和市场秩序存在的突出风险，监管部门应当进行专项检查。</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第二十</w:t>
      </w:r>
      <w:r>
        <w:rPr>
          <w:rFonts w:hint="eastAsia" w:ascii="宋体" w:hAnsi="宋体" w:eastAsia="黑体" w:cs="黑体"/>
          <w:i w:val="0"/>
          <w:kern w:val="2"/>
          <w:sz w:val="32"/>
          <w:szCs w:val="32"/>
          <w:lang w:val="en-US" w:eastAsia="zh-CN"/>
        </w:rPr>
        <w:t>九</w:t>
      </w:r>
      <w:r>
        <w:rPr>
          <w:rFonts w:hint="eastAsia" w:ascii="宋体" w:hAnsi="宋体" w:eastAsia="黑体" w:cs="黑体"/>
          <w:kern w:val="2"/>
          <w:sz w:val="32"/>
          <w:szCs w:val="32"/>
          <w:lang w:val="en-US" w:eastAsia="zh-CN"/>
        </w:rPr>
        <w:t>条</w:t>
      </w:r>
      <w:r>
        <w:rPr>
          <w:rFonts w:hint="eastAsia" w:ascii="宋体" w:hAnsi="宋体" w:eastAsia="仿宋_GB2312" w:cs="仿宋_GB2312"/>
          <w:color w:val="auto"/>
          <w:kern w:val="2"/>
          <w:sz w:val="32"/>
          <w:szCs w:val="32"/>
          <w:lang w:val="en-US" w:eastAsia="zh-CN"/>
        </w:rPr>
        <w:t xml:space="preserve">  监管部门实施监督检查时，可以依法行使下列职权：</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（一）询问有关人员，要求其提供有关材料；</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（二）查阅、复制、登记保存有关的合同、销售凭证、账簿、电子文档等资料；</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（三）查封场所、设施或者财物，扣押财物；</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（四）法律、法规规定的其他职权。</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监管部门实施监督检查时，对于涉及商业秘密或者个人隐私的信息，应当保密。</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第三十条</w:t>
      </w:r>
      <w:r>
        <w:rPr>
          <w:rFonts w:hint="eastAsia" w:ascii="宋体" w:hAnsi="宋体" w:eastAsia="仿宋_GB2312" w:cs="仿宋_GB2312"/>
          <w:color w:val="auto"/>
          <w:kern w:val="2"/>
          <w:sz w:val="32"/>
          <w:szCs w:val="32"/>
          <w:lang w:val="en-US" w:eastAsia="zh-CN"/>
        </w:rPr>
        <w:t xml:space="preserve">  各级人民政府及其监管部门应当规范行政执法行为，执行行政执法公示、行政执法全过程记录、重大行政执法决定法制审核制度，落实行政执法监督制度和责任追究制度。</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监管部门应当细化、量化行政执法裁量标准，严格限定和合理规范裁量权的行使。</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监管部门应当应用广东省行政执法信息平台和行政执法监督网络平台，实现行政检查、行政处罚、行政强制三类执法行为全过程网上流转，行政执法信息及时全记录。</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highlight w:val="yellow"/>
        </w:rPr>
      </w:pPr>
      <w:r>
        <w:rPr>
          <w:rFonts w:hint="eastAsia" w:ascii="宋体" w:hAnsi="宋体" w:eastAsia="黑体" w:cs="黑体"/>
          <w:spacing w:val="0"/>
          <w:kern w:val="2"/>
          <w:sz w:val="32"/>
          <w:szCs w:val="32"/>
          <w:lang w:val="en-US" w:eastAsia="zh-CN"/>
        </w:rPr>
        <w:t>第三十一条</w:t>
      </w:r>
      <w:r>
        <w:rPr>
          <w:rFonts w:hint="eastAsia" w:ascii="宋体" w:hAnsi="宋体" w:eastAsia="仿宋_GB2312" w:cs="仿宋_GB2312"/>
          <w:color w:val="auto"/>
          <w:spacing w:val="-6"/>
          <w:kern w:val="2"/>
          <w:sz w:val="32"/>
          <w:szCs w:val="32"/>
          <w:lang w:val="en-US" w:eastAsia="zh-CN"/>
        </w:rPr>
        <w:t xml:space="preserve">  对市场主体违法行为依法不予行</w:t>
      </w:r>
      <w:r>
        <w:rPr>
          <w:rFonts w:hint="eastAsia" w:ascii="宋体" w:hAnsi="宋体" w:eastAsia="仿宋_GB2312" w:cs="仿宋_GB2312"/>
          <w:color w:val="auto"/>
          <w:kern w:val="2"/>
          <w:sz w:val="32"/>
          <w:szCs w:val="32"/>
          <w:lang w:val="en-US" w:eastAsia="zh-CN"/>
        </w:rPr>
        <w:t>政处罚的，监管部门</w:t>
      </w:r>
      <w:r>
        <w:rPr>
          <w:rFonts w:hint="eastAsia" w:ascii="宋体" w:hAnsi="宋体" w:eastAsia="仿宋_GB2312" w:cs="仿宋_GB2312"/>
          <w:i w:val="0"/>
          <w:color w:val="auto"/>
          <w:kern w:val="2"/>
          <w:sz w:val="32"/>
          <w:szCs w:val="32"/>
          <w:lang w:val="en-US" w:eastAsia="zh-CN"/>
        </w:rPr>
        <w:t>可以对其进行劝告、提醒、建议、约谈、告诫</w:t>
      </w:r>
      <w:r>
        <w:rPr>
          <w:rFonts w:hint="eastAsia" w:ascii="宋体" w:hAnsi="宋体" w:eastAsia="仿宋_GB2312" w:cs="仿宋_GB2312"/>
          <w:color w:val="auto"/>
          <w:kern w:val="2"/>
          <w:sz w:val="32"/>
          <w:szCs w:val="32"/>
          <w:lang w:val="en-US" w:eastAsia="zh-CN"/>
        </w:rPr>
        <w:t>。</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第三十二条</w:t>
      </w:r>
      <w:r>
        <w:rPr>
          <w:rFonts w:hint="eastAsia" w:ascii="宋体" w:hAnsi="宋体" w:eastAsia="仿宋_GB2312" w:cs="仿宋_GB2312"/>
          <w:color w:val="auto"/>
          <w:kern w:val="2"/>
          <w:sz w:val="32"/>
          <w:szCs w:val="32"/>
          <w:lang w:val="en-US" w:eastAsia="zh-CN"/>
        </w:rPr>
        <w:t xml:space="preserve">  监管部门对新技术、新产业、新业态、新模式等应当实行包容审慎监管，按照鼓励创新原则，分类制定和实行相应的监管规则和标准，留足发展空间，确保质量和安全，不得简单化予以禁止或者不予监管。</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i w:val="0"/>
          <w:kern w:val="2"/>
          <w:sz w:val="32"/>
          <w:szCs w:val="32"/>
          <w:lang w:val="en-US" w:eastAsia="zh-CN"/>
        </w:rPr>
        <w:t>第三十三条</w:t>
      </w:r>
      <w:r>
        <w:rPr>
          <w:rFonts w:hint="eastAsia" w:ascii="宋体" w:hAnsi="宋体" w:eastAsia="仿宋_GB2312" w:cs="仿宋_GB2312"/>
          <w:i w:val="0"/>
          <w:color w:val="auto"/>
          <w:kern w:val="2"/>
          <w:sz w:val="32"/>
          <w:szCs w:val="32"/>
          <w:lang w:val="en-US" w:eastAsia="zh-CN"/>
        </w:rPr>
        <w:t xml:space="preserve">  </w:t>
      </w:r>
      <w:r>
        <w:rPr>
          <w:rFonts w:hint="eastAsia" w:ascii="宋体" w:hAnsi="宋体" w:eastAsia="仿宋_GB2312" w:cs="仿宋_GB2312"/>
          <w:color w:val="auto"/>
          <w:kern w:val="2"/>
          <w:sz w:val="32"/>
          <w:szCs w:val="32"/>
          <w:lang w:val="en-US" w:eastAsia="zh-CN"/>
        </w:rPr>
        <w:t>监管部门应当加强对网络交易经营者的监管，督促网络交易平台落实网络商品和服务经营者信息核验、登记、更新制度</w:t>
      </w:r>
      <w:r>
        <w:rPr>
          <w:rFonts w:hint="eastAsia" w:ascii="宋体" w:hAnsi="宋体" w:eastAsia="仿宋_GB2312" w:cs="仿宋_GB2312"/>
          <w:i w:val="0"/>
          <w:color w:val="auto"/>
          <w:kern w:val="2"/>
          <w:sz w:val="32"/>
          <w:szCs w:val="32"/>
          <w:lang w:val="en-US" w:eastAsia="zh-CN"/>
        </w:rPr>
        <w:t>，</w:t>
      </w:r>
      <w:r>
        <w:rPr>
          <w:rFonts w:hint="eastAsia" w:ascii="宋体" w:hAnsi="宋体" w:eastAsia="仿宋_GB2312" w:cs="仿宋_GB2312"/>
          <w:color w:val="auto"/>
          <w:kern w:val="2"/>
          <w:sz w:val="32"/>
          <w:szCs w:val="32"/>
          <w:lang w:val="en-US" w:eastAsia="zh-CN"/>
        </w:rPr>
        <w:t>加强网上支付安全保障，依法查处网络交易中的违法行为。</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lang w:val="en-US" w:eastAsia="zh-CN"/>
        </w:rPr>
      </w:pPr>
      <w:r>
        <w:rPr>
          <w:rFonts w:hint="eastAsia" w:ascii="宋体" w:hAnsi="宋体" w:eastAsia="仿宋_GB2312" w:cs="仿宋_GB2312"/>
          <w:color w:val="auto"/>
          <w:kern w:val="2"/>
          <w:sz w:val="32"/>
          <w:szCs w:val="32"/>
          <w:lang w:val="en-US" w:eastAsia="zh-CN"/>
        </w:rPr>
        <w:t>网络交易平台经营者应当要求申请进入平台的网络商品和服务经营者提供其身份、地址、联系方式、行政许可等真实信息，进行核验、登记，建立登记档案，并定期核验更新；建立交易信用评价、信用信息披露制度，为网络交易当事人提供公平、公正的信用评价服务，采取措施保障网络交易安全。</w:t>
      </w:r>
    </w:p>
    <w:p>
      <w:pPr>
        <w:pStyle w:val="12"/>
        <w:widowControl w:val="0"/>
        <w:wordWrap/>
        <w:overflowPunct w:val="0"/>
        <w:adjustRightInd w:val="0"/>
        <w:spacing w:before="0" w:beforeAutospacing="0" w:after="0" w:afterAutospacing="0" w:line="590" w:lineRule="exact"/>
        <w:ind w:left="0" w:right="0" w:firstLine="632" w:firstLineChars="200"/>
        <w:jc w:val="both"/>
        <w:textAlignment w:val="baseline"/>
        <w:rPr>
          <w:rFonts w:hint="eastAsia" w:ascii="宋体" w:hAnsi="宋体" w:eastAsia="仿宋_GB2312" w:cs="仿宋_GB2312"/>
          <w:color w:val="auto"/>
          <w:kern w:val="0"/>
          <w:sz w:val="32"/>
          <w:szCs w:val="32"/>
        </w:rPr>
      </w:pPr>
      <w:r>
        <w:rPr>
          <w:rFonts w:hint="eastAsia" w:ascii="宋体" w:hAnsi="宋体" w:eastAsia="黑体" w:cs="黑体"/>
          <w:kern w:val="2"/>
          <w:sz w:val="32"/>
          <w:szCs w:val="32"/>
          <w:lang w:val="en-US" w:eastAsia="zh-CN" w:bidi="ar-SA"/>
        </w:rPr>
        <w:t>第三十四条</w:t>
      </w:r>
      <w:r>
        <w:rPr>
          <w:rFonts w:hint="eastAsia" w:ascii="宋体" w:hAnsi="宋体" w:eastAsia="仿宋_GB2312" w:cs="仿宋_GB2312"/>
          <w:color w:val="auto"/>
          <w:kern w:val="0"/>
          <w:sz w:val="32"/>
          <w:szCs w:val="32"/>
          <w:lang w:val="en-US" w:eastAsia="zh-CN"/>
        </w:rPr>
        <w:t xml:space="preserve">  监管部门在依法开展监督检查、案件调查、事故处置、缺陷消费品召回、消费争议处理等监管执法活动时，可以要求网络交易平台经营者提供有关的平台内经营者身份信息，商品或者服务信息，支付记录、物流快递、退换货以及售后等交易信息。网络交易平台经营者应当按照要求提供信息。</w:t>
      </w:r>
    </w:p>
    <w:p>
      <w:pPr>
        <w:widowControl w:val="0"/>
        <w:wordWrap/>
        <w:overflowPunct w:val="0"/>
        <w:spacing w:beforeAutospacing="0" w:afterAutospacing="0" w:line="590" w:lineRule="exact"/>
        <w:ind w:left="0" w:right="0" w:firstLine="632" w:firstLineChars="200"/>
        <w:jc w:val="both"/>
        <w:rPr>
          <w:rFonts w:hint="eastAsia" w:ascii="宋体" w:hAnsi="宋体" w:eastAsia="仿宋_GB2312" w:cs="仿宋_GB2312"/>
          <w:color w:val="auto"/>
          <w:kern w:val="0"/>
          <w:sz w:val="32"/>
          <w:szCs w:val="32"/>
        </w:rPr>
      </w:pPr>
      <w:r>
        <w:rPr>
          <w:rFonts w:hint="eastAsia" w:ascii="宋体" w:hAnsi="宋体" w:eastAsia="仿宋_GB2312" w:cs="仿宋_GB2312"/>
          <w:color w:val="auto"/>
          <w:kern w:val="0"/>
          <w:sz w:val="32"/>
          <w:szCs w:val="32"/>
          <w:lang w:val="en-US" w:eastAsia="zh-CN"/>
        </w:rPr>
        <w:t>监管部门应当采取必要措施保护网络交易经营者提供的数据信息的安全，并对其中的个人信息、隐私和商业秘密严格保密。</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i w:val="0"/>
          <w:kern w:val="2"/>
          <w:sz w:val="32"/>
          <w:szCs w:val="32"/>
          <w:lang w:val="en-US" w:eastAsia="zh-CN"/>
        </w:rPr>
        <w:t>第三十五条</w:t>
      </w:r>
      <w:r>
        <w:rPr>
          <w:rFonts w:hint="eastAsia" w:ascii="宋体" w:hAnsi="宋体" w:eastAsia="仿宋_GB2312" w:cs="仿宋_GB2312"/>
          <w:kern w:val="2"/>
          <w:sz w:val="32"/>
          <w:szCs w:val="32"/>
          <w:lang w:val="en-US" w:eastAsia="zh-CN"/>
        </w:rPr>
        <w:t xml:space="preserve"> </w:t>
      </w:r>
      <w:r>
        <w:rPr>
          <w:rFonts w:hint="eastAsia" w:ascii="宋体" w:hAnsi="宋体" w:eastAsia="仿宋_GB2312" w:cs="仿宋_GB2312"/>
          <w:color w:val="auto"/>
          <w:kern w:val="2"/>
          <w:sz w:val="32"/>
          <w:szCs w:val="32"/>
          <w:lang w:val="en-US" w:eastAsia="zh-CN"/>
        </w:rPr>
        <w:t xml:space="preserve"> 各级人民政府及其监管部门应当维护市场统一和公平竞争规则，清理和废除妨碍市场统一和公平竞争的规定和做法，不得排除或者限制竞争。</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第三十</w:t>
      </w:r>
      <w:r>
        <w:rPr>
          <w:rFonts w:hint="eastAsia" w:ascii="宋体" w:hAnsi="宋体" w:eastAsia="黑体" w:cs="黑体"/>
          <w:i w:val="0"/>
          <w:kern w:val="2"/>
          <w:sz w:val="32"/>
          <w:szCs w:val="32"/>
          <w:lang w:val="en-US" w:eastAsia="zh-CN"/>
        </w:rPr>
        <w:t>六</w:t>
      </w:r>
      <w:r>
        <w:rPr>
          <w:rFonts w:hint="eastAsia" w:ascii="宋体" w:hAnsi="宋体" w:eastAsia="黑体" w:cs="黑体"/>
          <w:kern w:val="2"/>
          <w:sz w:val="32"/>
          <w:szCs w:val="32"/>
          <w:lang w:val="en-US" w:eastAsia="zh-CN"/>
        </w:rPr>
        <w:t>条</w:t>
      </w:r>
      <w:r>
        <w:rPr>
          <w:rFonts w:hint="eastAsia" w:ascii="宋体" w:hAnsi="宋体" w:eastAsia="仿宋_GB2312" w:cs="仿宋_GB2312"/>
          <w:color w:val="auto"/>
          <w:kern w:val="2"/>
          <w:sz w:val="32"/>
          <w:szCs w:val="32"/>
          <w:lang w:val="en-US" w:eastAsia="zh-CN"/>
        </w:rPr>
        <w:t xml:space="preserve">  各级人民政府及其有关部门在制定涉及市场主体经济活动的政策措施时应当按照国家相关规定进行公平竞争审查。</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lang w:val="en-US" w:eastAsia="zh-CN"/>
        </w:rPr>
      </w:pPr>
      <w:r>
        <w:rPr>
          <w:rFonts w:hint="eastAsia" w:ascii="宋体" w:hAnsi="宋体" w:eastAsia="黑体" w:cs="黑体"/>
          <w:kern w:val="2"/>
          <w:sz w:val="32"/>
          <w:szCs w:val="32"/>
          <w:lang w:val="en-US" w:eastAsia="zh-CN"/>
        </w:rPr>
        <w:t>第</w:t>
      </w:r>
      <w:r>
        <w:rPr>
          <w:rFonts w:hint="eastAsia" w:ascii="宋体" w:hAnsi="宋体" w:eastAsia="黑体" w:cs="黑体"/>
          <w:i w:val="0"/>
          <w:kern w:val="2"/>
          <w:sz w:val="32"/>
          <w:szCs w:val="32"/>
          <w:lang w:val="en-US" w:eastAsia="zh-CN"/>
        </w:rPr>
        <w:t>三十七</w:t>
      </w:r>
      <w:r>
        <w:rPr>
          <w:rFonts w:hint="eastAsia" w:ascii="宋体" w:hAnsi="宋体" w:eastAsia="黑体" w:cs="黑体"/>
          <w:kern w:val="2"/>
          <w:sz w:val="32"/>
          <w:szCs w:val="32"/>
          <w:lang w:val="en-US" w:eastAsia="zh-CN"/>
        </w:rPr>
        <w:t>条</w:t>
      </w:r>
      <w:r>
        <w:rPr>
          <w:rFonts w:hint="eastAsia" w:ascii="宋体" w:hAnsi="宋体" w:eastAsia="仿宋_GB2312" w:cs="仿宋_GB2312"/>
          <w:kern w:val="2"/>
          <w:sz w:val="32"/>
          <w:szCs w:val="32"/>
          <w:lang w:val="en-US" w:eastAsia="zh-CN"/>
        </w:rPr>
        <w:t xml:space="preserve"> </w:t>
      </w:r>
      <w:r>
        <w:rPr>
          <w:rFonts w:hint="eastAsia" w:ascii="宋体" w:hAnsi="宋体" w:eastAsia="仿宋_GB2312" w:cs="仿宋_GB2312"/>
          <w:color w:val="auto"/>
          <w:kern w:val="2"/>
          <w:sz w:val="32"/>
          <w:szCs w:val="32"/>
          <w:lang w:val="en-US" w:eastAsia="zh-CN"/>
        </w:rPr>
        <w:t xml:space="preserve"> 监管部门应当根据平台经济的发展状况、发展规律和自身特点，依照法定权限加强和改进反垄断和反不正当竞争执法，着力预防和制止排除、限制竞争的行为，维护平台经济领域公平竞争、开放包容、鼓励创新的发展环境。</w:t>
      </w:r>
    </w:p>
    <w:p>
      <w:pPr>
        <w:pStyle w:val="2"/>
        <w:overflowPunct w:val="0"/>
        <w:spacing w:line="590" w:lineRule="exact"/>
        <w:rPr>
          <w:rFonts w:hint="eastAsia" w:ascii="宋体" w:hAnsi="宋体" w:eastAsia="仿宋_GB2312" w:cs="仿宋_GB2312"/>
          <w:color w:val="auto"/>
          <w:sz w:val="32"/>
          <w:szCs w:val="32"/>
        </w:rPr>
      </w:pPr>
      <w:r>
        <w:rPr>
          <w:rFonts w:hint="eastAsia" w:ascii="宋体" w:hAnsi="宋体" w:eastAsia="黑体" w:cs="黑体"/>
          <w:sz w:val="32"/>
          <w:szCs w:val="32"/>
          <w:lang w:bidi="ar-SA"/>
        </w:rPr>
        <w:t>第三十八条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监管部门应当推动完善知识产权保护体系，严格知识产权行政执法，严厉打击侵犯知识产权的违法行为，营造公平有序的市场竞争环境。</w:t>
      </w:r>
    </w:p>
    <w:p>
      <w:pPr>
        <w:widowControl w:val="0"/>
        <w:wordWrap/>
        <w:overflowPunct w:val="0"/>
        <w:spacing w:beforeAutospacing="0" w:afterAutospacing="0" w:line="590" w:lineRule="exact"/>
        <w:ind w:left="0" w:right="0" w:firstLine="638" w:firstLineChars="202"/>
        <w:jc w:val="both"/>
        <w:rPr>
          <w:rFonts w:hint="eastAsia" w:ascii="宋体" w:hAnsi="宋体" w:eastAsia="仿宋_GB2312" w:cs="仿宋_GB2312"/>
          <w:color w:val="auto"/>
          <w:kern w:val="2"/>
          <w:sz w:val="32"/>
          <w:szCs w:val="32"/>
          <w:lang w:val="en-US" w:eastAsia="zh-CN"/>
        </w:rPr>
      </w:pPr>
    </w:p>
    <w:p>
      <w:pPr>
        <w:widowControl w:val="0"/>
        <w:wordWrap/>
        <w:overflowPunct w:val="0"/>
        <w:adjustRightInd/>
        <w:snapToGrid/>
        <w:spacing w:beforeAutospacing="0" w:afterAutospacing="0" w:line="590" w:lineRule="exact"/>
        <w:ind w:left="0" w:right="0" w:firstLine="0" w:firstLineChars="0"/>
        <w:jc w:val="center"/>
        <w:rPr>
          <w:rFonts w:hint="eastAsia" w:ascii="宋体" w:hAnsi="宋体" w:eastAsia="宋体" w:cs="宋体"/>
          <w:kern w:val="2"/>
          <w:sz w:val="32"/>
          <w:szCs w:val="32"/>
        </w:rPr>
      </w:pPr>
      <w:r>
        <w:rPr>
          <w:rFonts w:hint="eastAsia" w:ascii="宋体" w:hAnsi="宋体" w:eastAsia="宋体" w:cs="宋体"/>
          <w:kern w:val="2"/>
          <w:sz w:val="32"/>
          <w:szCs w:val="32"/>
          <w:lang w:val="en-US" w:eastAsia="zh-CN"/>
        </w:rPr>
        <w:t>第二节  协同监管</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lang w:val="en-US" w:eastAsia="zh-CN"/>
        </w:rPr>
      </w:pP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第三十九条</w:t>
      </w:r>
      <w:r>
        <w:rPr>
          <w:rFonts w:hint="eastAsia" w:ascii="宋体" w:hAnsi="宋体" w:eastAsia="仿宋_GB2312" w:cs="仿宋_GB2312"/>
          <w:color w:val="auto"/>
          <w:kern w:val="2"/>
          <w:sz w:val="32"/>
          <w:szCs w:val="32"/>
          <w:lang w:val="en-US" w:eastAsia="zh-CN"/>
        </w:rPr>
        <w:t xml:space="preserve">  监管部门应当建立层级之间的执法联动机制。</w:t>
      </w:r>
    </w:p>
    <w:p>
      <w:pPr>
        <w:widowControl w:val="0"/>
        <w:wordWrap/>
        <w:overflowPunct w:val="0"/>
        <w:adjustRightInd w:val="0"/>
        <w:snapToGrid w:val="0"/>
        <w:spacing w:beforeAutospacing="0" w:afterAutospacing="0" w:line="590" w:lineRule="exact"/>
        <w:ind w:left="0" w:right="0" w:firstLine="608"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spacing w:val="-6"/>
          <w:kern w:val="2"/>
          <w:sz w:val="32"/>
          <w:szCs w:val="32"/>
          <w:lang w:val="en-US" w:eastAsia="zh-CN"/>
        </w:rPr>
        <w:t>上级监管部门应当依法指导</w:t>
      </w:r>
      <w:r>
        <w:rPr>
          <w:rFonts w:hint="eastAsia" w:ascii="宋体" w:hAnsi="宋体" w:eastAsia="仿宋_GB2312" w:cs="仿宋_GB2312"/>
          <w:b w:val="0"/>
          <w:color w:val="auto"/>
          <w:spacing w:val="-6"/>
          <w:kern w:val="2"/>
          <w:sz w:val="32"/>
          <w:szCs w:val="32"/>
          <w:lang w:val="en-US" w:eastAsia="zh-CN"/>
        </w:rPr>
        <w:t>和监督</w:t>
      </w:r>
      <w:r>
        <w:rPr>
          <w:rFonts w:hint="eastAsia" w:ascii="宋体" w:hAnsi="宋体" w:eastAsia="仿宋_GB2312" w:cs="仿宋_GB2312"/>
          <w:color w:val="auto"/>
          <w:spacing w:val="-6"/>
          <w:kern w:val="2"/>
          <w:sz w:val="32"/>
          <w:szCs w:val="32"/>
          <w:lang w:val="en-US" w:eastAsia="zh-CN"/>
        </w:rPr>
        <w:t>下级监管部门的市场监</w:t>
      </w:r>
      <w:r>
        <w:rPr>
          <w:rFonts w:hint="eastAsia" w:ascii="宋体" w:hAnsi="宋体" w:eastAsia="仿宋_GB2312" w:cs="仿宋_GB2312"/>
          <w:color w:val="auto"/>
          <w:kern w:val="2"/>
          <w:sz w:val="32"/>
          <w:szCs w:val="32"/>
          <w:lang w:val="en-US" w:eastAsia="zh-CN"/>
        </w:rPr>
        <w:t>管工作，指挥重大执法活动，查处或者协调查处跨地区的重大案件，及时移送属于下级监管部门监管的案件或者违法行为线索。上级监管部门认为必要时，可以直接查处下级监管部门管辖的案件。</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lang w:val="en-US" w:eastAsia="zh-CN"/>
        </w:rPr>
      </w:pPr>
      <w:r>
        <w:rPr>
          <w:rFonts w:hint="eastAsia" w:ascii="宋体" w:hAnsi="宋体" w:eastAsia="仿宋_GB2312" w:cs="仿宋_GB2312"/>
          <w:color w:val="auto"/>
          <w:kern w:val="2"/>
          <w:sz w:val="32"/>
          <w:szCs w:val="32"/>
          <w:lang w:val="en-US" w:eastAsia="zh-CN"/>
        </w:rPr>
        <w:t>下级监管部门应当接受上级监管部门的指导</w:t>
      </w:r>
      <w:r>
        <w:rPr>
          <w:rFonts w:hint="eastAsia" w:ascii="宋体" w:hAnsi="宋体" w:eastAsia="仿宋_GB2312" w:cs="仿宋_GB2312"/>
          <w:b w:val="0"/>
          <w:color w:val="auto"/>
          <w:kern w:val="2"/>
          <w:sz w:val="32"/>
          <w:szCs w:val="32"/>
          <w:lang w:val="en-US" w:eastAsia="zh-CN"/>
        </w:rPr>
        <w:t>和监督</w:t>
      </w:r>
      <w:r>
        <w:rPr>
          <w:rFonts w:hint="eastAsia" w:ascii="宋体" w:hAnsi="宋体" w:eastAsia="仿宋_GB2312" w:cs="仿宋_GB2312"/>
          <w:color w:val="auto"/>
          <w:kern w:val="2"/>
          <w:sz w:val="32"/>
          <w:szCs w:val="32"/>
          <w:lang w:val="en-US" w:eastAsia="zh-CN"/>
        </w:rPr>
        <w:t>，完成上级监管部门部署的重大执法任务，查处或者协助查处涉及本地区的重大案件；对上级监管部门移送的案件或者违法行为线索应当及时调查处理，并在规定时限内回复处理结果。</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第四十条</w:t>
      </w:r>
      <w:r>
        <w:rPr>
          <w:rFonts w:hint="eastAsia" w:ascii="宋体" w:hAnsi="宋体" w:eastAsia="仿宋_GB2312" w:cs="仿宋_GB2312"/>
          <w:color w:val="auto"/>
          <w:kern w:val="2"/>
          <w:sz w:val="32"/>
          <w:szCs w:val="32"/>
          <w:lang w:val="en-US" w:eastAsia="zh-CN"/>
        </w:rPr>
        <w:t xml:space="preserve">  不同的监管部门在履行监管职责过程中，可以开展联合执法。</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联合执法的牵头部门为发起部门或者承担主要监管职责的部门，负责联合执法的组织、协调工作。其他监管部门应当在职责范围内参与联合执法。</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对联合执法有争议或者无法确定牵头部门的，相关部门可以提请同级人民政府协调处理。</w:t>
      </w:r>
    </w:p>
    <w:p>
      <w:pPr>
        <w:widowControl w:val="0"/>
        <w:wordWrap/>
        <w:overflowPunct w:val="0"/>
        <w:adjustRightInd w:val="0"/>
        <w:snapToGrid w:val="0"/>
        <w:spacing w:beforeAutospacing="0" w:afterAutospacing="0" w:line="590" w:lineRule="exact"/>
        <w:ind w:left="0" w:right="0" w:firstLine="608" w:firstLineChars="200"/>
        <w:jc w:val="both"/>
        <w:rPr>
          <w:rFonts w:hint="eastAsia" w:ascii="宋体" w:hAnsi="宋体" w:eastAsia="仿宋_GB2312" w:cs="仿宋_GB2312"/>
          <w:color w:val="auto"/>
          <w:spacing w:val="-6"/>
          <w:kern w:val="2"/>
          <w:sz w:val="32"/>
          <w:szCs w:val="32"/>
        </w:rPr>
      </w:pPr>
      <w:r>
        <w:rPr>
          <w:rFonts w:hint="eastAsia" w:ascii="宋体" w:hAnsi="宋体" w:eastAsia="仿宋_GB2312" w:cs="仿宋_GB2312"/>
          <w:color w:val="auto"/>
          <w:spacing w:val="-6"/>
          <w:kern w:val="2"/>
          <w:sz w:val="32"/>
          <w:szCs w:val="32"/>
          <w:lang w:val="en-US" w:eastAsia="zh-CN"/>
        </w:rPr>
        <w:t>参与联合执法的各部门分别对各自的执法行为承担法律责任。</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w:t>
      </w:r>
      <w:r>
        <w:rPr>
          <w:rFonts w:hint="eastAsia" w:ascii="宋体" w:hAnsi="宋体" w:eastAsia="黑体" w:cs="黑体"/>
          <w:i w:val="0"/>
          <w:kern w:val="2"/>
          <w:sz w:val="32"/>
          <w:szCs w:val="32"/>
          <w:lang w:val="en-US" w:eastAsia="zh-CN"/>
        </w:rPr>
        <w:t>四十一</w:t>
      </w:r>
      <w:r>
        <w:rPr>
          <w:rFonts w:hint="eastAsia" w:ascii="宋体" w:hAnsi="宋体" w:eastAsia="黑体" w:cs="黑体"/>
          <w:kern w:val="2"/>
          <w:sz w:val="32"/>
          <w:szCs w:val="32"/>
          <w:lang w:val="en-US" w:eastAsia="zh-CN"/>
        </w:rPr>
        <w:t>条</w:t>
      </w:r>
      <w:r>
        <w:rPr>
          <w:rFonts w:hint="eastAsia" w:ascii="宋体" w:hAnsi="宋体" w:eastAsia="仿宋_GB2312" w:cs="仿宋_GB2312"/>
          <w:color w:val="auto"/>
          <w:kern w:val="2"/>
          <w:sz w:val="32"/>
          <w:szCs w:val="32"/>
          <w:lang w:val="en-US" w:eastAsia="zh-CN"/>
        </w:rPr>
        <w:t xml:space="preserve">  监管部门对违法行为线索应当依法进行核查，属于本部门管辖的，应当依法及时作出是否立案的决定；不属于本部门监管职权范围的，应当及时移送有处理权限的监管部门。有举报人的，应当依法告知举报人，并为举报人保密。</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对前款移送有争议的，由发生争议的监管部门协商确定，协商不成的，由共同上一级行政机关指定监管部门。</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第四十二条</w:t>
      </w:r>
      <w:r>
        <w:rPr>
          <w:rFonts w:hint="eastAsia" w:ascii="宋体" w:hAnsi="宋体" w:eastAsia="仿宋_GB2312" w:cs="仿宋_GB2312"/>
          <w:color w:val="auto"/>
          <w:kern w:val="2"/>
          <w:sz w:val="32"/>
          <w:szCs w:val="32"/>
          <w:lang w:val="en-US" w:eastAsia="zh-CN"/>
        </w:rPr>
        <w:t xml:space="preserve">  监管部门在履行监管职责过程中，需要其他监管部门协助的，应当以书面形式提出。其他监管部门应当在收到书面函件之日起十五个工作日内予以协助并完成相关工作。需要延期完成或者无法协助的，应当在期限届满前告知提出协助请求的监管部门。</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w:t>
      </w:r>
      <w:r>
        <w:rPr>
          <w:rFonts w:hint="eastAsia" w:ascii="宋体" w:hAnsi="宋体" w:eastAsia="黑体" w:cs="黑体"/>
          <w:i w:val="0"/>
          <w:kern w:val="2"/>
          <w:sz w:val="32"/>
          <w:szCs w:val="32"/>
          <w:lang w:val="en-US" w:eastAsia="zh-CN"/>
        </w:rPr>
        <w:t>四十三</w:t>
      </w:r>
      <w:r>
        <w:rPr>
          <w:rFonts w:hint="eastAsia" w:ascii="宋体" w:hAnsi="宋体" w:eastAsia="黑体" w:cs="黑体"/>
          <w:kern w:val="2"/>
          <w:sz w:val="32"/>
          <w:szCs w:val="32"/>
          <w:lang w:val="en-US" w:eastAsia="zh-CN"/>
        </w:rPr>
        <w:t>条</w:t>
      </w:r>
      <w:r>
        <w:rPr>
          <w:rFonts w:hint="eastAsia" w:ascii="宋体" w:hAnsi="宋体" w:eastAsia="仿宋_GB2312" w:cs="仿宋_GB2312"/>
          <w:color w:val="auto"/>
          <w:kern w:val="2"/>
          <w:sz w:val="32"/>
          <w:szCs w:val="32"/>
          <w:lang w:val="en-US" w:eastAsia="zh-CN"/>
        </w:rPr>
        <w:t xml:space="preserve">  监管部门依法取得的检验检测报告、鉴定意见、勘验笔录、现场笔录，除法律、法规另有规定外，其他监管部门在履行法定职责范围内可以调用。</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不同监管部门的行政执法人员在联合执法中共同依法取得的证据，可以作为行政执法证据共同使用。</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w:t>
      </w:r>
      <w:r>
        <w:rPr>
          <w:rFonts w:hint="eastAsia" w:ascii="宋体" w:hAnsi="宋体" w:eastAsia="黑体" w:cs="黑体"/>
          <w:i w:val="0"/>
          <w:kern w:val="2"/>
          <w:sz w:val="32"/>
          <w:szCs w:val="32"/>
          <w:lang w:val="en-US" w:eastAsia="zh-CN"/>
        </w:rPr>
        <w:t>四十四</w:t>
      </w:r>
      <w:r>
        <w:rPr>
          <w:rFonts w:hint="eastAsia" w:ascii="宋体" w:hAnsi="宋体" w:eastAsia="黑体" w:cs="黑体"/>
          <w:kern w:val="2"/>
          <w:sz w:val="32"/>
          <w:szCs w:val="32"/>
          <w:lang w:val="en-US" w:eastAsia="zh-CN"/>
        </w:rPr>
        <w:t>条</w:t>
      </w:r>
      <w:r>
        <w:rPr>
          <w:rFonts w:hint="eastAsia" w:ascii="宋体" w:hAnsi="宋体" w:eastAsia="仿宋_GB2312" w:cs="仿宋_GB2312"/>
          <w:color w:val="auto"/>
          <w:kern w:val="2"/>
          <w:sz w:val="32"/>
          <w:szCs w:val="32"/>
          <w:lang w:val="en-US" w:eastAsia="zh-CN"/>
        </w:rPr>
        <w:t xml:space="preserve">  监管部门应当按照国家和省的有关规定，向公安机关及时移送涉嫌犯罪的案件。</w:t>
      </w:r>
    </w:p>
    <w:p>
      <w:pPr>
        <w:pStyle w:val="12"/>
        <w:widowControl w:val="0"/>
        <w:wordWrap/>
        <w:overflowPunct w:val="0"/>
        <w:adjustRightInd w:val="0"/>
        <w:spacing w:before="0" w:beforeAutospacing="0" w:after="0" w:afterAutospacing="0" w:line="590" w:lineRule="exact"/>
        <w:ind w:right="0"/>
        <w:jc w:val="both"/>
        <w:textAlignment w:val="baseline"/>
        <w:rPr>
          <w:rFonts w:hint="eastAsia" w:ascii="宋体" w:hAnsi="宋体" w:eastAsia="仿宋_GB2312" w:cs="仿宋_GB2312"/>
          <w:color w:val="auto"/>
          <w:kern w:val="0"/>
          <w:sz w:val="32"/>
          <w:szCs w:val="32"/>
        </w:rPr>
      </w:pPr>
    </w:p>
    <w:p>
      <w:pPr>
        <w:widowControl w:val="0"/>
        <w:wordWrap/>
        <w:overflowPunct w:val="0"/>
        <w:spacing w:beforeAutospacing="0" w:afterAutospacing="0" w:line="590" w:lineRule="exact"/>
        <w:ind w:left="0" w:right="0"/>
        <w:jc w:val="center"/>
        <w:rPr>
          <w:rFonts w:hint="eastAsia" w:ascii="宋体" w:hAnsi="宋体" w:eastAsia="宋体" w:cs="宋体"/>
          <w:kern w:val="2"/>
          <w:sz w:val="32"/>
          <w:szCs w:val="32"/>
        </w:rPr>
      </w:pPr>
      <w:r>
        <w:rPr>
          <w:rFonts w:hint="eastAsia" w:ascii="宋体" w:hAnsi="宋体" w:eastAsia="宋体" w:cs="宋体"/>
          <w:kern w:val="2"/>
          <w:sz w:val="32"/>
          <w:szCs w:val="32"/>
          <w:lang w:val="en-US" w:eastAsia="zh-CN"/>
        </w:rPr>
        <w:t>第三节  信用监管</w:t>
      </w:r>
    </w:p>
    <w:p>
      <w:pPr>
        <w:pStyle w:val="12"/>
        <w:widowControl w:val="0"/>
        <w:wordWrap/>
        <w:overflowPunct w:val="0"/>
        <w:adjustRightInd w:val="0"/>
        <w:spacing w:before="0" w:beforeAutospacing="0" w:after="0" w:afterAutospacing="0" w:line="590" w:lineRule="exact"/>
        <w:ind w:left="0" w:right="0" w:firstLine="0"/>
        <w:jc w:val="both"/>
        <w:textAlignment w:val="baseline"/>
        <w:rPr>
          <w:rFonts w:hint="eastAsia" w:ascii="宋体" w:hAnsi="宋体" w:eastAsia="仿宋_GB2312" w:cs="仿宋_GB2312"/>
          <w:color w:val="auto"/>
          <w:kern w:val="0"/>
          <w:sz w:val="32"/>
          <w:szCs w:val="32"/>
        </w:rPr>
      </w:pP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第四十五条</w:t>
      </w:r>
      <w:r>
        <w:rPr>
          <w:rFonts w:hint="eastAsia" w:ascii="宋体" w:hAnsi="宋体" w:eastAsia="仿宋_GB2312" w:cs="仿宋_GB2312"/>
          <w:color w:val="auto"/>
          <w:kern w:val="2"/>
          <w:sz w:val="32"/>
          <w:szCs w:val="32"/>
          <w:lang w:val="en-US" w:eastAsia="zh-CN"/>
        </w:rPr>
        <w:t xml:space="preserve">  县级以上人民政府及其监管部门应当建立信用监管制度，完善市场主体信用信息的采集、记录和交换共享机制，强化信用信息的公开、公示和应用。</w:t>
      </w:r>
    </w:p>
    <w:p>
      <w:pPr>
        <w:widowControl w:val="0"/>
        <w:wordWrap/>
        <w:overflowPunct w:val="0"/>
        <w:adjustRightInd w:val="0"/>
        <w:snapToGrid w:val="0"/>
        <w:spacing w:beforeAutospacing="0" w:afterAutospacing="0" w:line="590" w:lineRule="exact"/>
        <w:ind w:left="0" w:right="0" w:firstLine="588" w:firstLineChars="200"/>
        <w:jc w:val="both"/>
        <w:rPr>
          <w:rFonts w:hint="eastAsia" w:ascii="宋体" w:hAnsi="宋体" w:eastAsia="仿宋_GB2312" w:cs="仿宋_GB2312"/>
          <w:color w:val="auto"/>
          <w:spacing w:val="-11"/>
          <w:kern w:val="2"/>
          <w:sz w:val="32"/>
          <w:szCs w:val="32"/>
        </w:rPr>
      </w:pPr>
      <w:r>
        <w:rPr>
          <w:rFonts w:hint="eastAsia" w:ascii="宋体" w:hAnsi="宋体" w:eastAsia="仿宋_GB2312" w:cs="仿宋_GB2312"/>
          <w:color w:val="auto"/>
          <w:spacing w:val="-11"/>
          <w:kern w:val="2"/>
          <w:sz w:val="32"/>
          <w:szCs w:val="32"/>
          <w:lang w:val="en-US" w:eastAsia="zh-CN"/>
        </w:rPr>
        <w:t>信用信息的范围按照法律、法规以及国家和省的有关规定确定。</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第四十六条</w:t>
      </w:r>
      <w:r>
        <w:rPr>
          <w:rFonts w:hint="eastAsia" w:ascii="宋体" w:hAnsi="宋体" w:eastAsia="仿宋_GB2312" w:cs="仿宋_GB2312"/>
          <w:color w:val="auto"/>
          <w:kern w:val="2"/>
          <w:sz w:val="32"/>
          <w:szCs w:val="32"/>
          <w:lang w:val="en-US" w:eastAsia="zh-CN"/>
        </w:rPr>
        <w:t xml:space="preserve">  监管部门应当建立市场主体信用承诺制度，将市场主体的信用承诺及履行情况纳入其信用记录，向社会公开，接受社会监督。</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鼓励市场主体在经营场所公开信用承诺。</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第四十七条</w:t>
      </w:r>
      <w:r>
        <w:rPr>
          <w:rFonts w:hint="eastAsia" w:ascii="宋体" w:hAnsi="宋体" w:eastAsia="仿宋_GB2312" w:cs="仿宋_GB2312"/>
          <w:color w:val="auto"/>
          <w:kern w:val="2"/>
          <w:sz w:val="32"/>
          <w:szCs w:val="32"/>
          <w:lang w:val="en-US" w:eastAsia="zh-CN"/>
        </w:rPr>
        <w:t xml:space="preserve">  监管部门应当及时、完整、准确、规范记录市场主体信用信息，建立市场主体信用档案。</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监管部门应当将市场主体信用记录作为市场监管的重要参考依据。</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市场主体应当及时如实填报基本信用信息，对所填报信息的真实性负责。</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第四十八条</w:t>
      </w:r>
      <w:r>
        <w:rPr>
          <w:rFonts w:hint="eastAsia" w:ascii="宋体" w:hAnsi="宋体" w:eastAsia="仿宋_GB2312" w:cs="仿宋_GB2312"/>
          <w:color w:val="auto"/>
          <w:kern w:val="2"/>
          <w:sz w:val="32"/>
          <w:szCs w:val="32"/>
          <w:lang w:val="en-US" w:eastAsia="zh-CN"/>
        </w:rPr>
        <w:t xml:space="preserve">  监管部门应当将市场主体信用信息及时、统一在公共信用信息平台公开，促进市场主体守合同、重信用，并向社会公众提供查询服务。</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第四十九条</w:t>
      </w:r>
      <w:r>
        <w:rPr>
          <w:rFonts w:hint="eastAsia" w:ascii="宋体" w:hAnsi="宋体" w:eastAsia="仿宋_GB2312" w:cs="仿宋_GB2312"/>
          <w:color w:val="auto"/>
          <w:kern w:val="2"/>
          <w:sz w:val="32"/>
          <w:szCs w:val="32"/>
          <w:lang w:val="en-US" w:eastAsia="zh-CN"/>
        </w:rPr>
        <w:t xml:space="preserve">  监管部门发现其公开的市场主体信用信息存在错误或者遗漏的，应当及时更正或者补充。</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自然人、法人和非法人组织有证据证明公开的市场主体信用信息存在错误或者遗漏的，有权向监管部门提出异议，要求予以更正或者补充。监管部门应当及时核查。经核查，发现市场主体信用信息确实存在错误的，应当及时在公开影响范围内做出更正和补充。</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任何单位和个人发现公开的市场主体信用信息虚假的，可以向监管部门举报。监管部门应当自收到举报之日起二十个工作日内核查和处理，并将处理结果书面告知举报人。</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第五十条</w:t>
      </w:r>
      <w:r>
        <w:rPr>
          <w:rFonts w:hint="eastAsia" w:ascii="宋体" w:hAnsi="宋体" w:eastAsia="仿宋_GB2312" w:cs="仿宋_GB2312"/>
          <w:color w:val="auto"/>
          <w:kern w:val="2"/>
          <w:sz w:val="32"/>
          <w:szCs w:val="32"/>
          <w:lang w:val="en-US" w:eastAsia="zh-CN"/>
        </w:rPr>
        <w:t xml:space="preserve">  监管部门应当根据部门职责和市场主体信用状况，建立市场主体信用分类管理制度，明确分类的标准、程序和相应的监管措施，实行动态管理。</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第五十一条</w:t>
      </w:r>
      <w:r>
        <w:rPr>
          <w:rFonts w:hint="eastAsia" w:ascii="宋体" w:hAnsi="宋体" w:eastAsia="仿宋_GB2312" w:cs="仿宋_GB2312"/>
          <w:color w:val="auto"/>
          <w:kern w:val="2"/>
          <w:sz w:val="32"/>
          <w:szCs w:val="32"/>
          <w:lang w:val="en-US" w:eastAsia="zh-CN"/>
        </w:rPr>
        <w:t xml:space="preserve">  社会信用主管部门应当会同有关部门建立失信惩戒制度，根据市场主体失信情况，依法采取重点监管、约束措施，对失信主体在行业准入、项目审批、获得信贷、出口退税等方面依法予以限制。</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第五十二条</w:t>
      </w:r>
      <w:r>
        <w:rPr>
          <w:rFonts w:hint="eastAsia" w:ascii="宋体" w:hAnsi="宋体" w:eastAsia="仿宋_GB2312" w:cs="仿宋_GB2312"/>
          <w:color w:val="auto"/>
          <w:kern w:val="2"/>
          <w:sz w:val="32"/>
          <w:szCs w:val="32"/>
          <w:lang w:val="en-US" w:eastAsia="zh-CN"/>
        </w:rPr>
        <w:t xml:space="preserve">  监管部门应当建立健全有利于市场主体自我纠错、主动自新的信用修复机制。</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失信市场主体纠正失信行为、消除不良影响的，可以申请信用修复。申请信用修复的方式、程序等按照国家和省的有关规定执行。</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第五十三条</w:t>
      </w:r>
      <w:r>
        <w:rPr>
          <w:rFonts w:hint="eastAsia" w:ascii="宋体" w:hAnsi="宋体" w:eastAsia="仿宋_GB2312" w:cs="仿宋_GB2312"/>
          <w:color w:val="auto"/>
          <w:kern w:val="2"/>
          <w:sz w:val="32"/>
          <w:szCs w:val="32"/>
          <w:lang w:val="en-US" w:eastAsia="zh-CN"/>
        </w:rPr>
        <w:t xml:space="preserve">  各级人民政府及其部门应当将市场主体信用记录作为行政管理和公共服务的参考依据，在开展行政许可、资质等级评定、财政资金补助、政府采购、政府投资工程建设招投标、表彰奖励等行政管理和服务的过程中，应当查询市场主体信用记录或者按照有关规定应用社会信用信息。</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第五十四条</w:t>
      </w:r>
      <w:r>
        <w:rPr>
          <w:rFonts w:hint="eastAsia" w:ascii="宋体" w:hAnsi="宋体" w:eastAsia="仿宋_GB2312" w:cs="仿宋_GB2312"/>
          <w:color w:val="auto"/>
          <w:kern w:val="2"/>
          <w:sz w:val="32"/>
          <w:szCs w:val="32"/>
          <w:lang w:val="en-US" w:eastAsia="zh-CN"/>
        </w:rPr>
        <w:t xml:space="preserve">  监管部门应当加强信用信息安全管理，保护个人隐私，依法查处泄露、篡改、毁损、窃取信用信息或者利用信用信息谋取不正当利益等行为。</w:t>
      </w:r>
    </w:p>
    <w:p>
      <w:pPr>
        <w:pStyle w:val="12"/>
        <w:widowControl w:val="0"/>
        <w:wordWrap/>
        <w:overflowPunct w:val="0"/>
        <w:adjustRightInd w:val="0"/>
        <w:spacing w:before="0" w:beforeAutospacing="0" w:after="0" w:afterAutospacing="0" w:line="590" w:lineRule="exact"/>
        <w:ind w:left="0" w:right="0" w:firstLine="420"/>
        <w:jc w:val="both"/>
        <w:textAlignment w:val="baseline"/>
        <w:rPr>
          <w:rFonts w:hint="eastAsia" w:ascii="宋体" w:hAnsi="宋体" w:eastAsia="仿宋_GB2312" w:cs="仿宋_GB2312"/>
          <w:color w:val="auto"/>
          <w:kern w:val="0"/>
          <w:sz w:val="32"/>
          <w:szCs w:val="32"/>
        </w:rPr>
      </w:pPr>
      <w:r>
        <w:rPr>
          <w:rFonts w:hint="eastAsia" w:ascii="宋体" w:hAnsi="宋体" w:eastAsia="仿宋_GB2312" w:cs="仿宋_GB2312"/>
          <w:color w:val="auto"/>
          <w:kern w:val="0"/>
          <w:sz w:val="32"/>
          <w:szCs w:val="32"/>
          <w:lang w:val="en-US" w:eastAsia="zh-CN"/>
        </w:rPr>
        <w:t xml:space="preserve"> </w:t>
      </w:r>
    </w:p>
    <w:p>
      <w:pPr>
        <w:widowControl w:val="0"/>
        <w:overflowPunct w:val="0"/>
        <w:spacing w:before="0" w:beforeAutospacing="0" w:after="0" w:afterAutospacing="0" w:line="590" w:lineRule="exact"/>
        <w:ind w:left="0"/>
        <w:jc w:val="center"/>
        <w:rPr>
          <w:rFonts w:hint="eastAsia" w:ascii="宋体" w:hAnsi="宋体" w:eastAsia="宋体" w:cs="宋体"/>
          <w:kern w:val="2"/>
          <w:sz w:val="32"/>
          <w:szCs w:val="32"/>
        </w:rPr>
      </w:pPr>
      <w:r>
        <w:rPr>
          <w:rFonts w:hint="eastAsia" w:ascii="宋体" w:hAnsi="宋体" w:eastAsia="宋体" w:cs="宋体"/>
          <w:kern w:val="2"/>
          <w:sz w:val="32"/>
          <w:szCs w:val="32"/>
          <w:lang w:val="en-US" w:eastAsia="zh-CN"/>
        </w:rPr>
        <w:t>第四节  风险监管</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lang w:val="en-US" w:eastAsia="zh-CN"/>
        </w:rPr>
      </w:pP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lang w:val="en-US" w:eastAsia="zh-CN"/>
        </w:rPr>
      </w:pPr>
      <w:r>
        <w:rPr>
          <w:rFonts w:hint="eastAsia" w:ascii="宋体" w:hAnsi="宋体" w:eastAsia="黑体" w:cs="黑体"/>
          <w:kern w:val="2"/>
          <w:sz w:val="32"/>
          <w:szCs w:val="32"/>
          <w:lang w:val="en-US" w:eastAsia="zh-CN"/>
        </w:rPr>
        <w:t>第五十五条</w:t>
      </w:r>
      <w:r>
        <w:rPr>
          <w:rFonts w:hint="eastAsia" w:ascii="宋体" w:hAnsi="宋体" w:eastAsia="仿宋_GB2312" w:cs="仿宋_GB2312"/>
          <w:color w:val="auto"/>
          <w:kern w:val="2"/>
          <w:sz w:val="32"/>
          <w:szCs w:val="32"/>
          <w:lang w:val="en-US" w:eastAsia="zh-CN"/>
        </w:rPr>
        <w:t xml:space="preserve">  县级以上人民政府及其监管部门应当建立风险监管制度，对市场主体生产经营行为存在或者可能存在的危害公共安全、扰乱市场秩序、危及消费者人身财产安全等方面隐患进行分析和评估，实施风险联动防控，防范区域性、行业性、系统性市场风险。</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第五十六条</w:t>
      </w:r>
      <w:r>
        <w:rPr>
          <w:rFonts w:hint="eastAsia" w:ascii="宋体" w:hAnsi="宋体" w:eastAsia="仿宋_GB2312" w:cs="仿宋_GB2312"/>
          <w:color w:val="auto"/>
          <w:kern w:val="2"/>
          <w:sz w:val="32"/>
          <w:szCs w:val="32"/>
          <w:lang w:val="en-US" w:eastAsia="zh-CN"/>
        </w:rPr>
        <w:t xml:space="preserve">  县级以上人民政府应当建立统一的风险预警和协调处置机制，加强监管部门之间风险信息交换共享；完善市场信息通报、应急处理和救援机制，提高对市场风险事件的预警和处理能力。</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第五十七条</w:t>
      </w:r>
      <w:r>
        <w:rPr>
          <w:rFonts w:hint="eastAsia" w:ascii="宋体" w:hAnsi="宋体" w:eastAsia="仿宋_GB2312" w:cs="仿宋_GB2312"/>
          <w:color w:val="auto"/>
          <w:kern w:val="2"/>
          <w:sz w:val="32"/>
          <w:szCs w:val="32"/>
          <w:lang w:val="en-US" w:eastAsia="zh-CN"/>
        </w:rPr>
        <w:t xml:space="preserve">  监管部门应当建立市场风险信息采集、整理、分析、研判和报送制度，并建立统一的风险信息数据库，实现风险信息交换共享。</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监管部门应当建立风险信息采集网络，通过检验检测检定、监督检查、伤害监测、媒体报道和投诉举报等途径采集风险信息。</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第五十八条</w:t>
      </w:r>
      <w:r>
        <w:rPr>
          <w:rFonts w:hint="eastAsia" w:ascii="宋体" w:hAnsi="宋体" w:eastAsia="仿宋_GB2312" w:cs="仿宋_GB2312"/>
          <w:color w:val="auto"/>
          <w:kern w:val="2"/>
          <w:sz w:val="32"/>
          <w:szCs w:val="32"/>
          <w:lang w:val="en-US" w:eastAsia="zh-CN"/>
        </w:rPr>
        <w:t xml:space="preserve">  监管部门应当建立市场风险监测制度，识别、验证市场风险。</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监管部门应当根据市场风险信息分析结果，制定市场风险监测计划，并将监测情况录入风险信息管理平台。</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监管部门对突发的市场风险事件，应当及时组织实施应急专项风险监测。</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第五十九条</w:t>
      </w:r>
      <w:r>
        <w:rPr>
          <w:rFonts w:hint="eastAsia" w:ascii="宋体" w:hAnsi="宋体" w:eastAsia="仿宋_GB2312" w:cs="仿宋_GB2312"/>
          <w:color w:val="auto"/>
          <w:kern w:val="2"/>
          <w:sz w:val="32"/>
          <w:szCs w:val="32"/>
          <w:lang w:val="en-US" w:eastAsia="zh-CN"/>
        </w:rPr>
        <w:t xml:space="preserve">  监管部门应当对经监测识别的市场风险进行评估，根据风险发生概率、紧急程度、危害程度和社会影响等确定风险等级，提出风险处置建议。市场风险评估可以委托独立的风险评估机构进行。</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监管部门应当建立对高危行业、重点工程、重要产品、重点领域的风险评估指标体系。</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第六十条</w:t>
      </w:r>
      <w:r>
        <w:rPr>
          <w:rFonts w:hint="eastAsia" w:ascii="宋体" w:hAnsi="宋体" w:eastAsia="仿宋_GB2312" w:cs="仿宋_GB2312"/>
          <w:color w:val="auto"/>
          <w:kern w:val="2"/>
          <w:sz w:val="32"/>
          <w:szCs w:val="32"/>
          <w:lang w:val="en-US" w:eastAsia="zh-CN"/>
        </w:rPr>
        <w:t xml:space="preserve">  监管部门应当建立市场风险预警和处置制度。根据风险评估结果，按照规定及时、准确向社会发布风险警示，并采取相应风险防范措施。</w:t>
      </w:r>
    </w:p>
    <w:p>
      <w:pPr>
        <w:pStyle w:val="39"/>
        <w:widowControl w:val="0"/>
        <w:wordWrap/>
        <w:overflowPunct w:val="0"/>
        <w:spacing w:before="0" w:beforeLines="0" w:beforeAutospacing="0" w:after="0" w:afterLines="0" w:afterAutospacing="0" w:line="590" w:lineRule="exact"/>
        <w:ind w:left="0" w:right="0"/>
        <w:jc w:val="both"/>
        <w:rPr>
          <w:rFonts w:hint="eastAsia" w:ascii="宋体" w:hAnsi="宋体" w:eastAsia="仿宋_GB2312" w:cs="仿宋_GB2312"/>
          <w:color w:val="auto"/>
          <w:kern w:val="2"/>
          <w:sz w:val="32"/>
          <w:szCs w:val="32"/>
          <w:shd w:val="clear" w:color="auto" w:fill="FFFFFF"/>
        </w:rPr>
      </w:pPr>
      <w:r>
        <w:rPr>
          <w:rFonts w:hint="eastAsia" w:ascii="宋体" w:hAnsi="宋体" w:eastAsia="仿宋_GB2312" w:cs="仿宋_GB2312"/>
          <w:color w:val="auto"/>
          <w:kern w:val="2"/>
          <w:sz w:val="32"/>
          <w:szCs w:val="32"/>
          <w:shd w:val="clear" w:color="auto" w:fill="FFFFFF"/>
        </w:rPr>
        <w:t xml:space="preserve"> </w:t>
      </w:r>
    </w:p>
    <w:p>
      <w:pPr>
        <w:widowControl w:val="0"/>
        <w:wordWrap/>
        <w:overflowPunct w:val="0"/>
        <w:spacing w:beforeAutospacing="0" w:afterAutospacing="0" w:line="590" w:lineRule="exact"/>
        <w:ind w:left="0" w:right="0"/>
        <w:jc w:val="center"/>
        <w:rPr>
          <w:rFonts w:hint="eastAsia" w:ascii="宋体" w:hAnsi="宋体" w:eastAsia="黑体" w:cs="黑体"/>
          <w:kern w:val="2"/>
          <w:sz w:val="32"/>
          <w:szCs w:val="32"/>
        </w:rPr>
      </w:pPr>
      <w:r>
        <w:rPr>
          <w:rFonts w:hint="eastAsia" w:ascii="宋体" w:hAnsi="宋体" w:eastAsia="黑体" w:cs="黑体"/>
          <w:kern w:val="2"/>
          <w:sz w:val="32"/>
          <w:szCs w:val="32"/>
          <w:lang w:val="en-US" w:eastAsia="zh-CN"/>
        </w:rPr>
        <w:t>第五章  社会监督</w:t>
      </w:r>
    </w:p>
    <w:p>
      <w:pPr>
        <w:pStyle w:val="12"/>
        <w:widowControl w:val="0"/>
        <w:wordWrap/>
        <w:overflowPunct w:val="0"/>
        <w:adjustRightInd w:val="0"/>
        <w:spacing w:before="0" w:beforeAutospacing="0" w:after="0" w:afterAutospacing="0" w:line="590" w:lineRule="exact"/>
        <w:ind w:left="0" w:right="0" w:firstLine="632" w:firstLineChars="200"/>
        <w:jc w:val="both"/>
        <w:textAlignment w:val="baseline"/>
        <w:rPr>
          <w:rFonts w:hint="eastAsia" w:ascii="宋体" w:hAnsi="宋体" w:eastAsia="仿宋_GB2312" w:cs="仿宋_GB2312"/>
          <w:color w:val="auto"/>
          <w:kern w:val="0"/>
          <w:sz w:val="32"/>
          <w:szCs w:val="32"/>
        </w:rPr>
      </w:pPr>
      <w:r>
        <w:rPr>
          <w:rFonts w:hint="eastAsia" w:ascii="宋体" w:hAnsi="宋体" w:eastAsia="仿宋_GB2312" w:cs="仿宋_GB2312"/>
          <w:color w:val="auto"/>
          <w:kern w:val="0"/>
          <w:sz w:val="32"/>
          <w:szCs w:val="32"/>
          <w:lang w:val="en-US" w:eastAsia="zh-CN"/>
        </w:rPr>
        <w:t xml:space="preserve"> </w:t>
      </w:r>
    </w:p>
    <w:p>
      <w:pPr>
        <w:widowControl w:val="0"/>
        <w:wordWrap/>
        <w:overflowPunct w:val="0"/>
        <w:autoSpaceDE w:val="0"/>
        <w:autoSpaceDN w:val="0"/>
        <w:adjustRightIn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第六十一条</w:t>
      </w:r>
      <w:r>
        <w:rPr>
          <w:rFonts w:hint="eastAsia" w:ascii="宋体" w:hAnsi="宋体" w:eastAsia="仿宋_GB2312" w:cs="仿宋_GB2312"/>
          <w:color w:val="auto"/>
          <w:kern w:val="2"/>
          <w:sz w:val="32"/>
          <w:szCs w:val="32"/>
          <w:lang w:val="en-US" w:eastAsia="zh-CN"/>
        </w:rPr>
        <w:t xml:space="preserve">  县级以上人民政府及其监管部门应当畅通社会监督渠道，完善社会参与监管机制，通过政府信息公开和数据开放、社会信息资源开放共享，为行业组织、专业服务机构、媒体、利益相关主体和消费者共同参与对市场主体的监督创造条件。</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地级以上市人民政府应当按照全省统一的运行规则、数据规范，通过12345政务服务便民热线，对各类市场行为的投诉、举报实现统一接听、按责转办、限时办结、统一督办、统一考核。</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第六十二条</w:t>
      </w:r>
      <w:r>
        <w:rPr>
          <w:rFonts w:hint="eastAsia" w:ascii="宋体" w:hAnsi="宋体" w:eastAsia="仿宋_GB2312" w:cs="仿宋_GB2312"/>
          <w:color w:val="auto"/>
          <w:kern w:val="2"/>
          <w:sz w:val="32"/>
          <w:szCs w:val="32"/>
          <w:lang w:val="en-US" w:eastAsia="zh-CN"/>
        </w:rPr>
        <w:t xml:space="preserve">  任何单位和个人有权向监管部门投诉举报市场主体违法行为，有权对监管部门及其工作人员的市场监管行为进行申诉或者检举。</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i w:val="0"/>
          <w:color w:val="auto"/>
          <w:kern w:val="2"/>
          <w:sz w:val="32"/>
          <w:szCs w:val="32"/>
        </w:rPr>
      </w:pPr>
      <w:r>
        <w:rPr>
          <w:rFonts w:hint="eastAsia" w:ascii="宋体" w:hAnsi="宋体" w:eastAsia="黑体" w:cs="黑体"/>
          <w:kern w:val="2"/>
          <w:sz w:val="32"/>
          <w:szCs w:val="32"/>
          <w:lang w:val="en-US" w:eastAsia="zh-CN"/>
        </w:rPr>
        <w:t>第六十三条</w:t>
      </w:r>
      <w:r>
        <w:rPr>
          <w:rFonts w:hint="eastAsia" w:ascii="宋体" w:hAnsi="宋体" w:eastAsia="仿宋_GB2312" w:cs="仿宋_GB2312"/>
          <w:kern w:val="2"/>
          <w:sz w:val="32"/>
          <w:szCs w:val="32"/>
          <w:lang w:val="en-US" w:eastAsia="zh-CN"/>
        </w:rPr>
        <w:t xml:space="preserve"> </w:t>
      </w:r>
      <w:r>
        <w:rPr>
          <w:rFonts w:hint="eastAsia" w:ascii="宋体" w:hAnsi="宋体" w:eastAsia="仿宋_GB2312" w:cs="仿宋_GB2312"/>
          <w:color w:val="auto"/>
          <w:kern w:val="2"/>
          <w:sz w:val="32"/>
          <w:szCs w:val="32"/>
          <w:lang w:val="en-US" w:eastAsia="zh-CN"/>
        </w:rPr>
        <w:t xml:space="preserve"> 行业组织应当建立健全行业经营自律规范和职业道德准则，配合监管部门开展市场监管活动，规范会员行为，引导会员合法生产经营。</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i w:val="0"/>
          <w:color w:val="auto"/>
          <w:kern w:val="2"/>
          <w:sz w:val="32"/>
          <w:szCs w:val="32"/>
          <w:lang w:val="en-US" w:eastAsia="zh-CN"/>
        </w:rPr>
        <w:t>行业组</w:t>
      </w:r>
      <w:r>
        <w:rPr>
          <w:rFonts w:hint="eastAsia" w:ascii="宋体" w:hAnsi="宋体" w:eastAsia="仿宋_GB2312" w:cs="仿宋_GB2312"/>
          <w:color w:val="auto"/>
          <w:kern w:val="2"/>
          <w:sz w:val="32"/>
          <w:szCs w:val="32"/>
          <w:lang w:val="en-US" w:eastAsia="zh-CN"/>
        </w:rPr>
        <w:t>织应当依据章程推动行业诚信建设，依法收集、记录和整理会员的信用信息，开展会员信用评价并公开结果，增强会员的诚信意识。</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监管部门应当与行业组织建立交流咨询机制，协调处理与市场监管有关的问题。</w:t>
      </w:r>
    </w:p>
    <w:p>
      <w:pPr>
        <w:pStyle w:val="12"/>
        <w:widowControl w:val="0"/>
        <w:wordWrap/>
        <w:overflowPunct w:val="0"/>
        <w:adjustRightInd w:val="0"/>
        <w:spacing w:before="0" w:beforeAutospacing="0" w:after="0" w:afterAutospacing="0" w:line="590" w:lineRule="exact"/>
        <w:ind w:left="0" w:right="0" w:firstLine="632" w:firstLineChars="200"/>
        <w:jc w:val="both"/>
        <w:textAlignment w:val="baseline"/>
        <w:rPr>
          <w:rFonts w:hint="eastAsia" w:ascii="宋体" w:hAnsi="宋体" w:eastAsia="仿宋_GB2312" w:cs="仿宋_GB2312"/>
          <w:color w:val="auto"/>
          <w:kern w:val="0"/>
          <w:sz w:val="32"/>
          <w:szCs w:val="32"/>
        </w:rPr>
      </w:pPr>
      <w:r>
        <w:rPr>
          <w:rFonts w:hint="eastAsia" w:ascii="宋体" w:hAnsi="宋体" w:eastAsia="黑体" w:cs="黑体"/>
          <w:kern w:val="2"/>
          <w:sz w:val="32"/>
          <w:szCs w:val="32"/>
          <w:lang w:val="en-US" w:eastAsia="zh-CN"/>
        </w:rPr>
        <w:t>第六十四条</w:t>
      </w:r>
      <w:r>
        <w:rPr>
          <w:rFonts w:hint="eastAsia" w:ascii="宋体" w:hAnsi="宋体" w:eastAsia="仿宋_GB2312" w:cs="仿宋_GB2312"/>
          <w:color w:val="auto"/>
          <w:kern w:val="2"/>
          <w:sz w:val="32"/>
          <w:szCs w:val="32"/>
          <w:lang w:val="en-US" w:eastAsia="zh-CN"/>
        </w:rPr>
        <w:t xml:space="preserve">  </w:t>
      </w:r>
      <w:r>
        <w:rPr>
          <w:rFonts w:hint="eastAsia" w:ascii="宋体" w:hAnsi="宋体" w:eastAsia="仿宋_GB2312" w:cs="仿宋_GB2312"/>
          <w:color w:val="auto"/>
          <w:kern w:val="0"/>
          <w:sz w:val="32"/>
          <w:szCs w:val="32"/>
          <w:lang w:val="en-US" w:eastAsia="zh-CN"/>
        </w:rPr>
        <w:t>会计师事务所、税务师事务所、律师事务所、资产评估机构、公证机构等专业服务机构可以通过依法对市场主体财务、纳税情况、资本验资、资产评估、交易行为等的真实性、合法性进行鉴证等方式，在市场监管中发挥专业作用。</w:t>
      </w:r>
    </w:p>
    <w:p>
      <w:pPr>
        <w:pStyle w:val="12"/>
        <w:widowControl w:val="0"/>
        <w:wordWrap/>
        <w:overflowPunct w:val="0"/>
        <w:adjustRightInd w:val="0"/>
        <w:spacing w:before="0" w:beforeAutospacing="0" w:after="0" w:afterAutospacing="0" w:line="590" w:lineRule="exact"/>
        <w:ind w:left="0" w:right="0" w:firstLine="632" w:firstLineChars="200"/>
        <w:jc w:val="both"/>
        <w:textAlignment w:val="baseline"/>
        <w:rPr>
          <w:rFonts w:hint="eastAsia" w:ascii="宋体" w:hAnsi="宋体" w:eastAsia="仿宋_GB2312" w:cs="仿宋_GB2312"/>
          <w:color w:val="auto"/>
          <w:kern w:val="0"/>
          <w:sz w:val="32"/>
          <w:szCs w:val="32"/>
        </w:rPr>
      </w:pPr>
      <w:r>
        <w:rPr>
          <w:rFonts w:hint="eastAsia" w:ascii="宋体" w:hAnsi="宋体" w:eastAsia="黑体" w:cs="黑体"/>
          <w:kern w:val="2"/>
          <w:sz w:val="32"/>
          <w:szCs w:val="32"/>
          <w:lang w:val="en-US" w:eastAsia="zh-CN"/>
        </w:rPr>
        <w:t>第六十五条</w:t>
      </w:r>
      <w:r>
        <w:rPr>
          <w:rFonts w:hint="eastAsia" w:ascii="宋体" w:hAnsi="宋体" w:eastAsia="仿宋_GB2312" w:cs="仿宋_GB2312"/>
          <w:color w:val="auto"/>
          <w:kern w:val="0"/>
          <w:sz w:val="32"/>
          <w:szCs w:val="32"/>
          <w:lang w:val="en-US" w:eastAsia="zh-CN"/>
        </w:rPr>
        <w:t xml:space="preserve">  报刊、广播、电视和网络等媒体对市场违法行为和市场监管违法行为进行舆论监督。</w:t>
      </w:r>
    </w:p>
    <w:p>
      <w:pPr>
        <w:pStyle w:val="12"/>
        <w:widowControl w:val="0"/>
        <w:wordWrap/>
        <w:overflowPunct w:val="0"/>
        <w:adjustRightInd w:val="0"/>
        <w:spacing w:before="0" w:beforeAutospacing="0" w:after="0" w:afterAutospacing="0" w:line="590" w:lineRule="exact"/>
        <w:ind w:left="0" w:right="0" w:firstLine="632" w:firstLineChars="200"/>
        <w:jc w:val="both"/>
        <w:textAlignment w:val="baseline"/>
        <w:rPr>
          <w:rFonts w:hint="eastAsia" w:ascii="宋体" w:hAnsi="宋体" w:eastAsia="仿宋_GB2312" w:cs="仿宋_GB2312"/>
          <w:color w:val="auto"/>
          <w:kern w:val="0"/>
          <w:sz w:val="32"/>
          <w:szCs w:val="32"/>
          <w:lang w:val="en-US" w:eastAsia="zh-CN"/>
        </w:rPr>
      </w:pPr>
      <w:r>
        <w:rPr>
          <w:rFonts w:hint="eastAsia" w:ascii="宋体" w:hAnsi="宋体" w:eastAsia="仿宋_GB2312" w:cs="仿宋_GB2312"/>
          <w:color w:val="auto"/>
          <w:kern w:val="0"/>
          <w:sz w:val="32"/>
          <w:szCs w:val="32"/>
          <w:lang w:val="en-US" w:eastAsia="zh-CN"/>
        </w:rPr>
        <w:t>监管部门、市场主体应当主动接受媒体监督，加强与媒体的沟通联络，及时调查、处理、回应媒体反映的问题。</w:t>
      </w:r>
    </w:p>
    <w:p>
      <w:pPr>
        <w:pStyle w:val="12"/>
        <w:widowControl w:val="0"/>
        <w:wordWrap/>
        <w:overflowPunct w:val="0"/>
        <w:adjustRightInd w:val="0"/>
        <w:spacing w:before="0" w:beforeAutospacing="0" w:after="0" w:afterAutospacing="0" w:line="590" w:lineRule="exact"/>
        <w:ind w:left="0" w:right="0" w:firstLine="632" w:firstLineChars="200"/>
        <w:jc w:val="both"/>
        <w:textAlignment w:val="baseline"/>
        <w:rPr>
          <w:rFonts w:hint="eastAsia" w:ascii="宋体" w:hAnsi="宋体" w:eastAsia="仿宋_GB2312" w:cs="仿宋_GB2312"/>
          <w:color w:val="auto"/>
          <w:kern w:val="0"/>
          <w:sz w:val="32"/>
          <w:szCs w:val="32"/>
        </w:rPr>
      </w:pPr>
      <w:r>
        <w:rPr>
          <w:rFonts w:hint="eastAsia" w:ascii="宋体" w:hAnsi="宋体" w:eastAsia="仿宋_GB2312" w:cs="仿宋_GB2312"/>
          <w:color w:val="auto"/>
          <w:kern w:val="0"/>
          <w:sz w:val="32"/>
          <w:szCs w:val="32"/>
          <w:lang w:val="en-US" w:eastAsia="zh-CN"/>
        </w:rPr>
        <w:t>对社会关注的市场监管问题，监管部门应当按照规定及时向媒体和社会公众发布相关信息。</w:t>
      </w:r>
    </w:p>
    <w:p>
      <w:pPr>
        <w:widowControl w:val="0"/>
        <w:wordWrap/>
        <w:overflowPunct w:val="0"/>
        <w:spacing w:beforeAutospacing="0" w:afterAutospacing="0" w:line="590" w:lineRule="exact"/>
        <w:ind w:left="0" w:right="0"/>
        <w:jc w:val="center"/>
        <w:rPr>
          <w:rFonts w:hint="eastAsia" w:ascii="宋体" w:hAnsi="宋体" w:eastAsia="仿宋_GB2312" w:cs="仿宋_GB2312"/>
          <w:b w:val="0"/>
          <w:kern w:val="2"/>
          <w:sz w:val="32"/>
          <w:szCs w:val="32"/>
        </w:rPr>
      </w:pPr>
    </w:p>
    <w:p>
      <w:pPr>
        <w:widowControl w:val="0"/>
        <w:wordWrap/>
        <w:overflowPunct w:val="0"/>
        <w:spacing w:beforeAutospacing="0" w:afterAutospacing="0" w:line="590" w:lineRule="exact"/>
        <w:ind w:left="0" w:right="0"/>
        <w:jc w:val="center"/>
        <w:rPr>
          <w:rFonts w:hint="eastAsia" w:ascii="宋体" w:hAnsi="宋体" w:eastAsia="黑体" w:cs="黑体"/>
          <w:kern w:val="2"/>
          <w:sz w:val="32"/>
          <w:szCs w:val="32"/>
          <w:lang w:val="en-US" w:eastAsia="zh-CN"/>
        </w:rPr>
      </w:pPr>
      <w:r>
        <w:rPr>
          <w:rFonts w:hint="eastAsia" w:ascii="宋体" w:hAnsi="宋体" w:eastAsia="黑体" w:cs="黑体"/>
          <w:kern w:val="2"/>
          <w:sz w:val="32"/>
          <w:szCs w:val="32"/>
          <w:lang w:val="en-US" w:eastAsia="zh-CN"/>
        </w:rPr>
        <w:t>第六章  法律责任</w:t>
      </w:r>
    </w:p>
    <w:p>
      <w:pPr>
        <w:widowControl w:val="0"/>
        <w:wordWrap/>
        <w:overflowPunct w:val="0"/>
        <w:spacing w:beforeAutospacing="0" w:afterAutospacing="0" w:line="590" w:lineRule="exact"/>
        <w:ind w:left="0" w:right="0"/>
        <w:jc w:val="center"/>
        <w:rPr>
          <w:rFonts w:hint="eastAsia" w:ascii="宋体" w:hAnsi="宋体" w:eastAsia="仿宋_GB2312" w:cs="仿宋_GB2312"/>
          <w:b w:val="0"/>
          <w:kern w:val="2"/>
          <w:sz w:val="32"/>
          <w:szCs w:val="32"/>
        </w:rPr>
      </w:pP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第六十六条</w:t>
      </w:r>
      <w:r>
        <w:rPr>
          <w:rFonts w:hint="eastAsia" w:ascii="宋体" w:hAnsi="宋体" w:eastAsia="仿宋_GB2312" w:cs="仿宋_GB2312"/>
          <w:color w:val="auto"/>
          <w:kern w:val="2"/>
          <w:sz w:val="32"/>
          <w:szCs w:val="32"/>
          <w:lang w:val="en-US" w:eastAsia="zh-CN"/>
        </w:rPr>
        <w:t xml:space="preserve">  各级人民政府及其工作人员违反本条例的规定，未履行法定职责，造成不良后果，或者有其他徇私舞弊、玩忽职守、滥用职权行为的，视其情节轻重，依法对直接负责的主管人员和其他直接责任人员给予处分；涉嫌犯罪的，依法追究刑事责任。</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第六十七条</w:t>
      </w:r>
      <w:r>
        <w:rPr>
          <w:rFonts w:hint="eastAsia" w:ascii="宋体" w:hAnsi="宋体" w:eastAsia="仿宋_GB2312" w:cs="仿宋_GB2312"/>
          <w:color w:val="auto"/>
          <w:kern w:val="2"/>
          <w:sz w:val="32"/>
          <w:szCs w:val="32"/>
          <w:lang w:val="en-US" w:eastAsia="zh-CN"/>
        </w:rPr>
        <w:t xml:space="preserve">  监管部门及其工作人员违反本条例的规定，有下列行为之一的，由其上级行政机关或者有关机关依法责令改正；情节严重的，对直接负责的主管人员和其他直接责任人员依法给予处分；涉嫌犯罪的，依法追究刑事责任：</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（一）实施市场准入行政许可事项时，违法增减条件或者程序的；</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（二）实施备案等非行政许可事项时，违法设置限制性前置条件，或者以行政许可的条件、程序要求行政相对人的；</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（三）在实施市场准入行政许可过程中，违法要求申请人接受中介服务或者指定中介服务机构的；</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（四）限制或者妨碍不同地区、不同行业市场主体公平竞争的；</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（五）限制或者妨碍其他地区的商品或者服务进入本地市场的；</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（六）无正当理由拒不配合或者协助其他监管部门履行监管职责的；</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（七）对违法行为线索不依法进行核查或者不移送有监管职权的监管部门的；</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（八）拒不接受监管职责范围内违法线索移送的；</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（九）编造、篡改市场主体信用信息或者对存在错误、遗漏的市场主体信用信息拒不更正、补充的；</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（十）未按照规定及时发布市场风险警示或者采取风险防范措施的；</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（十一）未按照规定及时采取重点监管、约束、限制措施的；</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（十二）未按照规定及时回应新闻媒体反映或者社会关注的市场监管问题的；</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（十三）对投诉、举报的市场违法行为不及时处理，或者泄露投诉、举报人信息的；</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（十四）违反规定泄露案件查处信息的；</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rPr>
        <w:t>（十五）违反本条例规定的其他行为。</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第六十八条</w:t>
      </w:r>
      <w:r>
        <w:rPr>
          <w:rFonts w:hint="eastAsia" w:ascii="宋体" w:hAnsi="宋体" w:eastAsia="仿宋_GB2312" w:cs="仿宋_GB2312"/>
          <w:i w:val="0"/>
          <w:color w:val="auto"/>
          <w:kern w:val="2"/>
          <w:sz w:val="32"/>
          <w:szCs w:val="32"/>
          <w:lang w:val="en-US" w:eastAsia="zh-CN"/>
        </w:rPr>
        <w:t xml:space="preserve">  市场主体有下列妨碍监管活动的行为之一，</w:t>
      </w:r>
      <w:r>
        <w:rPr>
          <w:rFonts w:hint="eastAsia" w:ascii="宋体" w:hAnsi="宋体" w:eastAsia="仿宋_GB2312" w:cs="仿宋_GB2312"/>
          <w:color w:val="auto"/>
          <w:kern w:val="2"/>
          <w:sz w:val="32"/>
          <w:szCs w:val="32"/>
          <w:lang w:val="en-US" w:eastAsia="zh-CN"/>
        </w:rPr>
        <w:t>构成违反治安管理行为的，由公安机关依法给予治安管理处罚；构成犯罪的，依法追究刑事责任：</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i w:val="0"/>
          <w:color w:val="auto"/>
          <w:kern w:val="2"/>
          <w:sz w:val="32"/>
          <w:szCs w:val="32"/>
        </w:rPr>
      </w:pPr>
      <w:r>
        <w:rPr>
          <w:rFonts w:hint="eastAsia" w:ascii="宋体" w:hAnsi="宋体" w:eastAsia="仿宋_GB2312" w:cs="仿宋_GB2312"/>
          <w:i w:val="0"/>
          <w:color w:val="auto"/>
          <w:kern w:val="2"/>
          <w:sz w:val="32"/>
          <w:szCs w:val="32"/>
          <w:lang w:val="en-US" w:eastAsia="zh-CN"/>
        </w:rPr>
        <w:t>（一）阻碍监管部门工作人员依法执行职务的；</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i w:val="0"/>
          <w:color w:val="auto"/>
          <w:kern w:val="2"/>
          <w:sz w:val="32"/>
          <w:szCs w:val="32"/>
        </w:rPr>
      </w:pPr>
      <w:r>
        <w:rPr>
          <w:rFonts w:hint="eastAsia" w:ascii="宋体" w:hAnsi="宋体" w:eastAsia="仿宋_GB2312" w:cs="仿宋_GB2312"/>
          <w:i w:val="0"/>
          <w:color w:val="auto"/>
          <w:kern w:val="2"/>
          <w:sz w:val="32"/>
          <w:szCs w:val="32"/>
          <w:lang w:val="en-US" w:eastAsia="zh-CN"/>
        </w:rPr>
        <w:t>（二）隐藏、转移、变卖或者损毁监管部门依法扣押、查封、冻结的财物的；</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i w:val="0"/>
          <w:color w:val="auto"/>
          <w:kern w:val="2"/>
          <w:sz w:val="32"/>
          <w:szCs w:val="32"/>
        </w:rPr>
      </w:pPr>
      <w:r>
        <w:rPr>
          <w:rFonts w:hint="eastAsia" w:ascii="宋体" w:hAnsi="宋体" w:eastAsia="仿宋_GB2312" w:cs="仿宋_GB2312"/>
          <w:i w:val="0"/>
          <w:color w:val="auto"/>
          <w:kern w:val="2"/>
          <w:sz w:val="32"/>
          <w:szCs w:val="32"/>
          <w:lang w:val="en-US" w:eastAsia="zh-CN"/>
        </w:rPr>
        <w:t>（三）伪造、隐匿、毁灭证据或者提供虚假证言、谎报案情，影响监管部门依法办案的。</w:t>
      </w:r>
    </w:p>
    <w:p>
      <w:pPr>
        <w:widowControl w:val="0"/>
        <w:wordWrap/>
        <w:overflowPunct w:val="0"/>
        <w:spacing w:beforeAutospacing="0" w:afterAutospacing="0" w:line="590" w:lineRule="exact"/>
        <w:ind w:left="0" w:right="0"/>
        <w:jc w:val="center"/>
        <w:rPr>
          <w:rFonts w:hint="eastAsia" w:ascii="宋体" w:hAnsi="宋体" w:eastAsia="仿宋_GB2312" w:cs="仿宋_GB2312"/>
          <w:b/>
          <w:color w:val="auto"/>
          <w:kern w:val="2"/>
          <w:sz w:val="32"/>
          <w:szCs w:val="32"/>
        </w:rPr>
      </w:pPr>
    </w:p>
    <w:p>
      <w:pPr>
        <w:pStyle w:val="39"/>
        <w:widowControl w:val="0"/>
        <w:wordWrap/>
        <w:overflowPunct w:val="0"/>
        <w:spacing w:before="0" w:beforeLines="0" w:beforeAutospacing="0" w:after="0" w:afterLines="0" w:afterAutospacing="0" w:line="590" w:lineRule="exact"/>
        <w:ind w:left="0" w:right="0"/>
        <w:jc w:val="center"/>
        <w:rPr>
          <w:rFonts w:hint="eastAsia" w:ascii="宋体" w:hAnsi="宋体" w:eastAsia="黑体" w:cs="黑体"/>
          <w:kern w:val="2"/>
          <w:sz w:val="32"/>
          <w:szCs w:val="32"/>
          <w:lang w:val="en-US" w:eastAsia="zh-CN"/>
        </w:rPr>
      </w:pPr>
      <w:r>
        <w:rPr>
          <w:rFonts w:hint="eastAsia" w:ascii="宋体" w:hAnsi="宋体" w:eastAsia="黑体" w:cs="黑体"/>
          <w:kern w:val="2"/>
          <w:sz w:val="32"/>
          <w:szCs w:val="32"/>
          <w:lang w:val="en-US" w:eastAsia="zh-CN"/>
        </w:rPr>
        <w:t>第七章  附  则</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lang w:val="en-US" w:eastAsia="zh-CN"/>
        </w:rPr>
      </w:pP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第六十九条</w:t>
      </w:r>
      <w:r>
        <w:rPr>
          <w:rFonts w:hint="eastAsia" w:ascii="宋体" w:hAnsi="宋体" w:eastAsia="仿宋_GB2312" w:cs="仿宋_GB2312"/>
          <w:color w:val="auto"/>
          <w:kern w:val="2"/>
          <w:sz w:val="32"/>
          <w:szCs w:val="32"/>
          <w:lang w:val="en-US" w:eastAsia="zh-CN"/>
        </w:rPr>
        <w:t xml:space="preserve">  法律、法规授权的具有管理公共事务职能的组织在法定授权范围内实施市场监管，适用本条例有关规定。</w:t>
      </w:r>
    </w:p>
    <w:p>
      <w:pPr>
        <w:widowControl w:val="0"/>
        <w:wordWrap/>
        <w:overflowPunct w:val="0"/>
        <w:adjustRightInd w:val="0"/>
        <w:snapToGrid w:val="0"/>
        <w:spacing w:beforeAutospacing="0" w:afterAutospacing="0" w:line="590" w:lineRule="exact"/>
        <w:ind w:left="0" w:right="0" w:firstLine="632" w:firstLineChars="200"/>
        <w:jc w:val="both"/>
        <w:rPr>
          <w:rFonts w:hint="eastAsia" w:ascii="宋体" w:hAnsi="宋体" w:eastAsia="仿宋_GB2312" w:cs="仿宋_GB2312"/>
          <w:color w:val="auto"/>
          <w:kern w:val="2"/>
          <w:sz w:val="32"/>
          <w:szCs w:val="32"/>
        </w:rPr>
      </w:pPr>
      <w:r>
        <w:rPr>
          <w:rFonts w:hint="eastAsia" w:ascii="宋体" w:hAnsi="宋体" w:eastAsia="黑体" w:cs="黑体"/>
          <w:kern w:val="2"/>
          <w:sz w:val="32"/>
          <w:szCs w:val="32"/>
          <w:lang w:val="en-US" w:eastAsia="zh-CN"/>
        </w:rPr>
        <w:t>第七十条</w:t>
      </w:r>
      <w:r>
        <w:rPr>
          <w:rFonts w:hint="eastAsia" w:ascii="宋体" w:hAnsi="宋体" w:eastAsia="仿宋_GB2312" w:cs="仿宋_GB2312"/>
          <w:color w:val="auto"/>
          <w:kern w:val="2"/>
          <w:sz w:val="32"/>
          <w:szCs w:val="32"/>
          <w:lang w:val="en-US" w:eastAsia="zh-CN"/>
        </w:rPr>
        <w:t xml:space="preserve">  中央驻粤机构依照法律、行政法规实施市场监管，可以参照本条例有关规定执行。</w:t>
      </w:r>
    </w:p>
    <w:p>
      <w:pPr>
        <w:overflowPunct w:val="0"/>
        <w:adjustRightInd w:val="0"/>
        <w:snapToGrid w:val="0"/>
        <w:spacing w:line="590" w:lineRule="exact"/>
        <w:ind w:firstLine="632" w:firstLineChars="200"/>
        <w:rPr>
          <w:rFonts w:hint="eastAsia" w:ascii="宋体" w:hAnsi="宋体" w:eastAsia="仿宋_GB2312" w:cs="仿宋_GB2312"/>
          <w:color w:val="auto"/>
          <w:sz w:val="32"/>
          <w:szCs w:val="32"/>
        </w:rPr>
      </w:pPr>
      <w:r>
        <w:rPr>
          <w:rFonts w:hint="eastAsia" w:ascii="宋体" w:hAnsi="宋体" w:eastAsia="黑体" w:cs="黑体"/>
          <w:kern w:val="2"/>
          <w:sz w:val="32"/>
          <w:szCs w:val="32"/>
          <w:lang w:val="en-US" w:eastAsia="zh-CN"/>
        </w:rPr>
        <w:t>第七十一条</w:t>
      </w:r>
      <w:r>
        <w:rPr>
          <w:rFonts w:hint="eastAsia" w:ascii="宋体" w:hAnsi="宋体" w:eastAsia="仿宋_GB2312" w:cs="仿宋_GB2312"/>
          <w:color w:val="auto"/>
          <w:kern w:val="2"/>
          <w:sz w:val="32"/>
          <w:szCs w:val="32"/>
          <w:lang w:val="en-US" w:eastAsia="zh-CN"/>
        </w:rPr>
        <w:t xml:space="preserve">  本条例自2021年12月1日起施行。</w:t>
      </w:r>
    </w:p>
    <w:p>
      <w:pPr>
        <w:pStyle w:val="2"/>
        <w:overflowPunct w:val="0"/>
        <w:spacing w:beforeLines="0" w:afterLines="0" w:line="590" w:lineRule="exact"/>
        <w:ind w:left="0" w:leftChars="0" w:firstLine="0" w:firstLineChars="0"/>
        <w:rPr>
          <w:rFonts w:hint="eastAsia" w:ascii="宋体" w:hAnsi="宋体"/>
          <w:lang w:eastAsia="zh-CN"/>
        </w:rPr>
      </w:pPr>
      <w:bookmarkStart w:id="0" w:name="_GoBack"/>
      <w:bookmarkEnd w:id="0"/>
    </w:p>
    <w:sectPr>
      <w:footerReference r:id="rId3" w:type="default"/>
      <w:footerReference r:id="rId4" w:type="even"/>
      <w:pgSz w:w="11907" w:h="16840"/>
      <w:pgMar w:top="1984" w:right="1531" w:bottom="1871" w:left="1531" w:header="0" w:footer="1417" w:gutter="0"/>
      <w:paperSrc/>
      <w:pgNumType w:fmt="decimal"/>
      <w:cols w:space="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2010601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2FF" w:usb1="400004FF" w:usb2="00000000"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方正仿宋_GBK">
    <w:panose1 w:val="03000509000000000000"/>
    <w:charset w:val="86"/>
    <w:family w:val="auto"/>
    <w:pitch w:val="default"/>
    <w:sig w:usb0="00000001" w:usb1="080E0000" w:usb2="00000000" w:usb3="00000000" w:csb0="00040000" w:csb1="00000000"/>
  </w:font>
  <w:font w:name=".PingFang SC">
    <w:altName w:val="微软雅黑"/>
    <w:panose1 w:val="00000000000000000000"/>
    <w:charset w:val="86"/>
    <w:family w:val="auto"/>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ordWrap w:val="0"/>
      <w:jc w:val="right"/>
      <w:rPr>
        <w:rFonts w:hint="eastAsia" w:ascii="宋体" w:hAnsi="宋体" w:eastAsia="宋体" w:cs="宋体"/>
        <w:sz w:val="28"/>
        <w:szCs w:val="28"/>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280" w:firstLineChars="100"/>
      <w:jc w:val="both"/>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C7BE2"/>
    <w:rsid w:val="011E7348"/>
    <w:rsid w:val="01881051"/>
    <w:rsid w:val="036674C5"/>
    <w:rsid w:val="03884874"/>
    <w:rsid w:val="03FA073A"/>
    <w:rsid w:val="05C35F78"/>
    <w:rsid w:val="05D13273"/>
    <w:rsid w:val="06866278"/>
    <w:rsid w:val="086F19DD"/>
    <w:rsid w:val="09D5405D"/>
    <w:rsid w:val="0A1707EC"/>
    <w:rsid w:val="0B7D5897"/>
    <w:rsid w:val="0D5A220C"/>
    <w:rsid w:val="0DC10F3C"/>
    <w:rsid w:val="0F0C1338"/>
    <w:rsid w:val="0F3C7199"/>
    <w:rsid w:val="0F9E114E"/>
    <w:rsid w:val="103C00B6"/>
    <w:rsid w:val="11361CF6"/>
    <w:rsid w:val="12272E15"/>
    <w:rsid w:val="12833C7B"/>
    <w:rsid w:val="12844F71"/>
    <w:rsid w:val="128D47BB"/>
    <w:rsid w:val="131C3A9F"/>
    <w:rsid w:val="13371800"/>
    <w:rsid w:val="13A94040"/>
    <w:rsid w:val="15572784"/>
    <w:rsid w:val="15626C01"/>
    <w:rsid w:val="166A7E4E"/>
    <w:rsid w:val="170D64D1"/>
    <w:rsid w:val="17402747"/>
    <w:rsid w:val="176B60F3"/>
    <w:rsid w:val="17A56954"/>
    <w:rsid w:val="18394C82"/>
    <w:rsid w:val="18644411"/>
    <w:rsid w:val="1975362D"/>
    <w:rsid w:val="19D64BC8"/>
    <w:rsid w:val="19EE1972"/>
    <w:rsid w:val="1AF759E2"/>
    <w:rsid w:val="1BD6126C"/>
    <w:rsid w:val="1C3A4D59"/>
    <w:rsid w:val="1D546460"/>
    <w:rsid w:val="1E5478C0"/>
    <w:rsid w:val="200A5205"/>
    <w:rsid w:val="20E36EDD"/>
    <w:rsid w:val="219E3184"/>
    <w:rsid w:val="21E7264F"/>
    <w:rsid w:val="234C1757"/>
    <w:rsid w:val="23B64D16"/>
    <w:rsid w:val="23BE221E"/>
    <w:rsid w:val="24E30D8C"/>
    <w:rsid w:val="2501793B"/>
    <w:rsid w:val="25087144"/>
    <w:rsid w:val="26D27D5B"/>
    <w:rsid w:val="29EC497A"/>
    <w:rsid w:val="2A3530D2"/>
    <w:rsid w:val="2AE1624B"/>
    <w:rsid w:val="2AE3372E"/>
    <w:rsid w:val="2AE33914"/>
    <w:rsid w:val="2B217D0A"/>
    <w:rsid w:val="2E2E3329"/>
    <w:rsid w:val="2E852ACD"/>
    <w:rsid w:val="2F6418ED"/>
    <w:rsid w:val="2FD2120B"/>
    <w:rsid w:val="308D0885"/>
    <w:rsid w:val="30D27CA9"/>
    <w:rsid w:val="313C0686"/>
    <w:rsid w:val="315B5B3B"/>
    <w:rsid w:val="31DB5B14"/>
    <w:rsid w:val="32227518"/>
    <w:rsid w:val="34152DC2"/>
    <w:rsid w:val="341E6D68"/>
    <w:rsid w:val="3606279B"/>
    <w:rsid w:val="363F4357"/>
    <w:rsid w:val="375D349B"/>
    <w:rsid w:val="37C707A3"/>
    <w:rsid w:val="381406BD"/>
    <w:rsid w:val="382B73FA"/>
    <w:rsid w:val="38882FCA"/>
    <w:rsid w:val="388C40E8"/>
    <w:rsid w:val="38AB7D8C"/>
    <w:rsid w:val="390C3D84"/>
    <w:rsid w:val="39130050"/>
    <w:rsid w:val="3A2B07DC"/>
    <w:rsid w:val="3CE36452"/>
    <w:rsid w:val="3D9541AF"/>
    <w:rsid w:val="3FBD3309"/>
    <w:rsid w:val="40673A31"/>
    <w:rsid w:val="41033839"/>
    <w:rsid w:val="41443C70"/>
    <w:rsid w:val="42E04658"/>
    <w:rsid w:val="44CF252C"/>
    <w:rsid w:val="469B1532"/>
    <w:rsid w:val="46D30E7C"/>
    <w:rsid w:val="47BF1075"/>
    <w:rsid w:val="47F60ED7"/>
    <w:rsid w:val="4862267E"/>
    <w:rsid w:val="48B661FA"/>
    <w:rsid w:val="48D32C36"/>
    <w:rsid w:val="491E3CB0"/>
    <w:rsid w:val="4A0C388D"/>
    <w:rsid w:val="4A6A715E"/>
    <w:rsid w:val="4AF01A75"/>
    <w:rsid w:val="4B1D40BD"/>
    <w:rsid w:val="4B1D5138"/>
    <w:rsid w:val="4B644AC7"/>
    <w:rsid w:val="4BF05C55"/>
    <w:rsid w:val="4D2D6729"/>
    <w:rsid w:val="4DA05958"/>
    <w:rsid w:val="4F3C13FF"/>
    <w:rsid w:val="4F5023E6"/>
    <w:rsid w:val="511D4D5B"/>
    <w:rsid w:val="511F1590"/>
    <w:rsid w:val="51533045"/>
    <w:rsid w:val="515A66AF"/>
    <w:rsid w:val="51FB77F1"/>
    <w:rsid w:val="52701C74"/>
    <w:rsid w:val="5891480F"/>
    <w:rsid w:val="58E732C8"/>
    <w:rsid w:val="5A75158A"/>
    <w:rsid w:val="5B6E266F"/>
    <w:rsid w:val="5C216CEF"/>
    <w:rsid w:val="5C334EFE"/>
    <w:rsid w:val="5E617566"/>
    <w:rsid w:val="5EEF1A0C"/>
    <w:rsid w:val="5F1F3699"/>
    <w:rsid w:val="5F484E2D"/>
    <w:rsid w:val="5F675025"/>
    <w:rsid w:val="603B07CD"/>
    <w:rsid w:val="638156B1"/>
    <w:rsid w:val="64401FFB"/>
    <w:rsid w:val="64711DC6"/>
    <w:rsid w:val="65DA60DB"/>
    <w:rsid w:val="66ED1FE1"/>
    <w:rsid w:val="67B65FF8"/>
    <w:rsid w:val="67D05562"/>
    <w:rsid w:val="68E136BE"/>
    <w:rsid w:val="690337E2"/>
    <w:rsid w:val="6C15302C"/>
    <w:rsid w:val="6C544E08"/>
    <w:rsid w:val="6C934407"/>
    <w:rsid w:val="6C9A2FE0"/>
    <w:rsid w:val="6D336076"/>
    <w:rsid w:val="6D7E2528"/>
    <w:rsid w:val="6E79029A"/>
    <w:rsid w:val="6FCD07A5"/>
    <w:rsid w:val="7063586E"/>
    <w:rsid w:val="70AD1945"/>
    <w:rsid w:val="70B90714"/>
    <w:rsid w:val="70F80C9B"/>
    <w:rsid w:val="70FA6FEE"/>
    <w:rsid w:val="71A74628"/>
    <w:rsid w:val="722217A9"/>
    <w:rsid w:val="72247A70"/>
    <w:rsid w:val="73C2091D"/>
    <w:rsid w:val="74C5727F"/>
    <w:rsid w:val="769D666E"/>
    <w:rsid w:val="76DA649D"/>
    <w:rsid w:val="76EE6057"/>
    <w:rsid w:val="79025A8E"/>
    <w:rsid w:val="7A631492"/>
    <w:rsid w:val="7C8A566B"/>
    <w:rsid w:val="7C996E3F"/>
    <w:rsid w:val="7F6C6ACC"/>
    <w:rsid w:val="7FB82C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4">
    <w:name w:val="Default Paragraph Font"/>
    <w:link w:val="15"/>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6">
    <w:name w:val="Body Text First Indent"/>
    <w:basedOn w:val="7"/>
    <w:qFormat/>
    <w:uiPriority w:val="0"/>
    <w:pPr>
      <w:widowControl w:val="0"/>
      <w:spacing w:after="120" w:afterAutospacing="0"/>
      <w:ind w:firstLine="420" w:firstLineChars="100"/>
      <w:jc w:val="both"/>
    </w:pPr>
    <w:rPr>
      <w:rFonts w:hint="default" w:ascii="Times New Roman" w:hAnsi="Times New Roman" w:eastAsia="仿宋_GB2312" w:cs="Times New Roman"/>
      <w:kern w:val="2"/>
      <w:sz w:val="32"/>
      <w:szCs w:val="32"/>
      <w:lang w:val="en-US" w:eastAsia="zh-CN"/>
    </w:rPr>
  </w:style>
  <w:style w:type="paragraph" w:styleId="7">
    <w:name w:val="Body Text"/>
    <w:basedOn w:val="1"/>
    <w:qFormat/>
    <w:uiPriority w:val="0"/>
    <w:rPr>
      <w:rFonts w:eastAsia="宋体"/>
      <w:sz w:val="44"/>
      <w:szCs w:val="24"/>
    </w:rPr>
  </w:style>
  <w:style w:type="paragraph" w:styleId="8">
    <w:name w:val="Body Text Indent"/>
    <w:basedOn w:val="1"/>
    <w:qFormat/>
    <w:uiPriority w:val="0"/>
    <w:pPr>
      <w:spacing w:after="120"/>
      <w:ind w:left="420" w:leftChars="2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pPr>
      <w:widowControl w:val="0"/>
      <w:spacing w:before="0" w:beforeAutospacing="0" w:after="0" w:afterAutospacing="0"/>
      <w:ind w:left="0" w:right="0"/>
      <w:jc w:val="both"/>
    </w:pPr>
    <w:rPr>
      <w:rFonts w:hint="default" w:ascii="Calibri" w:hAnsi="Calibri" w:eastAsia="仿宋_GB2312" w:cs="Times New Roman"/>
      <w:kern w:val="2"/>
      <w:sz w:val="32"/>
      <w:szCs w:val="20"/>
      <w:lang w:val="en-US" w:eastAsia="zh-CN"/>
    </w:rPr>
  </w:style>
  <w:style w:type="paragraph" w:styleId="12">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3">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customStyle="1" w:styleId="15">
    <w:name w:val=" Char"/>
    <w:basedOn w:val="1"/>
    <w:link w:val="14"/>
    <w:qFormat/>
    <w:uiPriority w:val="0"/>
  </w:style>
  <w:style w:type="character" w:styleId="16">
    <w:name w:val="Strong"/>
    <w:basedOn w:val="14"/>
    <w:qFormat/>
    <w:uiPriority w:val="0"/>
    <w:rPr>
      <w:b/>
      <w:bCs/>
    </w:rPr>
  </w:style>
  <w:style w:type="character" w:styleId="17">
    <w:name w:val="page number"/>
    <w:basedOn w:val="14"/>
    <w:qFormat/>
    <w:uiPriority w:val="0"/>
  </w:style>
  <w:style w:type="paragraph" w:customStyle="1" w:styleId="19">
    <w:name w:val=" Char Char Char Char Char Char Char Char Char1 Char Char Char Char"/>
    <w:basedOn w:val="20"/>
    <w:qFormat/>
    <w:uiPriority w:val="0"/>
  </w:style>
  <w:style w:type="paragraph" w:customStyle="1" w:styleId="20">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
    <w:name w:val="Default"/>
    <w:qFormat/>
    <w:uiPriority w:val="0"/>
    <w:pPr>
      <w:widowControl w:val="0"/>
      <w:autoSpaceDE w:val="0"/>
      <w:autoSpaceDN w:val="0"/>
      <w:adjustRightInd w:val="0"/>
      <w:spacing w:after="160" w:line="259" w:lineRule="auto"/>
    </w:pPr>
    <w:rPr>
      <w:rFonts w:hint="eastAsia" w:ascii="方正仿宋_GBK" w:hAnsi="方正仿宋_GBK" w:eastAsia="方正仿宋_GBK" w:cs="Times New Roman"/>
      <w:color w:val="000000"/>
      <w:sz w:val="24"/>
      <w:szCs w:val="22"/>
      <w:lang w:val="en-US" w:eastAsia="zh-CN" w:bidi="ar-SA"/>
    </w:rPr>
  </w:style>
  <w:style w:type="paragraph" w:customStyle="1" w:styleId="22">
    <w:name w:val="正文 New New New New New New New New New New New New New New New New New New"/>
    <w:basedOn w:val="1"/>
    <w:qFormat/>
    <w:uiPriority w:val="0"/>
    <w:pPr>
      <w:widowControl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rPr>
  </w:style>
  <w:style w:type="paragraph" w:customStyle="1" w:styleId="23">
    <w:name w:val="正文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4">
    <w:name w:val="正文 New New New New New New New"/>
    <w:basedOn w:val="1"/>
    <w:qFormat/>
    <w:uiPriority w:val="0"/>
    <w:pPr>
      <w:widowControl w:val="0"/>
      <w:spacing w:before="0" w:beforeAutospacing="0" w:after="0" w:afterAutospacing="0"/>
      <w:ind w:left="0" w:right="0"/>
      <w:jc w:val="both"/>
    </w:pPr>
    <w:rPr>
      <w:rFonts w:hint="eastAsia" w:ascii="仿宋_GB2312" w:hAnsi="Tahoma" w:eastAsia="仿宋_GB2312" w:cs="Times New Roman"/>
      <w:kern w:val="2"/>
      <w:sz w:val="21"/>
      <w:szCs w:val="22"/>
      <w:lang w:val="en-US" w:eastAsia="zh-CN"/>
    </w:rPr>
  </w:style>
  <w:style w:type="paragraph" w:customStyle="1" w:styleId="25">
    <w:name w:val="p0"/>
    <w:basedOn w:val="1"/>
    <w:qFormat/>
    <w:uiPriority w:val="0"/>
    <w:pPr>
      <w:widowControl/>
    </w:pPr>
    <w:rPr>
      <w:rFonts w:hint="eastAsia" w:ascii="宋体" w:hAnsi="宋体"/>
      <w:sz w:val="32"/>
    </w:rPr>
  </w:style>
  <w:style w:type="paragraph" w:customStyle="1" w:styleId="26">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7">
    <w:name w:val="p1"/>
    <w:basedOn w:val="1"/>
    <w:qFormat/>
    <w:uiPriority w:val="99"/>
    <w:pPr>
      <w:widowControl/>
      <w:jc w:val="center"/>
    </w:pPr>
    <w:rPr>
      <w:rFonts w:ascii=".PingFang SC" w:hAnsi=".PingFang SC" w:eastAsia=".PingFang SC"/>
      <w:color w:val="454545"/>
      <w:kern w:val="0"/>
      <w:sz w:val="18"/>
      <w:szCs w:val="18"/>
    </w:rPr>
  </w:style>
  <w:style w:type="paragraph" w:customStyle="1" w:styleId="28">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9">
    <w:name w:val="正文 A"/>
    <w:qFormat/>
    <w:uiPriority w:val="0"/>
    <w:pPr>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0">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31">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2">
    <w:name w:val="p15"/>
    <w:basedOn w:val="33"/>
    <w:qFormat/>
    <w:uiPriority w:val="3"/>
    <w:pPr>
      <w:widowControl/>
      <w:ind w:firstLine="420"/>
    </w:pPr>
    <w:rPr>
      <w:rFonts w:ascii="仿宋_GB2312" w:hAnsi="仿宋_GB2312" w:eastAsia="仿宋_GB2312" w:cs="仿宋_GB2312"/>
      <w:kern w:val="0"/>
      <w:sz w:val="32"/>
      <w:szCs w:val="32"/>
    </w:rPr>
  </w:style>
  <w:style w:type="paragraph" w:customStyle="1" w:styleId="33">
    <w:name w:val="正文 New New New New New New New New New New New New New New New New New New New New New New New New New New New New New New New New"/>
    <w:qFormat/>
    <w:uiPriority w:val="2"/>
    <w:pPr>
      <w:widowControl w:val="0"/>
      <w:jc w:val="both"/>
    </w:pPr>
    <w:rPr>
      <w:rFonts w:ascii="Calibri" w:hAnsi="Calibri" w:eastAsia="宋体" w:cs="Times New Roman"/>
      <w:color w:val="000000"/>
      <w:kern w:val="1"/>
      <w:sz w:val="21"/>
      <w:szCs w:val="22"/>
      <w:lang w:val="en-US" w:eastAsia="zh-CN" w:bidi="ar-SA"/>
    </w:rPr>
  </w:style>
  <w:style w:type="paragraph" w:customStyle="1" w:styleId="34">
    <w:name w:val="p16"/>
    <w:basedOn w:val="1"/>
    <w:qFormat/>
    <w:uiPriority w:val="0"/>
    <w:pPr>
      <w:widowControl/>
      <w:ind w:firstLine="640"/>
    </w:pPr>
    <w:rPr>
      <w:rFonts w:ascii="仿宋_GB2312" w:hAnsi="宋体" w:eastAsia="仿宋_GB2312" w:cs="宋体"/>
      <w:kern w:val="0"/>
      <w:sz w:val="32"/>
      <w:szCs w:val="32"/>
    </w:rPr>
  </w:style>
  <w:style w:type="paragraph" w:customStyle="1" w:styleId="35">
    <w:name w:val="p20"/>
    <w:basedOn w:val="1"/>
    <w:qFormat/>
    <w:uiPriority w:val="0"/>
    <w:pPr>
      <w:widowControl/>
      <w:jc w:val="left"/>
    </w:pPr>
    <w:rPr>
      <w:kern w:val="0"/>
      <w:sz w:val="24"/>
      <w:szCs w:val="24"/>
    </w:rPr>
  </w:style>
  <w:style w:type="paragraph" w:customStyle="1" w:styleId="36">
    <w:name w:val="p18"/>
    <w:basedOn w:val="1"/>
    <w:qFormat/>
    <w:uiPriority w:val="0"/>
    <w:pPr>
      <w:widowControl/>
    </w:pPr>
    <w:rPr>
      <w:rFonts w:ascii="宋体" w:hAnsi="宋体" w:cs="宋体"/>
      <w:kern w:val="0"/>
      <w:szCs w:val="21"/>
    </w:rPr>
  </w:style>
  <w:style w:type="paragraph" w:customStyle="1" w:styleId="37">
    <w:name w:val=" 正文"/>
    <w:qFormat/>
    <w:uiPriority w:val="0"/>
    <w:pPr>
      <w:spacing w:line="555" w:lineRule="atLeast"/>
      <w:ind w:firstLine="623"/>
      <w:jc w:val="both"/>
      <w:textAlignment w:val="baseline"/>
    </w:pPr>
    <w:rPr>
      <w:rFonts w:ascii="Calibri" w:hAnsi="Calibri" w:eastAsia="仿宋_GB2312" w:cs="Times New Roman"/>
      <w:color w:val="000000"/>
      <w:sz w:val="31"/>
      <w:szCs w:val="22"/>
      <w:u w:val="none" w:color="000000"/>
      <w:lang w:val="en-US" w:eastAsia="zh-CN" w:bidi="ar-SA"/>
    </w:rPr>
  </w:style>
  <w:style w:type="paragraph" w:customStyle="1" w:styleId="38">
    <w:name w:val="Body Text Indent"/>
    <w:basedOn w:val="1"/>
    <w:qFormat/>
    <w:uiPriority w:val="0"/>
    <w:pPr>
      <w:spacing w:after="120" w:afterLines="0" w:afterAutospacing="0"/>
      <w:ind w:left="420" w:leftChars="0"/>
    </w:pPr>
    <w:rPr>
      <w:rFonts w:ascii="Times New Roman" w:hAnsi="Times New Roman" w:eastAsia="宋体" w:cs="Times New Roman"/>
      <w:sz w:val="21"/>
    </w:rPr>
  </w:style>
  <w:style w:type="paragraph" w:customStyle="1" w:styleId="39">
    <w:name w:val="Normal (Web)"/>
    <w:basedOn w:val="1"/>
    <w:qFormat/>
    <w:uiPriority w:val="0"/>
    <w:pPr>
      <w:widowControl w:val="0"/>
      <w:spacing w:before="0" w:beforeLines="0" w:beforeAutospacing="0" w:after="0" w:afterLines="0" w:afterAutospacing="0"/>
      <w:jc w:val="left"/>
    </w:pPr>
    <w:rPr>
      <w:rFonts w:hint="eastAsia" w:ascii="Times New Roman" w:hAnsi="Times New Roman" w:eastAsia="宋体" w:cs="Times New Roman"/>
      <w:kern w:val="0"/>
      <w:sz w:val="24"/>
      <w:szCs w:val="24"/>
      <w:lang w:val="en-US" w:eastAsia="zh-CN"/>
    </w:rPr>
  </w:style>
  <w:style w:type="character" w:customStyle="1" w:styleId="40">
    <w:name w:val="15"/>
    <w:qFormat/>
    <w:uiPriority w:val="0"/>
    <w:rPr>
      <w:rFonts w:hint="default" w:ascii="Times New Roman" w:hAnsi="Times New Roman" w:cs="Times New Roman"/>
      <w:b/>
      <w:bCs/>
      <w:sz w:val="20"/>
      <w:szCs w:val="20"/>
    </w:rPr>
  </w:style>
  <w:style w:type="character" w:customStyle="1" w:styleId="41">
    <w:name w:val="form-textarea-print1"/>
    <w:basedOn w:val="14"/>
    <w:qFormat/>
    <w:uiPriority w:val="0"/>
    <w:rPr>
      <w:sz w:val="14"/>
      <w:szCs w:val="14"/>
    </w:rPr>
  </w:style>
  <w:style w:type="character" w:customStyle="1" w:styleId="42">
    <w:name w:val="bjh-p"/>
    <w:unhideWhenUsed/>
    <w:qFormat/>
    <w:uiPriority w:val="0"/>
    <w:rPr>
      <w:rFonts w:hint="default"/>
      <w:sz w:val="24"/>
    </w:rPr>
  </w:style>
  <w:style w:type="character" w:customStyle="1" w:styleId="43">
    <w:name w:val="page number"/>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2</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2019-04-11T07:40:00Z</dcterms:created>
  <dc:creator>谢浩然</dc:creator>
  <cp:lastModifiedBy>黎耀兰</cp:lastModifiedBy>
  <cp:lastPrinted>2021-10-18T06:53:00Z</cp:lastPrinted>
  <dcterms:modified xsi:type="dcterms:W3CDTF">2021-10-20T03:13:48Z</dcterms:modified>
  <dc:title>广东省人大常委会文件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