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auto"/>
          <w:sz w:val="44"/>
          <w:szCs w:val="44"/>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color w:val="auto"/>
          <w:sz w:val="44"/>
          <w:szCs w:val="44"/>
        </w:rPr>
      </w:pPr>
      <w:r>
        <w:rPr>
          <w:rFonts w:hint="eastAsia" w:ascii="宋体" w:hAnsi="宋体" w:eastAsia="宋体" w:cs="宋体"/>
          <w:color w:val="auto"/>
          <w:sz w:val="44"/>
          <w:szCs w:val="44"/>
        </w:rPr>
        <w:t>广东省</w:t>
      </w:r>
      <w:r>
        <w:rPr>
          <w:rFonts w:hint="eastAsia" w:ascii="宋体" w:hAnsi="宋体" w:eastAsia="宋体" w:cs="宋体"/>
          <w:color w:val="auto"/>
          <w:sz w:val="44"/>
          <w:szCs w:val="44"/>
          <w:lang w:val="en-US" w:eastAsia="zh-CN"/>
        </w:rPr>
        <w:t>平安建设</w:t>
      </w:r>
      <w:r>
        <w:rPr>
          <w:rFonts w:hint="eastAsia" w:ascii="宋体" w:hAnsi="宋体" w:eastAsia="宋体" w:cs="宋体"/>
          <w:color w:val="auto"/>
          <w:sz w:val="44"/>
          <w:szCs w:val="44"/>
        </w:rPr>
        <w:t>条例</w:t>
      </w:r>
    </w:p>
    <w:p>
      <w:pPr>
        <w:keepNext w:val="0"/>
        <w:keepLines w:val="0"/>
        <w:pageBreakBefore w:val="0"/>
        <w:widowControl w:val="0"/>
        <w:kinsoku/>
        <w:wordWrap/>
        <w:overflowPunct/>
        <w:topLinePunct w:val="0"/>
        <w:autoSpaceDE/>
        <w:autoSpaceDN/>
        <w:bidi w:val="0"/>
        <w:spacing w:line="590" w:lineRule="exact"/>
        <w:ind w:firstLine="632" w:firstLineChars="200"/>
        <w:jc w:val="both"/>
        <w:textAlignment w:val="auto"/>
        <w:outlineLvl w:val="1"/>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w:t>
      </w:r>
      <w:r>
        <w:rPr>
          <w:rFonts w:hint="eastAsia" w:ascii="宋体" w:hAnsi="宋体" w:eastAsia="楷体_GB2312" w:cs="楷体_GB2312"/>
          <w:color w:val="000000"/>
          <w:sz w:val="32"/>
          <w:szCs w:val="32"/>
          <w:lang w:val="en-US" w:eastAsia="zh-CN"/>
        </w:rPr>
        <w:t>21</w:t>
      </w:r>
      <w:r>
        <w:rPr>
          <w:rFonts w:hint="eastAsia" w:ascii="宋体" w:hAnsi="宋体" w:eastAsia="楷体_GB2312" w:cs="楷体_GB2312"/>
          <w:color w:val="000000"/>
          <w:sz w:val="32"/>
          <w:szCs w:val="32"/>
        </w:rPr>
        <w:t>年</w:t>
      </w:r>
      <w:r>
        <w:rPr>
          <w:rFonts w:hint="eastAsia" w:ascii="宋体" w:hAnsi="宋体" w:eastAsia="楷体_GB2312" w:cs="楷体_GB2312"/>
          <w:color w:val="000000"/>
          <w:sz w:val="32"/>
          <w:szCs w:val="32"/>
          <w:lang w:val="en-US" w:eastAsia="zh-CN"/>
        </w:rPr>
        <w:t>12</w:t>
      </w:r>
      <w:r>
        <w:rPr>
          <w:rFonts w:hint="eastAsia" w:ascii="宋体" w:hAnsi="宋体" w:eastAsia="楷体_GB2312" w:cs="楷体_GB2312"/>
          <w:color w:val="000000"/>
          <w:sz w:val="32"/>
          <w:szCs w:val="32"/>
        </w:rPr>
        <w:t>月</w:t>
      </w:r>
      <w:r>
        <w:rPr>
          <w:rFonts w:hint="eastAsia" w:ascii="宋体" w:hAnsi="宋体" w:eastAsia="楷体_GB2312" w:cs="楷体_GB2312"/>
          <w:color w:val="000000"/>
          <w:sz w:val="32"/>
          <w:szCs w:val="32"/>
          <w:lang w:val="en-US" w:eastAsia="zh-CN"/>
        </w:rPr>
        <w:t>1</w:t>
      </w:r>
      <w:r>
        <w:rPr>
          <w:rFonts w:hint="eastAsia" w:ascii="宋体" w:hAnsi="宋体" w:eastAsia="楷体_GB2312" w:cs="楷体_GB2312"/>
          <w:color w:val="000000"/>
          <w:sz w:val="32"/>
          <w:szCs w:val="32"/>
        </w:rPr>
        <w:t>日广东省第十</w:t>
      </w:r>
      <w:r>
        <w:rPr>
          <w:rFonts w:hint="eastAsia" w:ascii="宋体" w:hAnsi="宋体" w:eastAsia="楷体_GB2312" w:cs="楷体_GB2312"/>
          <w:color w:val="000000"/>
          <w:sz w:val="32"/>
          <w:szCs w:val="32"/>
          <w:lang w:eastAsia="zh-CN"/>
        </w:rPr>
        <w:t>三</w:t>
      </w:r>
      <w:r>
        <w:rPr>
          <w:rFonts w:hint="eastAsia" w:ascii="宋体" w:hAnsi="宋体" w:eastAsia="楷体_GB2312" w:cs="楷体_GB2312"/>
          <w:color w:val="000000"/>
          <w:sz w:val="32"/>
          <w:szCs w:val="32"/>
        </w:rPr>
        <w:t>届人民代表大会常务委员会第</w:t>
      </w:r>
      <w:r>
        <w:rPr>
          <w:rFonts w:hint="eastAsia" w:ascii="宋体" w:hAnsi="宋体" w:eastAsia="楷体_GB2312" w:cs="楷体_GB2312"/>
          <w:color w:val="000000"/>
          <w:sz w:val="32"/>
          <w:szCs w:val="32"/>
          <w:lang w:eastAsia="zh-CN"/>
        </w:rPr>
        <w:t>三十七</w:t>
      </w:r>
      <w:r>
        <w:rPr>
          <w:rFonts w:hint="eastAsia" w:ascii="宋体" w:hAnsi="宋体" w:eastAsia="楷体_GB2312" w:cs="楷体_GB2312"/>
          <w:color w:val="000000"/>
          <w:sz w:val="32"/>
          <w:szCs w:val="32"/>
        </w:rPr>
        <w:t>次会议通过）</w:t>
      </w:r>
    </w:p>
    <w:p>
      <w:pPr>
        <w:keepNext w:val="0"/>
        <w:keepLines w:val="0"/>
        <w:pageBreakBefore w:val="0"/>
        <w:widowControl w:val="0"/>
        <w:kinsoku/>
        <w:wordWrap/>
        <w:overflowPunct/>
        <w:topLinePunct w:val="0"/>
        <w:autoSpaceDE/>
        <w:autoSpaceDN/>
        <w:bidi w:val="0"/>
        <w:adjustRightInd w:val="0"/>
        <w:spacing w:line="590" w:lineRule="exact"/>
        <w:ind w:left="0" w:leftChars="0" w:right="0" w:rightChars="0" w:firstLine="2" w:firstLineChars="0"/>
        <w:jc w:val="both"/>
        <w:textAlignment w:val="auto"/>
        <w:outlineLvl w:val="9"/>
        <w:rPr>
          <w:rFonts w:hint="eastAsia" w:ascii="宋体" w:hAnsi="宋体" w:eastAsia="楷体_GB2312" w:cs="楷体_GB2312"/>
          <w:color w:val="000000"/>
          <w:sz w:val="32"/>
          <w:szCs w:val="32"/>
        </w:rPr>
      </w:pPr>
    </w:p>
    <w:p>
      <w:pPr>
        <w:keepNext w:val="0"/>
        <w:keepLines w:val="0"/>
        <w:pageBreakBefore w:val="0"/>
        <w:widowControl w:val="0"/>
        <w:kinsoku/>
        <w:wordWrap/>
        <w:overflowPunct/>
        <w:topLinePunct w:val="0"/>
        <w:autoSpaceDN/>
        <w:bidi w:val="0"/>
        <w:spacing w:line="590" w:lineRule="exact"/>
        <w:ind w:left="0" w:leftChars="0" w:right="0" w:rightChars="0"/>
        <w:jc w:val="center"/>
        <w:textAlignment w:val="auto"/>
        <w:rPr>
          <w:rFonts w:hint="eastAsia" w:ascii="宋体" w:hAnsi="宋体" w:eastAsia="楷体_GB2312" w:cs="楷体_GB2312"/>
          <w:color w:val="auto"/>
          <w:szCs w:val="32"/>
          <w:shd w:val="clear" w:color="auto" w:fill="FFFFFF"/>
          <w:lang w:eastAsia="zh-CN"/>
        </w:rPr>
      </w:pPr>
      <w:r>
        <w:rPr>
          <w:rFonts w:hint="eastAsia" w:ascii="宋体" w:hAnsi="宋体" w:eastAsia="楷体_GB2312" w:cs="楷体_GB2312"/>
          <w:color w:val="auto"/>
          <w:szCs w:val="32"/>
          <w:shd w:val="clear" w:color="auto" w:fill="FFFFFF"/>
          <w:lang w:eastAsia="zh-CN"/>
        </w:rPr>
        <w:t>目</w:t>
      </w:r>
      <w:r>
        <w:rPr>
          <w:rFonts w:hint="eastAsia" w:ascii="宋体" w:hAnsi="宋体" w:eastAsia="楷体_GB2312" w:cs="楷体_GB2312"/>
          <w:color w:val="auto"/>
          <w:szCs w:val="32"/>
          <w:shd w:val="clear" w:color="auto" w:fill="FFFFFF"/>
          <w:lang w:val="en-US" w:eastAsia="zh-CN"/>
        </w:rPr>
        <w:t xml:space="preserve">    </w:t>
      </w:r>
      <w:r>
        <w:rPr>
          <w:rFonts w:hint="eastAsia" w:ascii="宋体" w:hAnsi="宋体" w:eastAsia="楷体_GB2312" w:cs="楷体_GB2312"/>
          <w:color w:val="auto"/>
          <w:szCs w:val="32"/>
          <w:shd w:val="clear" w:color="auto" w:fill="FFFFFF"/>
          <w:lang w:eastAsia="zh-CN"/>
        </w:rPr>
        <w:t>录</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第一章  总  则</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第二章  基础建设</w:t>
      </w:r>
    </w:p>
    <w:p>
      <w:pPr>
        <w:keepNext w:val="0"/>
        <w:keepLines w:val="0"/>
        <w:pageBreakBefore w:val="0"/>
        <w:widowControl w:val="0"/>
        <w:numPr>
          <w:ilvl w:val="0"/>
          <w:numId w:val="0"/>
        </w:numPr>
        <w:kinsoku/>
        <w:topLinePunct w:val="0"/>
        <w:autoSpaceDN/>
        <w:bidi w:val="0"/>
        <w:spacing w:line="590" w:lineRule="exact"/>
        <w:ind w:firstLine="632" w:firstLineChars="200"/>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第三章  社会风险防控</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第四章  重点防治</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第五章  社会矛盾纠纷化解</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第六章  社会参与</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第七章  监督与责任</w:t>
      </w:r>
    </w:p>
    <w:p>
      <w:pPr>
        <w:keepNext w:val="0"/>
        <w:keepLines w:val="0"/>
        <w:pageBreakBefore w:val="0"/>
        <w:widowControl w:val="0"/>
        <w:numPr>
          <w:ilvl w:val="0"/>
          <w:numId w:val="0"/>
        </w:numPr>
        <w:kinsoku/>
        <w:topLinePunct w:val="0"/>
        <w:autoSpaceDN/>
        <w:bidi w:val="0"/>
        <w:spacing w:line="590" w:lineRule="exact"/>
        <w:ind w:firstLine="632" w:firstLineChars="200"/>
        <w:jc w:val="both"/>
        <w:outlineLvl w:val="9"/>
        <w:rPr>
          <w:rFonts w:hint="eastAsia" w:ascii="宋体" w:hAnsi="宋体" w:eastAsia="楷体_GB2312" w:cs="楷体_GB2312"/>
          <w:color w:val="auto"/>
          <w:szCs w:val="32"/>
          <w:shd w:val="clear" w:color="auto" w:fill="FFFFFF"/>
        </w:rPr>
      </w:pPr>
      <w:r>
        <w:rPr>
          <w:rFonts w:hint="eastAsia" w:ascii="宋体" w:hAnsi="宋体" w:eastAsia="楷体_GB2312" w:cs="楷体_GB2312"/>
          <w:color w:val="auto"/>
          <w:szCs w:val="32"/>
          <w:shd w:val="clear" w:color="auto" w:fill="FFFFFF"/>
        </w:rPr>
        <w:t>第八章  附  则</w:t>
      </w:r>
    </w:p>
    <w:p>
      <w:pPr>
        <w:pStyle w:val="32"/>
        <w:keepNext w:val="0"/>
        <w:keepLines w:val="0"/>
        <w:pageBreakBefore w:val="0"/>
        <w:widowControl w:val="0"/>
        <w:kinsoku/>
        <w:overflowPunct/>
        <w:topLinePunct w:val="0"/>
        <w:autoSpaceDN/>
        <w:bidi w:val="0"/>
        <w:spacing w:line="590" w:lineRule="exact"/>
        <w:rPr>
          <w:rFonts w:hint="eastAsia" w:ascii="宋体" w:hAnsi="宋体" w:eastAsia="仿宋_GB2312" w:cs="仿宋_GB2312"/>
          <w:color w:val="auto"/>
          <w:sz w:val="32"/>
          <w:szCs w:val="32"/>
          <w:lang w:eastAsia="zh-CN"/>
        </w:rPr>
      </w:pPr>
    </w:p>
    <w:p>
      <w:pPr>
        <w:keepNext w:val="0"/>
        <w:keepLines w:val="0"/>
        <w:pageBreakBefore w:val="0"/>
        <w:widowControl w:val="0"/>
        <w:kinsoku/>
        <w:wordWrap/>
        <w:overflowPunct w:val="0"/>
        <w:topLinePunct w:val="0"/>
        <w:autoSpaceDE/>
        <w:autoSpaceDN/>
        <w:bidi w:val="0"/>
        <w:snapToGrid w:val="0"/>
        <w:spacing w:line="590" w:lineRule="exact"/>
        <w:ind w:left="0" w:leftChars="0" w:right="0" w:rightChars="0"/>
        <w:jc w:val="center"/>
        <w:outlineLvl w:val="9"/>
        <w:rPr>
          <w:rFonts w:hint="eastAsia" w:ascii="宋体" w:hAnsi="宋体" w:eastAsia="黑体" w:cs="黑体"/>
          <w:bCs/>
          <w:sz w:val="32"/>
          <w:szCs w:val="32"/>
          <w:lang w:val="en-US" w:eastAsia="zh-CN"/>
        </w:rPr>
      </w:pPr>
      <w:r>
        <w:rPr>
          <w:rFonts w:hint="eastAsia" w:ascii="宋体" w:hAnsi="宋体" w:eastAsia="黑体" w:cs="黑体"/>
          <w:bCs/>
          <w:sz w:val="32"/>
          <w:szCs w:val="32"/>
        </w:rPr>
        <w:t>第一章  总  则</w:t>
      </w:r>
    </w:p>
    <w:p>
      <w:pPr>
        <w:keepNext w:val="0"/>
        <w:keepLines w:val="0"/>
        <w:pageBreakBefore w:val="0"/>
        <w:widowControl w:val="0"/>
        <w:suppressLineNumbers w:val="0"/>
        <w:kinsoku/>
        <w:overflowPunct w:val="0"/>
        <w:topLinePunct w:val="0"/>
        <w:autoSpaceDE w:val="0"/>
        <w:autoSpaceDN/>
        <w:bidi w:val="0"/>
        <w:adjustRightInd w:val="0"/>
        <w:spacing w:beforeAutospacing="0" w:afterAutospacing="0" w:line="590" w:lineRule="exact"/>
        <w:ind w:left="0" w:leftChars="0" w:right="0"/>
        <w:jc w:val="center"/>
        <w:rPr>
          <w:rFonts w:hint="default" w:ascii="宋体" w:hAnsi="宋体" w:eastAsia="黑体" w:cs="黑体"/>
          <w:kern w:val="2"/>
          <w:sz w:val="32"/>
          <w:szCs w:val="32"/>
        </w:rPr>
      </w:pPr>
      <w:r>
        <w:rPr>
          <w:rFonts w:hint="default" w:ascii="宋体" w:hAnsi="宋体" w:eastAsia="黑体" w:cs="黑体"/>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第一条</w:t>
      </w:r>
      <w:r>
        <w:rPr>
          <w:rFonts w:hint="eastAsia" w:ascii="宋体" w:hAnsi="宋体" w:eastAsia="仿宋_GB2312" w:cs="仿宋_GB2312"/>
          <w:color w:val="000000"/>
          <w:kern w:val="2"/>
          <w:sz w:val="32"/>
          <w:szCs w:val="32"/>
          <w:lang w:val="en-US" w:eastAsia="zh-CN" w:bidi="ar"/>
        </w:rPr>
        <w:t xml:space="preserve">  为了提高社会治理现代化水平，营造共建共治共享的社会治理格局，推进平安广东建设，根据有关法律、行政法规，结合本省实际，制定本条例。</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第二条</w:t>
      </w:r>
      <w:r>
        <w:rPr>
          <w:rFonts w:hint="eastAsia" w:ascii="宋体" w:hAnsi="宋体" w:eastAsia="仿宋_GB2312" w:cs="仿宋_GB2312"/>
          <w:color w:val="000000"/>
          <w:kern w:val="2"/>
          <w:sz w:val="32"/>
          <w:szCs w:val="32"/>
          <w:lang w:val="en-US" w:eastAsia="zh-CN" w:bidi="ar"/>
        </w:rPr>
        <w:t xml:space="preserve">  本条例适用于本省行政区域内平安建设及其监督管理活动。</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i w:val="0"/>
          <w:color w:val="000000"/>
          <w:kern w:val="2"/>
          <w:sz w:val="32"/>
          <w:szCs w:val="32"/>
        </w:rPr>
      </w:pPr>
      <w:r>
        <w:rPr>
          <w:rFonts w:hint="default" w:ascii="宋体" w:hAnsi="宋体" w:eastAsia="黑体" w:cs="黑体"/>
          <w:kern w:val="2"/>
          <w:sz w:val="32"/>
          <w:szCs w:val="32"/>
          <w:lang w:val="en-US" w:eastAsia="zh-CN" w:bidi="ar"/>
        </w:rPr>
        <w:t>第三条</w:t>
      </w:r>
      <w:r>
        <w:rPr>
          <w:rFonts w:hint="eastAsia" w:ascii="宋体" w:hAnsi="宋体" w:eastAsia="仿宋_GB2312" w:cs="仿宋_GB2312"/>
          <w:i w:val="0"/>
          <w:color w:val="000000"/>
          <w:kern w:val="2"/>
          <w:sz w:val="32"/>
          <w:szCs w:val="32"/>
          <w:lang w:val="en-US" w:eastAsia="zh-CN" w:bidi="ar"/>
        </w:rPr>
        <w:t xml:space="preserve">  平安建设坚持中国共产党的领导，坚持以人民为中心，坚持统筹发展和安全，坚持共建共治共享，坚持系统治理、依法治理、综合治理、源头治理和专项治理相结合。</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第四条</w:t>
      </w:r>
      <w:r>
        <w:rPr>
          <w:rFonts w:hint="eastAsia" w:ascii="宋体" w:hAnsi="宋体" w:eastAsia="仿宋_GB2312" w:cs="仿宋_GB2312"/>
          <w:color w:val="000000"/>
          <w:kern w:val="2"/>
          <w:sz w:val="32"/>
          <w:szCs w:val="32"/>
          <w:lang w:val="en-US" w:eastAsia="zh-CN" w:bidi="ar"/>
        </w:rPr>
        <w:t xml:space="preserve">  平安建设的主要任务是：</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（一）维护国家政治安全；</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（二）防范化解社会风险和矛盾纠纷；</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color w:val="000000"/>
          <w:kern w:val="2"/>
          <w:sz w:val="32"/>
          <w:szCs w:val="32"/>
          <w:lang w:val="en-US" w:eastAsia="zh-CN" w:bidi="ar"/>
        </w:rPr>
        <w:t>（三）依法打击各类违法犯罪行为；</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（四）建立健全社会治安防控体系；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color w:val="000000"/>
          <w:kern w:val="2"/>
          <w:sz w:val="32"/>
          <w:szCs w:val="32"/>
          <w:lang w:val="en-US" w:eastAsia="zh-CN" w:bidi="ar"/>
        </w:rPr>
        <w:t>（五）加强安全生产和应急管理工作；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（六）健全实有人口服务管理机制；</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（七）完善基层社会治理机制；</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（八）国家和省规定的其他平安建设任务。</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第五条</w:t>
      </w:r>
      <w:r>
        <w:rPr>
          <w:rFonts w:hint="eastAsia" w:ascii="宋体" w:hAnsi="宋体" w:eastAsia="仿宋_GB2312" w:cs="仿宋_GB2312"/>
          <w:color w:val="000000"/>
          <w:kern w:val="2"/>
          <w:sz w:val="32"/>
          <w:szCs w:val="32"/>
          <w:lang w:val="en-US" w:eastAsia="zh-CN" w:bidi="ar"/>
        </w:rPr>
        <w:t xml:space="preserve">  平安建设组织协调机构在同级党委领导下负责统一部署、组织协调、指导监督辖区内的平安建设工作。</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平安建设组织协调机构应当根据平安建设工作需要，确定本辖区内相关单位作为平安建设的成员单位，并实行动态调整。各成员单位应当依照法定职责，按照平安建设权责清单开展工作，落实平安建设工作责任制和领导责任制。</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第六条</w:t>
      </w:r>
      <w:r>
        <w:rPr>
          <w:rFonts w:hint="eastAsia" w:ascii="宋体" w:hAnsi="宋体" w:eastAsia="仿宋_GB2312" w:cs="仿宋_GB2312"/>
          <w:color w:val="000000"/>
          <w:kern w:val="2"/>
          <w:sz w:val="32"/>
          <w:szCs w:val="32"/>
          <w:lang w:val="en-US" w:eastAsia="zh-CN" w:bidi="ar"/>
        </w:rPr>
        <w:t xml:space="preserve">  县级以上人民政府应当将平安建设纳入国民经济和社会发展规划与年度计划，履行平安建设相关职责，并将平安建设工作经费列入本级财政预算。</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color w:val="000000"/>
          <w:kern w:val="2"/>
          <w:sz w:val="32"/>
          <w:szCs w:val="32"/>
          <w:lang w:val="en-US" w:eastAsia="zh-CN" w:bidi="ar"/>
        </w:rPr>
        <w:t>乡镇人民政府、街道办事处具体负责本行政区域内平安建设工作，组织开展群防群治、基层平安创建等工作。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第七条</w:t>
      </w:r>
      <w:r>
        <w:rPr>
          <w:rFonts w:hint="eastAsia" w:ascii="宋体" w:hAnsi="宋体" w:eastAsia="仿宋_GB2312" w:cs="仿宋_GB2312"/>
          <w:b w:val="0"/>
          <w:color w:val="000000"/>
          <w:kern w:val="2"/>
          <w:sz w:val="32"/>
          <w:szCs w:val="32"/>
          <w:lang w:val="en-US" w:eastAsia="zh-CN" w:bidi="ar"/>
        </w:rPr>
        <w:t xml:space="preserve"> </w:t>
      </w:r>
      <w:r>
        <w:rPr>
          <w:rFonts w:hint="eastAsia" w:ascii="宋体" w:hAnsi="宋体" w:eastAsia="仿宋_GB2312" w:cs="仿宋_GB2312"/>
          <w:color w:val="000000"/>
          <w:kern w:val="2"/>
          <w:sz w:val="32"/>
          <w:szCs w:val="32"/>
          <w:lang w:val="en-US" w:eastAsia="zh-CN" w:bidi="ar"/>
        </w:rPr>
        <w:t xml:space="preserve"> 社会治安综合治理中心应当整合社会治理资源，创新社会治理方式，健全调度、分办、协同工作机制，协调推动违法犯罪排查防控、矛盾纠纷排查化解、社会安全隐患排查处置等工作，组织做好平安建设宣传活动，加强对辖区内各地区、各部门社会治安综合治理工作的督导检查。</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各级人民政府和平安建设组织协调机构应当加强社会治安综合治理中心标准化、实体化建设，配备必要的办公场所和人员。</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i/>
          <w:kern w:val="2"/>
          <w:sz w:val="32"/>
          <w:szCs w:val="32"/>
          <w:u w:val="single"/>
        </w:rPr>
      </w:pP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2"/>
        <w:rPr>
          <w:rFonts w:hint="default" w:ascii="宋体" w:hAnsi="宋体" w:eastAsia="黑体" w:cs="黑体"/>
          <w:color w:val="000000"/>
          <w:kern w:val="2"/>
          <w:sz w:val="32"/>
          <w:szCs w:val="32"/>
        </w:rPr>
      </w:pPr>
      <w:r>
        <w:rPr>
          <w:rFonts w:hint="default" w:ascii="宋体" w:hAnsi="宋体" w:eastAsia="黑体" w:cs="黑体"/>
          <w:color w:val="000000"/>
          <w:kern w:val="2"/>
          <w:sz w:val="32"/>
          <w:szCs w:val="32"/>
          <w:lang w:val="en-US" w:eastAsia="zh-CN" w:bidi="ar"/>
        </w:rPr>
        <w:t>第二章</w:t>
      </w:r>
      <w:r>
        <w:rPr>
          <w:rFonts w:hint="default" w:ascii="宋体" w:hAnsi="宋体" w:eastAsia="黑体" w:cs="黑体"/>
          <w:kern w:val="2"/>
          <w:sz w:val="32"/>
          <w:szCs w:val="32"/>
          <w:lang w:val="en-US" w:eastAsia="zh-CN" w:bidi="ar"/>
        </w:rPr>
        <w:t xml:space="preserve">  </w:t>
      </w:r>
      <w:r>
        <w:rPr>
          <w:rFonts w:hint="default" w:ascii="宋体" w:hAnsi="宋体" w:eastAsia="黑体" w:cs="黑体"/>
          <w:color w:val="000000"/>
          <w:kern w:val="2"/>
          <w:sz w:val="32"/>
          <w:szCs w:val="32"/>
          <w:lang w:val="en-US" w:eastAsia="zh-CN" w:bidi="ar"/>
        </w:rPr>
        <w:t>基础建设</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第八条</w:t>
      </w:r>
      <w:r>
        <w:rPr>
          <w:rFonts w:hint="eastAsia" w:ascii="宋体" w:hAnsi="宋体" w:eastAsia="仿宋_GB2312" w:cs="仿宋_GB2312"/>
          <w:color w:val="000000"/>
          <w:kern w:val="2"/>
          <w:sz w:val="32"/>
          <w:szCs w:val="32"/>
          <w:lang w:val="en-US" w:eastAsia="zh-CN" w:bidi="ar"/>
        </w:rPr>
        <w:t xml:space="preserve">  各级人民政府应当完善立体化、信息化社会治安防控体系，加强社会面治安防控网、重点行业治安防控网、乡镇（街道）和村（社区）治安防控网、机关和企业事业单位内部安全防控网以及信息网络防控网建设，健全社会治安防控运行机制。</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第九条</w:t>
      </w:r>
      <w:r>
        <w:rPr>
          <w:rFonts w:hint="eastAsia" w:ascii="宋体" w:hAnsi="宋体" w:eastAsia="仿宋_GB2312" w:cs="仿宋_GB2312"/>
          <w:color w:val="000000"/>
          <w:kern w:val="2"/>
          <w:sz w:val="32"/>
          <w:szCs w:val="32"/>
          <w:lang w:val="en-US" w:eastAsia="zh-CN" w:bidi="ar"/>
        </w:rPr>
        <w:t xml:space="preserve">  省平安建设组织协调机构应当制定平安广东智能化建设的总体规划，建立健全平安建设信息共享机制，推动公共安全视频资源联网应用，提升平安建设智能化、信息化水平。</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第十条</w:t>
      </w:r>
      <w:r>
        <w:rPr>
          <w:rFonts w:hint="eastAsia" w:ascii="宋体" w:hAnsi="宋体" w:eastAsia="仿宋_GB2312" w:cs="仿宋_GB2312"/>
          <w:color w:val="000000"/>
          <w:kern w:val="2"/>
          <w:sz w:val="32"/>
          <w:szCs w:val="32"/>
          <w:lang w:val="en-US" w:eastAsia="zh-CN" w:bidi="ar"/>
        </w:rPr>
        <w:t xml:space="preserve">  各级人民政府应当建立健全基层网格化服务管理机制，按照属地管理、标准统一、动态调整的原则科学划分网格，规范网格工作事项清单管理，加强网格员队伍建设，发挥网格化管理在基层平安建设工作中的基础性作用。</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第十一条</w:t>
      </w:r>
      <w:r>
        <w:rPr>
          <w:rFonts w:hint="eastAsia" w:ascii="宋体" w:hAnsi="宋体" w:eastAsia="仿宋_GB2312" w:cs="仿宋_GB2312"/>
          <w:color w:val="000000"/>
          <w:kern w:val="2"/>
          <w:sz w:val="32"/>
          <w:szCs w:val="32"/>
          <w:lang w:val="en-US" w:eastAsia="zh-CN" w:bidi="ar"/>
        </w:rPr>
        <w:t xml:space="preserve">  司法行政部门应当完善公共法律服务体系，加强公共法律服务平台建设，健全村（社区）法律顾问制度，鼓励法学专家、律师、公证员、人民调解员等法律工作者，以及高等学校法学专业学生，发挥专业优势开展法治宣传、提供公共法律服务。</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spacing w:val="0"/>
          <w:kern w:val="2"/>
          <w:sz w:val="32"/>
          <w:szCs w:val="32"/>
          <w:lang w:val="en-US" w:eastAsia="zh-CN" w:bidi="ar"/>
        </w:rPr>
        <w:t>第十二条</w:t>
      </w:r>
      <w:r>
        <w:rPr>
          <w:rFonts w:hint="eastAsia" w:ascii="宋体" w:hAnsi="宋体" w:eastAsia="仿宋_GB2312" w:cs="仿宋_GB2312"/>
          <w:color w:val="000000"/>
          <w:spacing w:val="0"/>
          <w:kern w:val="2"/>
          <w:sz w:val="32"/>
          <w:szCs w:val="32"/>
          <w:lang w:val="en-US" w:eastAsia="zh-CN" w:bidi="ar"/>
        </w:rPr>
        <w:t xml:space="preserve">  卫生健康部门应当会</w:t>
      </w:r>
      <w:r>
        <w:rPr>
          <w:rFonts w:hint="eastAsia" w:ascii="宋体" w:hAnsi="宋体" w:eastAsia="仿宋_GB2312" w:cs="仿宋_GB2312"/>
          <w:color w:val="000000"/>
          <w:kern w:val="2"/>
          <w:sz w:val="32"/>
          <w:szCs w:val="32"/>
          <w:lang w:val="en-US" w:eastAsia="zh-CN" w:bidi="ar"/>
        </w:rPr>
        <w:t>同公安、司法行政、教育、民政等部门建立健全社会心理服务体系和危机干预机制，完善社会心理服务人才培养机制，建设基层社会心理服务平台，加强心理健康知识宣传、指导、咨询服务等工作，推动社会心理服务和教育进学校、进社区、进单位、进家庭。</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b/>
          <w:color w:val="000000"/>
          <w:kern w:val="2"/>
          <w:sz w:val="32"/>
          <w:szCs w:val="32"/>
        </w:rPr>
      </w:pPr>
      <w:r>
        <w:rPr>
          <w:rFonts w:hint="default" w:ascii="宋体" w:hAnsi="宋体" w:eastAsia="黑体" w:cs="黑体"/>
          <w:kern w:val="2"/>
          <w:sz w:val="32"/>
          <w:szCs w:val="32"/>
          <w:lang w:val="en-US" w:eastAsia="zh-CN" w:bidi="ar"/>
        </w:rPr>
        <w:t>第十三条</w:t>
      </w:r>
      <w:r>
        <w:rPr>
          <w:rFonts w:hint="eastAsia" w:ascii="宋体" w:hAnsi="宋体" w:eastAsia="仿宋_GB2312" w:cs="仿宋_GB2312"/>
          <w:i w:val="0"/>
          <w:color w:val="000000"/>
          <w:kern w:val="2"/>
          <w:sz w:val="32"/>
          <w:szCs w:val="32"/>
          <w:lang w:val="en-US" w:eastAsia="zh-CN" w:bidi="ar"/>
        </w:rPr>
        <w:t xml:space="preserve">  平安建设组织协调机构及成员</w:t>
      </w:r>
      <w:r>
        <w:rPr>
          <w:rFonts w:hint="eastAsia" w:ascii="宋体" w:hAnsi="宋体" w:eastAsia="仿宋_GB2312" w:cs="仿宋_GB2312"/>
          <w:i w:val="0"/>
          <w:color w:val="000000"/>
          <w:spacing w:val="0"/>
          <w:kern w:val="2"/>
          <w:sz w:val="32"/>
          <w:szCs w:val="32"/>
          <w:lang w:val="en-US" w:eastAsia="zh-CN" w:bidi="ar"/>
        </w:rPr>
        <w:t>单位应当开展平安文化建设，推进社会主义核心价值观教育、法</w:t>
      </w:r>
      <w:r>
        <w:rPr>
          <w:rFonts w:hint="eastAsia" w:ascii="宋体" w:hAnsi="宋体" w:eastAsia="仿宋_GB2312" w:cs="仿宋_GB2312"/>
          <w:i w:val="0"/>
          <w:color w:val="000000"/>
          <w:kern w:val="2"/>
          <w:sz w:val="32"/>
          <w:szCs w:val="32"/>
          <w:lang w:val="en-US" w:eastAsia="zh-CN" w:bidi="ar"/>
        </w:rPr>
        <w:t>治文化教育、安全教育和公民道德建设，提高公民的平安文化素养。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2"/>
        <w:rPr>
          <w:rFonts w:hint="default" w:ascii="宋体" w:hAnsi="宋体" w:eastAsia="黑体" w:cs="黑体"/>
          <w:color w:val="000000"/>
          <w:kern w:val="2"/>
          <w:sz w:val="32"/>
          <w:szCs w:val="32"/>
        </w:rPr>
      </w:pPr>
      <w:r>
        <w:rPr>
          <w:rFonts w:hint="default" w:ascii="宋体" w:hAnsi="宋体" w:eastAsia="黑体" w:cs="黑体"/>
          <w:color w:val="000000"/>
          <w:kern w:val="2"/>
          <w:sz w:val="32"/>
          <w:szCs w:val="32"/>
          <w:lang w:val="en-US" w:eastAsia="zh-CN" w:bidi="ar"/>
        </w:rPr>
        <w:t>第三章  社会风险防控</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1"/>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第十四条</w:t>
      </w:r>
      <w:r>
        <w:rPr>
          <w:rFonts w:hint="eastAsia" w:ascii="宋体" w:hAnsi="宋体" w:eastAsia="仿宋_GB2312" w:cs="仿宋_GB2312"/>
          <w:color w:val="000000"/>
          <w:kern w:val="2"/>
          <w:sz w:val="32"/>
          <w:szCs w:val="32"/>
          <w:lang w:val="en-US" w:eastAsia="zh-CN" w:bidi="ar"/>
        </w:rPr>
        <w:t xml:space="preserve">  各级人民政府及相关部门应当建立健全重大决策社会风险评估机制，将社会风险评估</w:t>
      </w:r>
      <w:r>
        <w:rPr>
          <w:rFonts w:hint="eastAsia" w:ascii="宋体" w:hAnsi="宋体" w:eastAsia="仿宋_GB2312" w:cs="仿宋_GB2312"/>
          <w:color w:val="000000"/>
          <w:spacing w:val="0"/>
          <w:kern w:val="2"/>
          <w:sz w:val="32"/>
          <w:szCs w:val="32"/>
          <w:lang w:val="en-US" w:eastAsia="zh-CN" w:bidi="ar"/>
        </w:rPr>
        <w:t>作为重大决策的前置程序，预防和减少因决策不当引发的社会矛盾。</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各级人民政府及相关部门应当依法行政、严格执法，加强安全生产监管、防灾减灾、应急管理等工作，优化公共服务，完善社会保障和社会救助制度，预防、减少社会风险。</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各有关部门应当畅通和规范群众诉求表达、利益协调、权益救济渠道，引导公众依法合理表达利益诉求。</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color w:val="000000"/>
          <w:kern w:val="2"/>
          <w:sz w:val="32"/>
          <w:szCs w:val="32"/>
          <w:lang w:val="en-US" w:eastAsia="zh-CN" w:bidi="ar"/>
        </w:rPr>
        <w:t>第十五条</w:t>
      </w:r>
      <w:r>
        <w:rPr>
          <w:rFonts w:hint="eastAsia" w:ascii="宋体" w:hAnsi="宋体" w:eastAsia="仿宋_GB2312" w:cs="仿宋_GB2312"/>
          <w:color w:val="000000"/>
          <w:kern w:val="2"/>
          <w:sz w:val="32"/>
          <w:szCs w:val="32"/>
          <w:lang w:val="en-US" w:eastAsia="zh-CN" w:bidi="ar"/>
        </w:rPr>
        <w:t xml:space="preserve">  各级人民政府及相关部门应当建立健全社会风险隐患排查与预警制度，定期排查各类社会风险隐患</w:t>
      </w:r>
      <w:r>
        <w:rPr>
          <w:rFonts w:hint="eastAsia" w:ascii="宋体" w:hAnsi="宋体" w:eastAsia="仿宋_GB2312" w:cs="仿宋_GB2312"/>
          <w:i w:val="0"/>
          <w:color w:val="000000"/>
          <w:kern w:val="2"/>
          <w:sz w:val="32"/>
          <w:szCs w:val="32"/>
          <w:lang w:val="en-US" w:eastAsia="zh-CN" w:bidi="ar"/>
        </w:rPr>
        <w:t>，</w:t>
      </w:r>
      <w:r>
        <w:rPr>
          <w:rFonts w:hint="eastAsia" w:ascii="宋体" w:hAnsi="宋体" w:eastAsia="仿宋_GB2312" w:cs="仿宋_GB2312"/>
          <w:color w:val="000000"/>
          <w:kern w:val="2"/>
          <w:sz w:val="32"/>
          <w:szCs w:val="32"/>
          <w:lang w:val="en-US" w:eastAsia="zh-CN" w:bidi="ar"/>
        </w:rPr>
        <w:t>加强风险研判，对可能影响社会稳定的风险，按照规定通报和发布预警信息。</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color w:val="000000"/>
          <w:spacing w:val="0"/>
          <w:kern w:val="2"/>
          <w:sz w:val="32"/>
          <w:szCs w:val="32"/>
          <w:lang w:val="en-US" w:eastAsia="zh-CN" w:bidi="ar"/>
        </w:rPr>
        <w:t>第十六条</w:t>
      </w:r>
      <w:r>
        <w:rPr>
          <w:rFonts w:hint="eastAsia" w:ascii="宋体" w:hAnsi="宋体" w:eastAsia="仿宋_GB2312" w:cs="仿宋_GB2312"/>
          <w:color w:val="000000"/>
          <w:spacing w:val="0"/>
          <w:kern w:val="2"/>
          <w:sz w:val="32"/>
          <w:szCs w:val="32"/>
          <w:lang w:val="en-US" w:eastAsia="zh-CN" w:bidi="ar"/>
        </w:rPr>
        <w:t xml:space="preserve">  平安建设组织协调机构应当定</w:t>
      </w:r>
      <w:r>
        <w:rPr>
          <w:rFonts w:hint="eastAsia" w:ascii="宋体" w:hAnsi="宋体" w:eastAsia="仿宋_GB2312" w:cs="仿宋_GB2312"/>
          <w:color w:val="000000"/>
          <w:kern w:val="2"/>
          <w:sz w:val="32"/>
          <w:szCs w:val="32"/>
          <w:lang w:val="en-US" w:eastAsia="zh-CN" w:bidi="ar"/>
        </w:rPr>
        <w:t>期组织成员单位对可能存在的社会风险进行研判，划分风险等级，并建立健全应对机制。</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第十七条</w:t>
      </w:r>
      <w:r>
        <w:rPr>
          <w:rFonts w:hint="eastAsia" w:ascii="宋体" w:hAnsi="宋体" w:eastAsia="仿宋_GB2312" w:cs="仿宋_GB2312"/>
          <w:color w:val="000000"/>
          <w:kern w:val="2"/>
          <w:sz w:val="32"/>
          <w:szCs w:val="32"/>
          <w:lang w:val="en-US" w:eastAsia="zh-CN" w:bidi="ar"/>
        </w:rPr>
        <w:t xml:space="preserve">  各级人民政府及相关部门应当加强社会风险隐患治理，建立健全处置机制，及时消除社会风险隐患。社会风险引发突发事件的，应当按照有关规定及时组织应急响应。</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i w:val="0"/>
          <w:color w:val="000000"/>
          <w:kern w:val="2"/>
          <w:sz w:val="32"/>
          <w:szCs w:val="32"/>
        </w:rPr>
      </w:pPr>
      <w:r>
        <w:rPr>
          <w:rFonts w:hint="default" w:ascii="宋体" w:hAnsi="宋体" w:eastAsia="黑体" w:cs="黑体"/>
          <w:kern w:val="2"/>
          <w:sz w:val="32"/>
          <w:szCs w:val="32"/>
          <w:lang w:val="en-US" w:eastAsia="zh-CN" w:bidi="ar"/>
        </w:rPr>
        <w:t>第十八条</w:t>
      </w:r>
      <w:r>
        <w:rPr>
          <w:rFonts w:hint="eastAsia" w:ascii="宋体" w:hAnsi="宋体" w:eastAsia="仿宋_GB2312" w:cs="仿宋_GB2312"/>
          <w:i w:val="0"/>
          <w:color w:val="000000"/>
          <w:kern w:val="2"/>
          <w:sz w:val="32"/>
          <w:szCs w:val="32"/>
          <w:lang w:val="en-US" w:eastAsia="zh-CN" w:bidi="ar"/>
        </w:rPr>
        <w:t xml:space="preserve">  各级人民政府及相关部门应当建立健全本地区、本系统社会风险防控协同制度，明确各类社会风险防控协同的职责分工，完善社会风险防控协同的信息共享与协调机制，加强社会风险防控协同的培训、演练，及时优化社会风险防控措施。</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第十九条</w:t>
      </w:r>
      <w:r>
        <w:rPr>
          <w:rFonts w:hint="eastAsia" w:ascii="宋体" w:hAnsi="宋体" w:eastAsia="仿宋_GB2312" w:cs="仿宋_GB2312"/>
          <w:color w:val="000000"/>
          <w:kern w:val="2"/>
          <w:sz w:val="32"/>
          <w:szCs w:val="32"/>
          <w:lang w:val="en-US" w:eastAsia="zh-CN" w:bidi="ar"/>
        </w:rPr>
        <w:t xml:space="preserve">  各级人民政府及相关部门应当实行社会风险防控责任制，建立社会风险防控责任清单，明确各地区、各部门、各单位社会风险防控的责任，及时有效防范和处置各类社会风险。</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第二十条</w:t>
      </w:r>
      <w:r>
        <w:rPr>
          <w:rFonts w:hint="default" w:ascii="宋体" w:hAnsi="宋体" w:eastAsia="黑体" w:cs="黑体"/>
          <w:color w:val="000000"/>
          <w:kern w:val="2"/>
          <w:sz w:val="32"/>
          <w:szCs w:val="32"/>
          <w:lang w:val="en-US" w:eastAsia="zh-CN" w:bidi="ar"/>
        </w:rPr>
        <w:t xml:space="preserve"> </w:t>
      </w:r>
      <w:r>
        <w:rPr>
          <w:rFonts w:hint="eastAsia" w:ascii="宋体" w:hAnsi="宋体" w:eastAsia="仿宋_GB2312" w:cs="仿宋_GB2312"/>
          <w:color w:val="000000"/>
          <w:kern w:val="2"/>
          <w:sz w:val="32"/>
          <w:szCs w:val="32"/>
          <w:lang w:val="en-US" w:eastAsia="zh-CN" w:bidi="ar"/>
        </w:rPr>
        <w:t xml:space="preserve"> 企业事业单位、社会组织应当依法建立健全社会风险隐患排查机制，开展社会风险评估，及时消除社会风险隐患，并向相关主管部门报告。主管部门应当加强对相关企业事业单位、社会组织的监督指导。</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default" w:ascii="宋体" w:hAnsi="宋体" w:eastAsia="黑体" w:cs="黑体"/>
          <w:color w:val="000000"/>
          <w:kern w:val="2"/>
          <w:sz w:val="32"/>
          <w:szCs w:val="32"/>
        </w:rPr>
      </w:pPr>
      <w:r>
        <w:rPr>
          <w:rFonts w:hint="default" w:ascii="宋体" w:hAnsi="宋体" w:eastAsia="黑体" w:cs="黑体"/>
          <w:color w:val="000000"/>
          <w:kern w:val="2"/>
          <w:sz w:val="32"/>
          <w:szCs w:val="32"/>
          <w:lang w:val="en-US" w:eastAsia="zh-CN" w:bidi="ar"/>
        </w:rPr>
        <w:t>第四章  重点防治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both"/>
        <w:outlineLvl w:val="2"/>
        <w:rPr>
          <w:rFonts w:hint="eastAsia" w:ascii="宋体" w:hAnsi="宋体" w:eastAsia="仿宋_GB2312" w:cs="仿宋_GB2312"/>
          <w:b/>
          <w:color w:val="000000"/>
          <w:kern w:val="2"/>
          <w:sz w:val="32"/>
          <w:szCs w:val="32"/>
        </w:rPr>
      </w:pPr>
      <w:r>
        <w:rPr>
          <w:rFonts w:hint="eastAsia" w:ascii="宋体" w:hAnsi="宋体" w:eastAsia="仿宋_GB2312" w:cs="仿宋_GB2312"/>
          <w:b/>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第二十一条</w:t>
      </w:r>
      <w:r>
        <w:rPr>
          <w:rFonts w:hint="eastAsia" w:ascii="宋体" w:hAnsi="宋体" w:eastAsia="仿宋_GB2312" w:cs="仿宋_GB2312"/>
          <w:color w:val="000000"/>
          <w:kern w:val="2"/>
          <w:sz w:val="32"/>
          <w:szCs w:val="32"/>
          <w:lang w:val="en-US" w:eastAsia="zh-CN" w:bidi="ar"/>
        </w:rPr>
        <w:t xml:space="preserve">  学校、幼儿园、医院、公园、大型商业中心、机场、车站、港口码头、铁路沿线、出入境口岸、城中村等区域的管理单位或者运营单位应当按照有关法律法规和技术标准配备安防人员和设施设备，制定突发事件应急预案，定期组织应急演练，</w:t>
      </w:r>
      <w:r>
        <w:rPr>
          <w:rFonts w:hint="eastAsia" w:ascii="宋体" w:hAnsi="宋体" w:eastAsia="仿宋_GB2312" w:cs="仿宋_GB2312"/>
          <w:kern w:val="2"/>
          <w:sz w:val="32"/>
          <w:szCs w:val="32"/>
          <w:lang w:val="en-US" w:eastAsia="zh-CN" w:bidi="ar"/>
        </w:rPr>
        <w:t>防范暴力恐怖活动，</w:t>
      </w:r>
      <w:r>
        <w:rPr>
          <w:rFonts w:hint="eastAsia" w:ascii="宋体" w:hAnsi="宋体" w:eastAsia="仿宋_GB2312" w:cs="仿宋_GB2312"/>
          <w:color w:val="000000"/>
          <w:kern w:val="2"/>
          <w:sz w:val="32"/>
          <w:szCs w:val="32"/>
          <w:lang w:val="en-US" w:eastAsia="zh-CN" w:bidi="ar"/>
        </w:rPr>
        <w:t>提高防控能力。</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第二十二条</w:t>
      </w:r>
      <w:r>
        <w:rPr>
          <w:rFonts w:hint="eastAsia" w:ascii="宋体" w:hAnsi="宋体" w:eastAsia="仿宋_GB2312" w:cs="仿宋_GB2312"/>
          <w:color w:val="000000"/>
          <w:kern w:val="2"/>
          <w:sz w:val="32"/>
          <w:szCs w:val="32"/>
          <w:lang w:val="en-US" w:eastAsia="zh-CN" w:bidi="ar"/>
        </w:rPr>
        <w:t xml:space="preserve">  司法行政、卫生健康、民政、公安等有关主管部门应当加强对社区矫正对象、刑满释放人员、吸毒人员、社区戒毒和社区康复人员、严重精神障碍患者、流浪乞讨人员等的服务与管理。</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spacing w:val="0"/>
          <w:kern w:val="2"/>
          <w:sz w:val="32"/>
          <w:szCs w:val="32"/>
          <w:lang w:val="en-US" w:eastAsia="zh-CN" w:bidi="ar"/>
        </w:rPr>
        <w:t>第二十三条</w:t>
      </w:r>
      <w:r>
        <w:rPr>
          <w:rFonts w:hint="eastAsia" w:ascii="宋体" w:hAnsi="宋体" w:eastAsia="仿宋_GB2312" w:cs="仿宋_GB2312"/>
          <w:color w:val="000000"/>
          <w:spacing w:val="0"/>
          <w:kern w:val="2"/>
          <w:sz w:val="32"/>
          <w:szCs w:val="32"/>
          <w:lang w:val="en-US" w:eastAsia="zh-CN" w:bidi="ar"/>
        </w:rPr>
        <w:t xml:space="preserve">  各级人民政府、监察委员</w:t>
      </w:r>
      <w:r>
        <w:rPr>
          <w:rFonts w:hint="eastAsia" w:ascii="宋体" w:hAnsi="宋体" w:eastAsia="仿宋_GB2312" w:cs="仿宋_GB2312"/>
          <w:color w:val="000000"/>
          <w:kern w:val="2"/>
          <w:sz w:val="32"/>
          <w:szCs w:val="32"/>
          <w:lang w:val="en-US" w:eastAsia="zh-CN" w:bidi="ar"/>
        </w:rPr>
        <w:t>会、人民法院、人民检察院应当加强常态化扫黑除恶工作，完善常态化源头预防和打击整治机制，依法打击涉黑涉恶违法犯罪行为。</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相关部门在市场监管、交通运输、工程建设、医疗卫生等领域进行行政执法时，发现涉黑涉恶案件线索的，应当及时移交公安机关；对行业监管存在的问题，应当及时开展整治。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第二十四条</w:t>
      </w:r>
      <w:r>
        <w:rPr>
          <w:rFonts w:hint="eastAsia" w:ascii="宋体" w:hAnsi="宋体" w:eastAsia="仿宋_GB2312" w:cs="仿宋_GB2312"/>
          <w:color w:val="000000"/>
          <w:kern w:val="2"/>
          <w:sz w:val="32"/>
          <w:szCs w:val="32"/>
          <w:lang w:val="en-US" w:eastAsia="zh-CN" w:bidi="ar"/>
        </w:rPr>
        <w:t xml:space="preserve">  大型群众性活动的主办者、承办者依法负责承办活动的安全，大型群众性活动的场所管理者依法负责活动场所及设施的安全。</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公安机关依法开展对大型群众性活动的安全管理工作。对经安全许可的大型群众性活动，公安机关根据安全需要组织相应警力，维持活动现场周边的治安、交通秩序，预防和处置突发治安事件，查处违法犯罪活动。</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
        </w:rPr>
        <w:t>其他有关部门按照各自职责，负责大型群众性活动的安全工作。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第二十五条</w:t>
      </w:r>
      <w:r>
        <w:rPr>
          <w:rFonts w:hint="eastAsia" w:ascii="宋体" w:hAnsi="宋体" w:eastAsia="仿宋_GB2312" w:cs="仿宋_GB2312"/>
          <w:color w:val="000000"/>
          <w:kern w:val="2"/>
          <w:sz w:val="32"/>
          <w:szCs w:val="32"/>
          <w:lang w:val="en-US" w:eastAsia="zh-CN" w:bidi="ar"/>
        </w:rPr>
        <w:t xml:space="preserve">  公安、网信、通信管理等部门应当按照职责加强网络安全管理和防护工作，建立健全网络安全综合防控体系，开展网络安全宣传教育，加强公民个人信息保护，加强对网络运营者的监督管理，预防和打击网络违法犯罪行为。</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网络运营者应当履行网络安全主体责任，落实网络安全等级保护制度要求，制定网络安全应急预案，保障网络数据安全和用户信息安全，防范网络安全风险。</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负责关键信息基础设施安全保护工作的部门和关键信息基础设施运营者，在落实网络安全等级保护制度的基础上，应当突出保护重点，落实重点防护措施，维护关键信息基础设施安全。</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仿宋_GB2312" w:cs="Times New Roman"/>
          <w:kern w:val="2"/>
          <w:sz w:val="32"/>
          <w:szCs w:val="32"/>
          <w:lang w:val="en-US" w:eastAsia="zh-CN" w:bidi="ar"/>
        </w:rPr>
        <w:fldChar w:fldCharType="begin"/>
      </w:r>
      <w:r>
        <w:rPr>
          <w:rFonts w:hint="default" w:ascii="宋体" w:hAnsi="宋体" w:eastAsia="仿宋_GB2312" w:cs="Times New Roman"/>
          <w:kern w:val="2"/>
          <w:sz w:val="32"/>
          <w:szCs w:val="32"/>
          <w:lang w:val="en-US" w:eastAsia="zh-CN" w:bidi="ar"/>
        </w:rPr>
        <w:instrText xml:space="preserve"> HYPERLINK "" \l "_Toc15055" </w:instrText>
      </w:r>
      <w:r>
        <w:rPr>
          <w:rFonts w:hint="default" w:ascii="宋体" w:hAnsi="宋体" w:eastAsia="仿宋_GB2312" w:cs="Times New Roman"/>
          <w:kern w:val="2"/>
          <w:sz w:val="32"/>
          <w:szCs w:val="32"/>
          <w:lang w:val="en-US" w:eastAsia="zh-CN" w:bidi="ar"/>
        </w:rPr>
        <w:fldChar w:fldCharType="separate"/>
      </w:r>
      <w:r>
        <w:rPr>
          <w:rStyle w:val="20"/>
          <w:rFonts w:hint="default" w:ascii="宋体" w:hAnsi="宋体" w:eastAsia="黑体" w:cs="黑体"/>
          <w:color w:val="000000"/>
          <w:kern w:val="2"/>
          <w:sz w:val="32"/>
          <w:szCs w:val="32"/>
          <w:u w:val="none"/>
        </w:rPr>
        <w:t>第二十六条</w:t>
      </w:r>
      <w:r>
        <w:rPr>
          <w:rFonts w:hint="default" w:ascii="宋体" w:hAnsi="宋体" w:eastAsia="仿宋_GB2312" w:cs="Times New Roman"/>
          <w:kern w:val="2"/>
          <w:sz w:val="32"/>
          <w:szCs w:val="32"/>
          <w:lang w:val="en-US" w:eastAsia="zh-CN" w:bidi="ar"/>
        </w:rPr>
        <w:fldChar w:fldCharType="end"/>
      </w:r>
      <w:r>
        <w:rPr>
          <w:rFonts w:hint="eastAsia" w:ascii="宋体" w:hAnsi="宋体" w:eastAsia="仿宋_GB2312" w:cs="仿宋_GB2312"/>
          <w:color w:val="000000"/>
          <w:kern w:val="2"/>
          <w:sz w:val="32"/>
          <w:szCs w:val="32"/>
          <w:lang w:val="en-US" w:eastAsia="zh-CN" w:bidi="ar"/>
        </w:rPr>
        <w:t xml:space="preserve">  县级以上人民政府应当建立健全打击治理电信网络诈骗协调工作机制，统筹打击治理电信网络诈骗工作。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公安机关应当会同金融监管、通信管理部门建立健全快速查询、冻结、止付的联动机制，完善预警劝阻和诈骗电话拦截封堵等机制，依法打击利用电信、网络等方式实施的诈骗及其他违法犯罪行为，电信企业、金融机构、互联网企业应当予以配合。</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电信企业、金融机构、互联网企业应当加强电信网络诈骗风险监测和反诈骗宣传教育，发现涉嫌电信网络诈骗的，应当及时向客户作出风险提示，按照规定采取阻断措施并向公安机关报告。</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仿宋_GB2312" w:cs="Times New Roman"/>
          <w:kern w:val="2"/>
          <w:sz w:val="32"/>
          <w:szCs w:val="32"/>
          <w:lang w:val="en-US" w:eastAsia="zh-CN" w:bidi="ar"/>
        </w:rPr>
        <w:fldChar w:fldCharType="begin"/>
      </w:r>
      <w:r>
        <w:rPr>
          <w:rFonts w:hint="default" w:ascii="宋体" w:hAnsi="宋体" w:eastAsia="仿宋_GB2312" w:cs="Times New Roman"/>
          <w:kern w:val="2"/>
          <w:sz w:val="32"/>
          <w:szCs w:val="32"/>
          <w:lang w:val="en-US" w:eastAsia="zh-CN" w:bidi="ar"/>
        </w:rPr>
        <w:instrText xml:space="preserve"> HYPERLINK "" \l "_Toc15055" </w:instrText>
      </w:r>
      <w:r>
        <w:rPr>
          <w:rFonts w:hint="default" w:ascii="宋体" w:hAnsi="宋体" w:eastAsia="仿宋_GB2312" w:cs="Times New Roman"/>
          <w:kern w:val="2"/>
          <w:sz w:val="32"/>
          <w:szCs w:val="32"/>
          <w:lang w:val="en-US" w:eastAsia="zh-CN" w:bidi="ar"/>
        </w:rPr>
        <w:fldChar w:fldCharType="separate"/>
      </w:r>
      <w:r>
        <w:rPr>
          <w:rStyle w:val="20"/>
          <w:rFonts w:hint="default" w:ascii="宋体" w:hAnsi="宋体" w:eastAsia="黑体" w:cs="黑体"/>
          <w:color w:val="000000"/>
          <w:kern w:val="2"/>
          <w:sz w:val="32"/>
          <w:szCs w:val="32"/>
          <w:u w:val="none"/>
        </w:rPr>
        <w:t>第二十七条</w:t>
      </w:r>
      <w:r>
        <w:rPr>
          <w:rFonts w:hint="default" w:ascii="宋体" w:hAnsi="宋体" w:eastAsia="仿宋_GB2312" w:cs="Times New Roman"/>
          <w:kern w:val="2"/>
          <w:sz w:val="32"/>
          <w:szCs w:val="32"/>
          <w:lang w:val="en-US" w:eastAsia="zh-CN" w:bidi="ar"/>
        </w:rPr>
        <w:fldChar w:fldCharType="end"/>
      </w:r>
      <w:r>
        <w:rPr>
          <w:rFonts w:hint="eastAsia" w:ascii="宋体" w:hAnsi="宋体" w:eastAsia="仿宋_GB2312" w:cs="仿宋_GB2312"/>
          <w:color w:val="000000"/>
          <w:kern w:val="2"/>
          <w:sz w:val="32"/>
          <w:szCs w:val="32"/>
          <w:lang w:val="en-US" w:eastAsia="zh-CN" w:bidi="ar"/>
        </w:rPr>
        <w:t xml:space="preserve">  县级以上人民政府应当建立健全防范和处置非法集资工作机制，统筹防范和处置非法集资工作。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处置非法集资的牵头部门、行业主管部门和监管部门发现本行业、本领域可能存在非法集资风险的，应当依法对相关单位和个人进行警示约谈，责令整改。相关单位和个人应当在限期内完成整改并反馈有关情况。</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金融机构、非银行支付机构应当建立健全内部管理制度，严格执行大额交易和可疑交易报告制度，加强对社会公众防范非法集资的宣传教育。</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kern w:val="2"/>
          <w:sz w:val="32"/>
          <w:szCs w:val="32"/>
        </w:rPr>
      </w:pPr>
      <w:r>
        <w:rPr>
          <w:rFonts w:hint="default" w:ascii="宋体" w:hAnsi="宋体" w:eastAsia="仿宋_GB2312" w:cs="Times New Roman"/>
          <w:kern w:val="2"/>
          <w:sz w:val="32"/>
          <w:szCs w:val="32"/>
          <w:lang w:val="en-US" w:eastAsia="zh-CN" w:bidi="ar"/>
        </w:rPr>
        <w:fldChar w:fldCharType="begin"/>
      </w:r>
      <w:r>
        <w:rPr>
          <w:rFonts w:hint="default" w:ascii="宋体" w:hAnsi="宋体" w:eastAsia="仿宋_GB2312" w:cs="Times New Roman"/>
          <w:kern w:val="2"/>
          <w:sz w:val="32"/>
          <w:szCs w:val="32"/>
          <w:lang w:val="en-US" w:eastAsia="zh-CN" w:bidi="ar"/>
        </w:rPr>
        <w:instrText xml:space="preserve"> HYPERLINK "" \l "_Toc18672" </w:instrText>
      </w:r>
      <w:r>
        <w:rPr>
          <w:rFonts w:hint="default" w:ascii="宋体" w:hAnsi="宋体" w:eastAsia="仿宋_GB2312" w:cs="Times New Roman"/>
          <w:kern w:val="2"/>
          <w:sz w:val="32"/>
          <w:szCs w:val="32"/>
          <w:lang w:val="en-US" w:eastAsia="zh-CN" w:bidi="ar"/>
        </w:rPr>
        <w:fldChar w:fldCharType="separate"/>
      </w:r>
      <w:r>
        <w:rPr>
          <w:rStyle w:val="20"/>
          <w:rFonts w:hint="default" w:ascii="宋体" w:hAnsi="宋体" w:eastAsia="黑体" w:cs="黑体"/>
          <w:color w:val="000000"/>
          <w:kern w:val="2"/>
          <w:sz w:val="32"/>
          <w:szCs w:val="32"/>
          <w:u w:val="none"/>
        </w:rPr>
        <w:t>第二十八条</w:t>
      </w:r>
      <w:r>
        <w:rPr>
          <w:rFonts w:hint="default" w:ascii="宋体" w:hAnsi="宋体" w:eastAsia="仿宋_GB2312" w:cs="Times New Roman"/>
          <w:kern w:val="2"/>
          <w:sz w:val="32"/>
          <w:szCs w:val="32"/>
          <w:lang w:val="en-US" w:eastAsia="zh-CN" w:bidi="ar"/>
        </w:rPr>
        <w:fldChar w:fldCharType="end"/>
      </w:r>
      <w:r>
        <w:rPr>
          <w:rFonts w:hint="eastAsia" w:ascii="宋体" w:hAnsi="宋体" w:eastAsia="仿宋_GB2312" w:cs="仿宋_GB2312"/>
          <w:color w:val="000000"/>
          <w:kern w:val="2"/>
          <w:sz w:val="32"/>
          <w:szCs w:val="32"/>
          <w:lang w:val="en-US" w:eastAsia="zh-CN" w:bidi="ar"/>
        </w:rPr>
        <w:t xml:space="preserve">  </w:t>
      </w:r>
      <w:r>
        <w:rPr>
          <w:rFonts w:hint="eastAsia" w:ascii="宋体" w:hAnsi="宋体" w:eastAsia="仿宋_GB2312" w:cs="仿宋_GB2312"/>
          <w:kern w:val="2"/>
          <w:sz w:val="32"/>
          <w:szCs w:val="32"/>
          <w:lang w:val="en-US" w:eastAsia="zh-CN" w:bidi="ar"/>
        </w:rPr>
        <w:t>卫生健康部门、医疗机构应当健全医疗纠纷预防和处置制度，及时查处医疗事故，加强宣传疏导，引导医患双方依法解决医疗纠纷。</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公安机关依法维护医疗机构治安秩序，查处、打击侵害患者和医务人员合法权益以及扰乱医疗秩序等违法犯罪行为。</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color w:val="000000"/>
          <w:kern w:val="2"/>
          <w:sz w:val="32"/>
          <w:szCs w:val="32"/>
        </w:rPr>
      </w:pPr>
      <w:r>
        <w:rPr>
          <w:rFonts w:hint="default" w:ascii="宋体" w:hAnsi="宋体" w:eastAsia="黑体" w:cs="黑体"/>
          <w:kern w:val="2"/>
          <w:sz w:val="32"/>
          <w:szCs w:val="32"/>
          <w:lang w:val="en-US" w:eastAsia="zh-CN" w:bidi="ar"/>
        </w:rPr>
        <w:t>第二十九条</w:t>
      </w:r>
      <w:r>
        <w:rPr>
          <w:rFonts w:hint="eastAsia" w:ascii="宋体" w:hAnsi="宋体" w:eastAsia="仿宋_GB2312" w:cs="仿宋_GB2312"/>
          <w:color w:val="000000"/>
          <w:kern w:val="2"/>
          <w:sz w:val="32"/>
          <w:szCs w:val="32"/>
          <w:lang w:val="en-US" w:eastAsia="zh-CN" w:bidi="ar"/>
        </w:rPr>
        <w:t xml:space="preserve">  沿海县级以上人民政府应当</w:t>
      </w:r>
      <w:r>
        <w:rPr>
          <w:rFonts w:hint="eastAsia" w:ascii="宋体" w:hAnsi="宋体" w:eastAsia="仿宋_GB2312" w:cs="仿宋_GB2312"/>
          <w:color w:val="000000"/>
          <w:spacing w:val="0"/>
          <w:kern w:val="2"/>
          <w:sz w:val="32"/>
          <w:szCs w:val="32"/>
          <w:lang w:val="en-US" w:eastAsia="zh-CN" w:bidi="ar"/>
        </w:rPr>
        <w:t>坚持陆海统筹，牵头建立健全近岸海域管控协调机制，加强与有</w:t>
      </w:r>
      <w:r>
        <w:rPr>
          <w:rFonts w:hint="eastAsia" w:ascii="宋体" w:hAnsi="宋体" w:eastAsia="仿宋_GB2312" w:cs="仿宋_GB2312"/>
          <w:color w:val="000000"/>
          <w:kern w:val="2"/>
          <w:sz w:val="32"/>
          <w:szCs w:val="32"/>
          <w:lang w:val="en-US" w:eastAsia="zh-CN" w:bidi="ar"/>
        </w:rPr>
        <w:t>关部门、机构的协作配合，共同维护近岸海域安全和国家海洋权益。</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spacing w:val="0"/>
          <w:kern w:val="2"/>
          <w:sz w:val="32"/>
          <w:szCs w:val="32"/>
        </w:rPr>
      </w:pPr>
      <w:r>
        <w:rPr>
          <w:rFonts w:hint="default" w:ascii="宋体" w:hAnsi="宋体" w:eastAsia="黑体" w:cs="黑体"/>
          <w:kern w:val="2"/>
          <w:sz w:val="32"/>
          <w:szCs w:val="32"/>
          <w:lang w:val="en-US" w:eastAsia="zh-CN" w:bidi="ar"/>
        </w:rPr>
        <w:t>第三十条</w:t>
      </w:r>
      <w:r>
        <w:rPr>
          <w:rFonts w:hint="eastAsia" w:ascii="宋体" w:hAnsi="宋体" w:eastAsia="仿宋_GB2312" w:cs="仿宋_GB2312"/>
          <w:color w:val="000000"/>
          <w:kern w:val="2"/>
          <w:sz w:val="32"/>
          <w:szCs w:val="32"/>
          <w:lang w:val="en-US" w:eastAsia="zh-CN" w:bidi="ar"/>
        </w:rPr>
        <w:t xml:space="preserve">  </w:t>
      </w:r>
      <w:r>
        <w:rPr>
          <w:rFonts w:hint="eastAsia" w:ascii="宋体" w:hAnsi="宋体" w:eastAsia="仿宋_GB2312" w:cs="仿宋_GB2312"/>
          <w:i w:val="0"/>
          <w:color w:val="000000"/>
          <w:kern w:val="2"/>
          <w:sz w:val="32"/>
          <w:szCs w:val="32"/>
          <w:lang w:val="en-US" w:eastAsia="zh-CN" w:bidi="ar"/>
        </w:rPr>
        <w:t>平安建设组织协调机构应当</w:t>
      </w:r>
      <w:r>
        <w:rPr>
          <w:rFonts w:hint="eastAsia" w:ascii="宋体" w:hAnsi="宋体" w:eastAsia="仿宋_GB2312" w:cs="仿宋_GB2312"/>
          <w:color w:val="000000"/>
          <w:kern w:val="2"/>
          <w:sz w:val="32"/>
          <w:szCs w:val="32"/>
          <w:lang w:val="en-US" w:eastAsia="zh-CN" w:bidi="ar"/>
        </w:rPr>
        <w:t>建立健全重点治理和</w:t>
      </w:r>
      <w:r>
        <w:rPr>
          <w:rFonts w:hint="eastAsia" w:ascii="宋体" w:hAnsi="宋体" w:eastAsia="仿宋_GB2312" w:cs="仿宋_GB2312"/>
          <w:color w:val="000000"/>
          <w:spacing w:val="0"/>
          <w:kern w:val="2"/>
          <w:sz w:val="32"/>
          <w:szCs w:val="32"/>
          <w:lang w:val="en-US" w:eastAsia="zh-CN" w:bidi="ar"/>
        </w:rPr>
        <w:t>挂牌整治机制，对平安建设重点地区、重点行业、重点领域实施重点治理，对平安建设突出问题实施挂牌整治。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1"/>
        <w:rPr>
          <w:rFonts w:hint="eastAsia" w:ascii="宋体" w:hAnsi="宋体" w:eastAsia="仿宋_GB2312" w:cs="仿宋_GB2312"/>
          <w:b/>
          <w:color w:val="000000"/>
          <w:spacing w:val="0"/>
          <w:kern w:val="2"/>
          <w:sz w:val="32"/>
          <w:szCs w:val="32"/>
        </w:rPr>
      </w:pPr>
      <w:r>
        <w:rPr>
          <w:rFonts w:hint="eastAsia" w:ascii="宋体" w:hAnsi="宋体" w:eastAsia="仿宋_GB2312" w:cs="仿宋_GB2312"/>
          <w:b/>
          <w:color w:val="000000"/>
          <w:spacing w:val="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default" w:ascii="宋体" w:hAnsi="宋体" w:eastAsia="黑体" w:cs="黑体"/>
          <w:spacing w:val="0"/>
          <w:kern w:val="2"/>
          <w:sz w:val="32"/>
          <w:szCs w:val="32"/>
        </w:rPr>
      </w:pPr>
      <w:r>
        <w:rPr>
          <w:rFonts w:hint="default" w:ascii="宋体" w:hAnsi="宋体" w:eastAsia="黑体" w:cs="黑体"/>
          <w:color w:val="000000"/>
          <w:spacing w:val="0"/>
          <w:kern w:val="2"/>
          <w:sz w:val="32"/>
          <w:szCs w:val="32"/>
          <w:lang w:val="en-US" w:eastAsia="zh-CN" w:bidi="ar"/>
        </w:rPr>
        <w:t>第五章  社会矛盾纠纷化解</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spacing w:val="0"/>
          <w:kern w:val="2"/>
          <w:sz w:val="32"/>
          <w:szCs w:val="32"/>
        </w:rPr>
      </w:pPr>
      <w:r>
        <w:rPr>
          <w:rFonts w:hint="eastAsia" w:ascii="宋体" w:hAnsi="宋体" w:eastAsia="仿宋_GB2312" w:cs="仿宋_GB2312"/>
          <w:spacing w:val="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i w:val="0"/>
          <w:color w:val="000000"/>
          <w:spacing w:val="0"/>
          <w:kern w:val="2"/>
          <w:sz w:val="32"/>
          <w:szCs w:val="32"/>
        </w:rPr>
      </w:pPr>
      <w:r>
        <w:rPr>
          <w:rFonts w:hint="default" w:ascii="宋体" w:hAnsi="宋体" w:eastAsia="黑体" w:cs="黑体"/>
          <w:spacing w:val="0"/>
          <w:kern w:val="2"/>
          <w:sz w:val="32"/>
          <w:szCs w:val="32"/>
          <w:lang w:val="en-US" w:eastAsia="zh-CN" w:bidi="ar"/>
        </w:rPr>
        <w:t>第三十一条</w:t>
      </w:r>
      <w:r>
        <w:rPr>
          <w:rFonts w:hint="eastAsia" w:ascii="宋体" w:hAnsi="宋体" w:eastAsia="仿宋_GB2312" w:cs="仿宋_GB2312"/>
          <w:color w:val="000000"/>
          <w:spacing w:val="0"/>
          <w:kern w:val="2"/>
          <w:sz w:val="32"/>
          <w:szCs w:val="32"/>
          <w:lang w:val="en-US" w:eastAsia="zh-CN" w:bidi="ar"/>
        </w:rPr>
        <w:t xml:space="preserve">  </w:t>
      </w:r>
      <w:r>
        <w:rPr>
          <w:rFonts w:hint="eastAsia" w:ascii="宋体" w:hAnsi="宋体" w:eastAsia="仿宋_GB2312" w:cs="仿宋_GB2312"/>
          <w:i w:val="0"/>
          <w:color w:val="000000"/>
          <w:spacing w:val="0"/>
          <w:kern w:val="2"/>
          <w:sz w:val="32"/>
          <w:szCs w:val="32"/>
          <w:lang w:val="en-US" w:eastAsia="zh-CN" w:bidi="ar"/>
        </w:rPr>
        <w:t>平安建设组织协调机构应当推动建立健全社会矛盾纠纷多元化解机制，完善多元化解社会矛盾纠纷综合协调工作平台建设，拓宽第三方参与社会矛盾纠纷化解的制度化渠道，发挥和解、调解、仲裁、公证、行政裁决、行政复议、诉讼等作用，促进社会矛盾纠纷及时有效化解。</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spacing w:val="0"/>
          <w:kern w:val="2"/>
          <w:sz w:val="32"/>
          <w:szCs w:val="32"/>
        </w:rPr>
      </w:pPr>
      <w:r>
        <w:rPr>
          <w:rFonts w:hint="default" w:ascii="宋体" w:hAnsi="宋体" w:eastAsia="黑体" w:cs="黑体"/>
          <w:spacing w:val="0"/>
          <w:kern w:val="2"/>
          <w:sz w:val="32"/>
          <w:szCs w:val="32"/>
          <w:lang w:val="en-US" w:eastAsia="zh-CN" w:bidi="ar"/>
        </w:rPr>
        <w:t>第三十二条</w:t>
      </w:r>
      <w:r>
        <w:rPr>
          <w:rFonts w:hint="eastAsia" w:ascii="宋体" w:hAnsi="宋体" w:eastAsia="仿宋_GB2312" w:cs="仿宋_GB2312"/>
          <w:color w:val="000000"/>
          <w:spacing w:val="0"/>
          <w:kern w:val="2"/>
          <w:sz w:val="32"/>
          <w:szCs w:val="32"/>
          <w:lang w:val="en-US" w:eastAsia="zh-CN" w:bidi="ar"/>
        </w:rPr>
        <w:t xml:space="preserve">  县级以上平安建设组织协调机构应当组织协调人民法院、司法行政部门、仲裁机构等单位，依法建立健全诉讼与非诉讼的分流与衔接机制，鼓励当事人选择非诉讼程序解决矛盾纠纷，并在程序安排、效力确认、生效法律文书执行等方面加强机制对接。</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spacing w:val="0"/>
          <w:kern w:val="2"/>
          <w:sz w:val="32"/>
          <w:szCs w:val="32"/>
        </w:rPr>
      </w:pPr>
      <w:r>
        <w:rPr>
          <w:rFonts w:hint="default" w:ascii="宋体" w:hAnsi="宋体" w:eastAsia="黑体" w:cs="黑体"/>
          <w:spacing w:val="0"/>
          <w:kern w:val="2"/>
          <w:sz w:val="32"/>
          <w:szCs w:val="32"/>
          <w:lang w:val="en-US" w:eastAsia="zh-CN" w:bidi="ar"/>
        </w:rPr>
        <w:t>第三十三条</w:t>
      </w:r>
      <w:r>
        <w:rPr>
          <w:rFonts w:hint="eastAsia" w:ascii="宋体" w:hAnsi="宋体" w:eastAsia="仿宋_GB2312" w:cs="仿宋_GB2312"/>
          <w:color w:val="000000"/>
          <w:spacing w:val="0"/>
          <w:kern w:val="2"/>
          <w:sz w:val="32"/>
          <w:szCs w:val="32"/>
          <w:lang w:val="en-US" w:eastAsia="zh-CN" w:bidi="ar"/>
        </w:rPr>
        <w:t xml:space="preserve">  教育、住房城乡建设、卫生健康、交通运输、市场监管、金融监管、人力资源社会保障、农业农村等部门应当根据实际需要，指导有关行业、专业领域设立相应的行业性、专业性调解组织，对特定行业、专业领域的矛盾纠纷进行调解。</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color w:val="000000"/>
          <w:spacing w:val="0"/>
          <w:kern w:val="2"/>
          <w:sz w:val="32"/>
          <w:szCs w:val="32"/>
        </w:rPr>
      </w:pPr>
      <w:r>
        <w:rPr>
          <w:rFonts w:hint="default" w:ascii="宋体" w:hAnsi="宋体" w:eastAsia="黑体" w:cs="黑体"/>
          <w:spacing w:val="0"/>
          <w:kern w:val="2"/>
          <w:sz w:val="32"/>
          <w:szCs w:val="32"/>
          <w:lang w:val="en-US" w:eastAsia="zh-CN" w:bidi="ar"/>
        </w:rPr>
        <w:t>第三十四条</w:t>
      </w:r>
      <w:r>
        <w:rPr>
          <w:rFonts w:hint="eastAsia" w:ascii="宋体" w:hAnsi="宋体" w:eastAsia="仿宋_GB2312" w:cs="仿宋_GB2312"/>
          <w:color w:val="000000"/>
          <w:spacing w:val="0"/>
          <w:kern w:val="2"/>
          <w:sz w:val="32"/>
          <w:szCs w:val="32"/>
          <w:lang w:val="en-US" w:eastAsia="zh-CN" w:bidi="ar"/>
        </w:rPr>
        <w:t xml:space="preserve">  人民法院对家事纠纷、相邻关系、小额债务、消费纠纷、交通事故、医疗纠纷、物业管理、劳动争议等适宜调解的纠纷，可以在征求当事人意愿的基础上，引导当事人在登记立案前由特邀调解组织或者特邀调解员先行调解。</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color w:val="000000"/>
          <w:spacing w:val="0"/>
          <w:kern w:val="2"/>
          <w:sz w:val="32"/>
          <w:szCs w:val="32"/>
        </w:rPr>
      </w:pPr>
      <w:r>
        <w:rPr>
          <w:rFonts w:hint="eastAsia" w:ascii="宋体" w:hAnsi="宋体" w:eastAsia="仿宋_GB2312" w:cs="仿宋_GB2312"/>
          <w:color w:val="000000"/>
          <w:spacing w:val="0"/>
          <w:kern w:val="2"/>
          <w:sz w:val="32"/>
          <w:szCs w:val="32"/>
          <w:lang w:val="en-US" w:eastAsia="zh-CN" w:bidi="ar"/>
        </w:rPr>
        <w:t>人民法院对于经审查符合立案条件且适宜调解的案件，经征得当事人同意，可以在立案后依法委托给特邀调解组织、特邀调解员进行调解。</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spacing w:val="0"/>
          <w:kern w:val="2"/>
          <w:sz w:val="32"/>
          <w:szCs w:val="32"/>
        </w:rPr>
      </w:pPr>
      <w:r>
        <w:rPr>
          <w:rFonts w:hint="default" w:ascii="宋体" w:hAnsi="宋体" w:eastAsia="黑体" w:cs="黑体"/>
          <w:spacing w:val="0"/>
          <w:kern w:val="2"/>
          <w:sz w:val="32"/>
          <w:szCs w:val="32"/>
          <w:lang w:val="en-US" w:eastAsia="zh-CN" w:bidi="ar"/>
        </w:rPr>
        <w:t>第三十五条</w:t>
      </w:r>
      <w:r>
        <w:rPr>
          <w:rFonts w:hint="eastAsia" w:ascii="宋体" w:hAnsi="宋体" w:eastAsia="仿宋_GB2312" w:cs="仿宋_GB2312"/>
          <w:color w:val="000000"/>
          <w:spacing w:val="0"/>
          <w:kern w:val="2"/>
          <w:sz w:val="32"/>
          <w:szCs w:val="32"/>
          <w:lang w:val="en-US" w:eastAsia="zh-CN" w:bidi="ar"/>
        </w:rPr>
        <w:t xml:space="preserve">  司法行政部门应当支持和保障公证机构依法履行职责，综合运用公证证明、保全证据、现场监督、赋予强制执行效力等制度，在家事、商事等领域开展公证活动或者调解服务，发挥公证在矛盾纠纷多元化解和诉源治理中的作用。</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spacing w:val="0"/>
          <w:kern w:val="2"/>
          <w:sz w:val="32"/>
          <w:szCs w:val="32"/>
        </w:rPr>
      </w:pPr>
      <w:r>
        <w:rPr>
          <w:rFonts w:hint="eastAsia" w:ascii="宋体" w:hAnsi="宋体" w:eastAsia="仿宋_GB2312" w:cs="仿宋_GB2312"/>
          <w:spacing w:val="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default" w:ascii="宋体" w:hAnsi="宋体" w:eastAsia="黑体" w:cs="黑体"/>
          <w:color w:val="000000"/>
          <w:spacing w:val="0"/>
          <w:kern w:val="2"/>
          <w:sz w:val="32"/>
          <w:szCs w:val="32"/>
        </w:rPr>
      </w:pPr>
      <w:r>
        <w:rPr>
          <w:rFonts w:hint="default" w:ascii="宋体" w:hAnsi="宋体" w:eastAsia="黑体" w:cs="黑体"/>
          <w:color w:val="000000"/>
          <w:spacing w:val="0"/>
          <w:kern w:val="2"/>
          <w:sz w:val="32"/>
          <w:szCs w:val="32"/>
          <w:lang w:val="en-US" w:eastAsia="zh-CN" w:bidi="ar"/>
        </w:rPr>
        <w:t>第六章  社会参与</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645"/>
        <w:jc w:val="both"/>
        <w:rPr>
          <w:rFonts w:hint="eastAsia" w:ascii="宋体" w:hAnsi="宋体" w:eastAsia="仿宋_GB2312" w:cs="仿宋_GB2312"/>
          <w:spacing w:val="0"/>
          <w:kern w:val="2"/>
          <w:sz w:val="32"/>
          <w:szCs w:val="32"/>
        </w:rPr>
      </w:pPr>
      <w:r>
        <w:rPr>
          <w:rFonts w:hint="eastAsia" w:ascii="宋体" w:hAnsi="宋体" w:eastAsia="仿宋_GB2312" w:cs="仿宋_GB2312"/>
          <w:spacing w:val="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spacing w:val="0"/>
          <w:kern w:val="2"/>
          <w:sz w:val="32"/>
          <w:szCs w:val="32"/>
        </w:rPr>
      </w:pPr>
      <w:r>
        <w:rPr>
          <w:rFonts w:hint="default" w:ascii="宋体" w:hAnsi="宋体" w:eastAsia="黑体" w:cs="黑体"/>
          <w:spacing w:val="0"/>
          <w:kern w:val="2"/>
          <w:sz w:val="32"/>
          <w:szCs w:val="32"/>
          <w:lang w:val="en-US" w:eastAsia="zh-CN" w:bidi="ar"/>
        </w:rPr>
        <w:t>第三十六条</w:t>
      </w:r>
      <w:r>
        <w:rPr>
          <w:rFonts w:hint="eastAsia" w:ascii="宋体" w:hAnsi="宋体" w:eastAsia="仿宋_GB2312" w:cs="仿宋_GB2312"/>
          <w:color w:val="000000"/>
          <w:spacing w:val="0"/>
          <w:kern w:val="2"/>
          <w:sz w:val="32"/>
          <w:szCs w:val="32"/>
          <w:lang w:val="en-US" w:eastAsia="zh-CN" w:bidi="ar"/>
        </w:rPr>
        <w:t xml:space="preserve">  国家机关、人民团体、企业事业单位和其他社会组织应当建立健全内部平安建设机制，完善防范内部安全风险责任制度，落实各项安全措施，及时掌握本单位职工心理健康情况，对本单位职工开展社会安全责任教育。</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spacing w:val="0"/>
          <w:kern w:val="2"/>
          <w:sz w:val="32"/>
          <w:szCs w:val="32"/>
        </w:rPr>
      </w:pPr>
      <w:r>
        <w:rPr>
          <w:rFonts w:hint="default" w:ascii="宋体" w:hAnsi="宋体" w:eastAsia="黑体" w:cs="黑体"/>
          <w:spacing w:val="0"/>
          <w:kern w:val="2"/>
          <w:sz w:val="32"/>
          <w:szCs w:val="32"/>
          <w:lang w:val="en-US" w:eastAsia="zh-CN" w:bidi="ar"/>
        </w:rPr>
        <w:t>第三十七条</w:t>
      </w:r>
      <w:r>
        <w:rPr>
          <w:rFonts w:hint="eastAsia" w:ascii="宋体" w:hAnsi="宋体" w:eastAsia="仿宋_GB2312" w:cs="仿宋_GB2312"/>
          <w:color w:val="000000"/>
          <w:spacing w:val="0"/>
          <w:kern w:val="2"/>
          <w:sz w:val="32"/>
          <w:szCs w:val="32"/>
          <w:lang w:val="en-US" w:eastAsia="zh-CN" w:bidi="ar"/>
        </w:rPr>
        <w:t xml:space="preserve">  村民委员会、居民委员会应当依法协助乡镇人民政府、街道办事处开展平安建设工作，将平安建设内容纳入村规民约、居民公约。</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spacing w:val="0"/>
          <w:kern w:val="2"/>
          <w:sz w:val="32"/>
          <w:szCs w:val="32"/>
        </w:rPr>
      </w:pPr>
      <w:r>
        <w:rPr>
          <w:rFonts w:hint="default" w:ascii="宋体" w:hAnsi="宋体" w:eastAsia="黑体" w:cs="黑体"/>
          <w:color w:val="000000"/>
          <w:spacing w:val="0"/>
          <w:kern w:val="2"/>
          <w:sz w:val="32"/>
          <w:szCs w:val="32"/>
          <w:lang w:val="en-US" w:eastAsia="zh-CN" w:bidi="ar"/>
        </w:rPr>
        <w:t>第三十八条</w:t>
      </w:r>
      <w:r>
        <w:rPr>
          <w:rFonts w:hint="eastAsia" w:ascii="宋体" w:hAnsi="宋体" w:eastAsia="仿宋_GB2312" w:cs="仿宋_GB2312"/>
          <w:color w:val="000000"/>
          <w:spacing w:val="0"/>
          <w:kern w:val="2"/>
          <w:sz w:val="32"/>
          <w:szCs w:val="32"/>
          <w:lang w:val="en-US" w:eastAsia="zh-CN" w:bidi="ar"/>
        </w:rPr>
        <w:t xml:space="preserve">  行业协会、商会等社会组织应当发挥行业自律作用，指导和支持会员参与平安建设，协助主管部门做好本行业平安建设相关工作。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spacing w:val="0"/>
          <w:kern w:val="2"/>
          <w:sz w:val="32"/>
          <w:szCs w:val="32"/>
        </w:rPr>
      </w:pPr>
      <w:r>
        <w:rPr>
          <w:rFonts w:hint="default" w:ascii="宋体" w:hAnsi="宋体" w:eastAsia="黑体" w:cs="黑体"/>
          <w:color w:val="000000"/>
          <w:spacing w:val="0"/>
          <w:kern w:val="2"/>
          <w:sz w:val="32"/>
          <w:szCs w:val="32"/>
          <w:lang w:val="en-US" w:eastAsia="zh-CN" w:bidi="ar"/>
        </w:rPr>
        <w:t>第三十九条</w:t>
      </w:r>
      <w:r>
        <w:rPr>
          <w:rFonts w:hint="eastAsia" w:ascii="宋体" w:hAnsi="宋体" w:eastAsia="仿宋_GB2312" w:cs="仿宋_GB2312"/>
          <w:color w:val="000000"/>
          <w:spacing w:val="0"/>
          <w:kern w:val="2"/>
          <w:sz w:val="32"/>
          <w:szCs w:val="32"/>
          <w:lang w:val="en-US" w:eastAsia="zh-CN" w:bidi="ar"/>
        </w:rPr>
        <w:t xml:space="preserve">  物业服务企业、大型商业中心、大型市场应当协助有关部门、乡镇人民政府、街道办事处、村民委员会、居民委员会开展平安建设工作。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spacing w:val="0"/>
          <w:kern w:val="2"/>
          <w:sz w:val="32"/>
          <w:szCs w:val="32"/>
        </w:rPr>
      </w:pPr>
      <w:r>
        <w:rPr>
          <w:rFonts w:hint="default" w:ascii="宋体" w:hAnsi="宋体" w:eastAsia="黑体" w:cs="黑体"/>
          <w:color w:val="000000"/>
          <w:spacing w:val="0"/>
          <w:kern w:val="2"/>
          <w:sz w:val="32"/>
          <w:szCs w:val="32"/>
          <w:lang w:val="en-US" w:eastAsia="zh-CN" w:bidi="ar"/>
        </w:rPr>
        <w:t>第四十条</w:t>
      </w:r>
      <w:r>
        <w:rPr>
          <w:rFonts w:hint="eastAsia" w:ascii="宋体" w:hAnsi="宋体" w:eastAsia="仿宋_GB2312" w:cs="仿宋_GB2312"/>
          <w:color w:val="000000"/>
          <w:spacing w:val="0"/>
          <w:kern w:val="2"/>
          <w:sz w:val="32"/>
          <w:szCs w:val="32"/>
          <w:lang w:val="en-US" w:eastAsia="zh-CN" w:bidi="ar"/>
        </w:rPr>
        <w:t xml:space="preserve">  公民应当遵守法律和社会公德，增强自我防护意识，提高安全防范能力，教育未成年子女遵纪守法，促进家庭和邻里关系和谐。</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spacing w:val="0"/>
          <w:kern w:val="2"/>
          <w:sz w:val="32"/>
          <w:szCs w:val="32"/>
        </w:rPr>
      </w:pPr>
      <w:r>
        <w:rPr>
          <w:rFonts w:hint="default" w:ascii="宋体" w:hAnsi="宋体" w:eastAsia="黑体" w:cs="黑体"/>
          <w:color w:val="000000"/>
          <w:spacing w:val="0"/>
          <w:kern w:val="2"/>
          <w:sz w:val="32"/>
          <w:szCs w:val="32"/>
          <w:lang w:val="en-US" w:eastAsia="zh-CN" w:bidi="ar"/>
        </w:rPr>
        <w:t>第四十一条</w:t>
      </w:r>
      <w:r>
        <w:rPr>
          <w:rFonts w:hint="eastAsia" w:ascii="宋体" w:hAnsi="宋体" w:eastAsia="仿宋_GB2312" w:cs="仿宋_GB2312"/>
          <w:color w:val="000000"/>
          <w:spacing w:val="0"/>
          <w:kern w:val="2"/>
          <w:sz w:val="32"/>
          <w:szCs w:val="32"/>
          <w:lang w:val="en-US" w:eastAsia="zh-CN" w:bidi="ar"/>
        </w:rPr>
        <w:t xml:space="preserve">  县级以上人民政府及相关部门应当支持群防群治队伍建设，结合本地区实际对群防群治组织进行业务指导、培训。</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spacing w:val="0"/>
          <w:kern w:val="2"/>
          <w:sz w:val="32"/>
          <w:szCs w:val="32"/>
        </w:rPr>
      </w:pPr>
      <w:r>
        <w:rPr>
          <w:rFonts w:hint="default" w:ascii="宋体" w:hAnsi="宋体" w:eastAsia="黑体" w:cs="黑体"/>
          <w:color w:val="000000"/>
          <w:spacing w:val="0"/>
          <w:kern w:val="2"/>
          <w:sz w:val="32"/>
          <w:szCs w:val="32"/>
          <w:lang w:val="en-US" w:eastAsia="zh-CN" w:bidi="ar"/>
        </w:rPr>
        <w:t>第四十二条</w:t>
      </w:r>
      <w:r>
        <w:rPr>
          <w:rFonts w:hint="eastAsia" w:ascii="宋体" w:hAnsi="宋体" w:eastAsia="仿宋_GB2312" w:cs="仿宋_GB2312"/>
          <w:color w:val="000000"/>
          <w:spacing w:val="0"/>
          <w:kern w:val="2"/>
          <w:sz w:val="32"/>
          <w:szCs w:val="32"/>
          <w:lang w:val="en-US" w:eastAsia="zh-CN" w:bidi="ar"/>
        </w:rPr>
        <w:t xml:space="preserve">  县级平安建设组织协调机构应当建立健全基层平安创建机制，组织开展基层平安创建活动，动员社会力量参与基层平安建设工作。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spacing w:val="0"/>
          <w:kern w:val="2"/>
          <w:sz w:val="32"/>
          <w:szCs w:val="32"/>
        </w:rPr>
      </w:pPr>
      <w:r>
        <w:rPr>
          <w:rFonts w:hint="default" w:ascii="宋体" w:hAnsi="宋体" w:eastAsia="黑体" w:cs="黑体"/>
          <w:color w:val="000000"/>
          <w:spacing w:val="0"/>
          <w:kern w:val="2"/>
          <w:sz w:val="32"/>
          <w:szCs w:val="32"/>
          <w:lang w:val="en-US" w:eastAsia="zh-CN" w:bidi="ar"/>
        </w:rPr>
        <w:t>第四十三条</w:t>
      </w:r>
      <w:r>
        <w:rPr>
          <w:rFonts w:hint="eastAsia" w:ascii="宋体" w:hAnsi="宋体" w:eastAsia="仿宋_GB2312" w:cs="仿宋_GB2312"/>
          <w:color w:val="000000"/>
          <w:spacing w:val="0"/>
          <w:kern w:val="2"/>
          <w:sz w:val="32"/>
          <w:szCs w:val="32"/>
          <w:lang w:val="en-US" w:eastAsia="zh-CN" w:bidi="ar"/>
        </w:rPr>
        <w:t xml:space="preserve">  各级人民政府应当完善政府购买服务等相关扶持政策，支持社会工作服务机构及其他社会组织发挥专业服务功能，依法有序承接平安建设有关工作；健全社会志愿服务体系，完善志愿者权益保障与激励机制，引导、支持社会组织、企业事业单位和公民参与平安建设工作。</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color w:val="000000"/>
          <w:spacing w:val="0"/>
          <w:kern w:val="2"/>
          <w:sz w:val="32"/>
          <w:szCs w:val="32"/>
          <w:lang w:val="en-US" w:eastAsia="zh-CN" w:bidi="ar"/>
        </w:rPr>
        <w:t>第四十四条</w:t>
      </w:r>
      <w:r>
        <w:rPr>
          <w:rFonts w:hint="eastAsia" w:ascii="宋体" w:hAnsi="宋体" w:eastAsia="仿宋_GB2312" w:cs="仿宋_GB2312"/>
          <w:color w:val="000000"/>
          <w:spacing w:val="0"/>
          <w:kern w:val="2"/>
          <w:sz w:val="32"/>
          <w:szCs w:val="32"/>
          <w:lang w:val="en-US" w:eastAsia="zh-CN" w:bidi="ar"/>
        </w:rPr>
        <w:t xml:space="preserve">  报刊、广播、电视、网络等各类媒体应当开展平安建设公益宣传，对平安建设工作进行舆论监督。</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1"/>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default" w:ascii="宋体" w:hAnsi="宋体" w:eastAsia="黑体" w:cs="黑体"/>
          <w:color w:val="000000"/>
          <w:kern w:val="2"/>
          <w:sz w:val="32"/>
          <w:szCs w:val="32"/>
        </w:rPr>
      </w:pPr>
      <w:r>
        <w:rPr>
          <w:rFonts w:hint="default" w:ascii="宋体" w:hAnsi="宋体" w:eastAsia="黑体" w:cs="黑体"/>
          <w:color w:val="000000"/>
          <w:kern w:val="2"/>
          <w:sz w:val="32"/>
          <w:szCs w:val="32"/>
          <w:lang w:val="en-US" w:eastAsia="zh-CN" w:bidi="ar"/>
        </w:rPr>
        <w:t>第七章  监督与责任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eastAsia" w:ascii="宋体" w:hAnsi="宋体" w:eastAsia="仿宋_GB2312" w:cs="仿宋_GB2312"/>
          <w:b/>
          <w:color w:val="000000"/>
          <w:kern w:val="2"/>
          <w:sz w:val="32"/>
          <w:szCs w:val="32"/>
        </w:rPr>
      </w:pPr>
      <w:r>
        <w:rPr>
          <w:rFonts w:hint="eastAsia" w:ascii="宋体" w:hAnsi="宋体" w:eastAsia="仿宋_GB2312" w:cs="仿宋_GB2312"/>
          <w:b/>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color w:val="000000"/>
          <w:kern w:val="2"/>
          <w:sz w:val="32"/>
          <w:szCs w:val="32"/>
          <w:lang w:val="en-US" w:eastAsia="zh-CN" w:bidi="ar"/>
        </w:rPr>
        <w:t>第</w:t>
      </w:r>
      <w:r>
        <w:rPr>
          <w:rFonts w:hint="default" w:ascii="宋体" w:hAnsi="宋体" w:eastAsia="黑体" w:cs="黑体"/>
          <w:i w:val="0"/>
          <w:color w:val="000000"/>
          <w:kern w:val="2"/>
          <w:sz w:val="32"/>
          <w:szCs w:val="32"/>
          <w:lang w:val="en-US" w:eastAsia="zh-CN" w:bidi="ar"/>
        </w:rPr>
        <w:t>四十五</w:t>
      </w:r>
      <w:r>
        <w:rPr>
          <w:rFonts w:hint="default" w:ascii="宋体" w:hAnsi="宋体" w:eastAsia="黑体" w:cs="黑体"/>
          <w:color w:val="000000"/>
          <w:kern w:val="2"/>
          <w:sz w:val="32"/>
          <w:szCs w:val="32"/>
          <w:lang w:val="en-US" w:eastAsia="zh-CN" w:bidi="ar"/>
        </w:rPr>
        <w:t>条</w:t>
      </w:r>
      <w:r>
        <w:rPr>
          <w:rFonts w:hint="eastAsia" w:ascii="宋体" w:hAnsi="宋体" w:eastAsia="仿宋_GB2312" w:cs="仿宋_GB2312"/>
          <w:color w:val="000000"/>
          <w:kern w:val="2"/>
          <w:sz w:val="32"/>
          <w:szCs w:val="32"/>
          <w:lang w:val="en-US" w:eastAsia="zh-CN" w:bidi="ar"/>
        </w:rPr>
        <w:t xml:space="preserve">  省平安建设组织协调机构应当建立健全平安建设考核评价机制，制定考核评价标准和指标体系，强化考核评价结果运用，推动落实平安建设工作责任制和领导责任制。</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color w:val="000000"/>
          <w:kern w:val="2"/>
          <w:sz w:val="32"/>
          <w:szCs w:val="32"/>
        </w:rPr>
      </w:pPr>
      <w:r>
        <w:rPr>
          <w:rFonts w:hint="eastAsia" w:ascii="宋体" w:hAnsi="宋体" w:eastAsia="仿宋_GB2312" w:cs="仿宋_GB2312"/>
          <w:color w:val="000000"/>
          <w:spacing w:val="0"/>
          <w:kern w:val="2"/>
          <w:sz w:val="32"/>
          <w:szCs w:val="32"/>
          <w:lang w:val="en-US" w:eastAsia="zh-CN" w:bidi="ar"/>
        </w:rPr>
        <w:t>县级以上平安建设组织协调机构在实施平安建设考核评价</w:t>
      </w:r>
      <w:r>
        <w:rPr>
          <w:rFonts w:hint="eastAsia" w:ascii="宋体" w:hAnsi="宋体" w:eastAsia="仿宋_GB2312" w:cs="仿宋_GB2312"/>
          <w:color w:val="000000"/>
          <w:kern w:val="2"/>
          <w:sz w:val="32"/>
          <w:szCs w:val="32"/>
          <w:lang w:val="en-US" w:eastAsia="zh-CN" w:bidi="ar"/>
        </w:rPr>
        <w:t>时，可以委托第三方机构开展群众安全感和平安工作满意度调查。</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i w:val="0"/>
          <w:color w:val="000000"/>
          <w:kern w:val="2"/>
          <w:sz w:val="32"/>
          <w:szCs w:val="32"/>
          <w:lang w:val="en-US" w:eastAsia="zh-CN" w:bidi="ar"/>
        </w:rPr>
        <w:t>第四十六条</w:t>
      </w:r>
      <w:r>
        <w:rPr>
          <w:rFonts w:hint="eastAsia" w:ascii="宋体" w:hAnsi="宋体" w:eastAsia="仿宋_GB2312" w:cs="仿宋_GB2312"/>
          <w:color w:val="000000"/>
          <w:kern w:val="2"/>
          <w:sz w:val="32"/>
          <w:szCs w:val="32"/>
          <w:lang w:val="en-US" w:eastAsia="zh-CN" w:bidi="ar"/>
        </w:rPr>
        <w:t xml:space="preserve">  对在平安建设工作中成绩显著的单位、组织和个人，应当按照国家和省的规定给予表彰、奖励。</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对未达到平安建设目标要求的，按照国家和省的规定追究相关单位、组织和个人的责任。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i w:val="0"/>
          <w:color w:val="000000"/>
          <w:kern w:val="2"/>
          <w:sz w:val="32"/>
          <w:szCs w:val="32"/>
          <w:lang w:val="en-US" w:eastAsia="zh-CN" w:bidi="ar"/>
        </w:rPr>
        <w:t>第四十七条</w:t>
      </w:r>
      <w:r>
        <w:rPr>
          <w:rFonts w:hint="eastAsia" w:ascii="宋体" w:hAnsi="宋体" w:eastAsia="仿宋_GB2312" w:cs="仿宋_GB2312"/>
          <w:color w:val="000000"/>
          <w:kern w:val="2"/>
          <w:sz w:val="32"/>
          <w:szCs w:val="32"/>
          <w:lang w:val="en-US" w:eastAsia="zh-CN" w:bidi="ar"/>
        </w:rPr>
        <w:t xml:space="preserve">  平安建设组织协调机构应当完善督导检查机制，发现相关单位履行职责不力的，应当对相关单位主要负责人进行约谈。</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rPr>
          <w:rFonts w:hint="eastAsia" w:ascii="宋体" w:hAnsi="宋体" w:eastAsia="仿宋_GB2312" w:cs="仿宋_GB2312"/>
          <w:kern w:val="2"/>
          <w:sz w:val="32"/>
          <w:szCs w:val="32"/>
        </w:rPr>
      </w:pPr>
      <w:r>
        <w:rPr>
          <w:rFonts w:hint="default" w:ascii="宋体" w:hAnsi="宋体" w:eastAsia="黑体" w:cs="黑体"/>
          <w:i w:val="0"/>
          <w:color w:val="000000"/>
          <w:kern w:val="2"/>
          <w:sz w:val="32"/>
          <w:szCs w:val="32"/>
          <w:lang w:val="en-US" w:eastAsia="zh-CN" w:bidi="ar"/>
        </w:rPr>
        <w:t>第四十八条</w:t>
      </w:r>
      <w:r>
        <w:rPr>
          <w:rFonts w:hint="eastAsia" w:ascii="宋体" w:hAnsi="宋体" w:eastAsia="仿宋_GB2312" w:cs="仿宋_GB2312"/>
          <w:color w:val="000000"/>
          <w:kern w:val="2"/>
          <w:sz w:val="32"/>
          <w:szCs w:val="32"/>
          <w:lang w:val="en-US" w:eastAsia="zh-CN" w:bidi="ar"/>
        </w:rPr>
        <w:t xml:space="preserve">  县级以上人民代表大会常务委员会应当加强对平安建设工作的监督。</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监察委员会、人民法院、人民检察院在履行职责中发现平安建设突出问题的，应当依法提出监察建议、司法建议、检察建议。</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i w:val="0"/>
          <w:color w:val="000000"/>
          <w:kern w:val="2"/>
          <w:sz w:val="32"/>
          <w:szCs w:val="32"/>
          <w:lang w:val="en-US" w:eastAsia="zh-CN" w:bidi="ar"/>
        </w:rPr>
        <w:t>第四十九条</w:t>
      </w:r>
      <w:r>
        <w:rPr>
          <w:rFonts w:hint="eastAsia" w:ascii="宋体" w:hAnsi="宋体" w:eastAsia="仿宋_GB2312" w:cs="仿宋_GB2312"/>
          <w:color w:val="000000"/>
          <w:kern w:val="2"/>
          <w:sz w:val="32"/>
          <w:szCs w:val="32"/>
          <w:lang w:val="en-US" w:eastAsia="zh-CN" w:bidi="ar"/>
        </w:rPr>
        <w:t xml:space="preserve">  平安建设组织协调机构、人民政府及相关部门未依法履行平安建设工作职责，由上一级平安建设组织协调机构责令限期整改；逾期不整改或者未按期完成整改目标的，有权机关应当依法予以处理。</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eastAsia" w:ascii="宋体" w:hAnsi="宋体" w:eastAsia="仿宋_GB2312" w:cs="仿宋_GB2312"/>
          <w:color w:val="000000"/>
          <w:kern w:val="2"/>
          <w:sz w:val="32"/>
          <w:szCs w:val="32"/>
          <w:lang w:val="en-US" w:eastAsia="zh-CN" w:bidi="ar"/>
        </w:rPr>
        <w:t>国家机关工作人员在平安建设及相关监督管理工作中滥用职权、玩忽职守、徇私舞弊的，依法给予处分；构成犯罪的，依法追究刑事责任。</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i w:val="0"/>
          <w:color w:val="000000"/>
          <w:kern w:val="2"/>
          <w:sz w:val="32"/>
          <w:szCs w:val="32"/>
          <w:lang w:val="en-US" w:eastAsia="zh-CN" w:bidi="ar"/>
        </w:rPr>
        <w:t>第五十条</w:t>
      </w:r>
      <w:r>
        <w:rPr>
          <w:rFonts w:hint="eastAsia" w:ascii="宋体" w:hAnsi="宋体" w:eastAsia="仿宋_GB2312" w:cs="仿宋_GB2312"/>
          <w:i w:val="0"/>
          <w:color w:val="000000"/>
          <w:kern w:val="2"/>
          <w:sz w:val="32"/>
          <w:szCs w:val="32"/>
          <w:lang w:val="en-US" w:eastAsia="zh-CN" w:bidi="ar"/>
        </w:rPr>
        <w:t xml:space="preserve"> </w:t>
      </w:r>
      <w:r>
        <w:rPr>
          <w:rFonts w:hint="eastAsia" w:ascii="宋体" w:hAnsi="宋体" w:eastAsia="仿宋_GB2312" w:cs="仿宋_GB2312"/>
          <w:color w:val="000000"/>
          <w:kern w:val="2"/>
          <w:sz w:val="32"/>
          <w:szCs w:val="32"/>
          <w:lang w:val="en-US" w:eastAsia="zh-CN" w:bidi="ar"/>
        </w:rPr>
        <w:t xml:space="preserve"> 人民团体、企业事业单位和其他社会组织违反本条例规定，未依法履行平安建设义务的，有关主管部门应当责令限期整改，并可以予以通报批评；法律、法规另有规定的，从其规定。</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eastAsia" w:ascii="宋体" w:hAnsi="宋体" w:eastAsia="仿宋_GB2312" w:cs="仿宋_GB2312"/>
          <w:b/>
          <w:color w:val="000000"/>
          <w:kern w:val="2"/>
          <w:sz w:val="32"/>
          <w:szCs w:val="32"/>
        </w:rPr>
      </w:pPr>
      <w:r>
        <w:rPr>
          <w:rFonts w:hint="eastAsia" w:ascii="宋体" w:hAnsi="宋体" w:eastAsia="仿宋_GB2312" w:cs="仿宋_GB2312"/>
          <w:b/>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jc w:val="center"/>
        <w:outlineLvl w:val="1"/>
        <w:rPr>
          <w:rFonts w:hint="default" w:ascii="宋体" w:hAnsi="宋体" w:eastAsia="黑体" w:cs="黑体"/>
          <w:color w:val="000000"/>
          <w:kern w:val="2"/>
          <w:sz w:val="32"/>
          <w:szCs w:val="32"/>
        </w:rPr>
      </w:pPr>
      <w:r>
        <w:rPr>
          <w:rFonts w:hint="default" w:ascii="宋体" w:hAnsi="宋体" w:eastAsia="黑体" w:cs="黑体"/>
          <w:color w:val="000000"/>
          <w:kern w:val="2"/>
          <w:sz w:val="32"/>
          <w:szCs w:val="32"/>
          <w:lang w:val="en-US" w:eastAsia="zh-CN" w:bidi="ar"/>
        </w:rPr>
        <w:t>第八章  附  则</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b/>
          <w:color w:val="000000"/>
          <w:kern w:val="2"/>
          <w:sz w:val="32"/>
          <w:szCs w:val="32"/>
        </w:rPr>
      </w:pPr>
      <w:r>
        <w:rPr>
          <w:rFonts w:hint="eastAsia" w:ascii="宋体" w:hAnsi="宋体" w:eastAsia="仿宋_GB2312" w:cs="仿宋_GB2312"/>
          <w:b/>
          <w:color w:val="000000"/>
          <w:kern w:val="2"/>
          <w:sz w:val="32"/>
          <w:szCs w:val="32"/>
          <w:lang w:val="en-US" w:eastAsia="zh-CN" w:bidi="ar"/>
        </w:rPr>
        <w:t xml:space="preserve"> </w:t>
      </w:r>
    </w:p>
    <w:p>
      <w:pPr>
        <w:keepNext w:val="0"/>
        <w:keepLines w:val="0"/>
        <w:pageBreakBefore w:val="0"/>
        <w:widowControl w:val="0"/>
        <w:suppressLineNumbers w:val="0"/>
        <w:kinsoku/>
        <w:overflowPunct w:val="0"/>
        <w:topLinePunct w:val="0"/>
        <w:autoSpaceDN/>
        <w:bidi w:val="0"/>
        <w:adjustRightInd w:val="0"/>
        <w:spacing w:beforeAutospacing="0" w:afterAutospacing="0" w:line="590" w:lineRule="exact"/>
        <w:ind w:left="0" w:right="0" w:firstLine="632" w:firstLineChars="200"/>
        <w:jc w:val="both"/>
        <w:outlineLvl w:val="2"/>
        <w:rPr>
          <w:rFonts w:hint="eastAsia" w:ascii="宋体" w:hAnsi="宋体" w:eastAsia="仿宋_GB2312" w:cs="仿宋_GB2312"/>
          <w:color w:val="000000"/>
          <w:kern w:val="2"/>
          <w:sz w:val="32"/>
          <w:szCs w:val="32"/>
        </w:rPr>
      </w:pPr>
      <w:r>
        <w:rPr>
          <w:rFonts w:hint="default" w:ascii="宋体" w:hAnsi="宋体" w:eastAsia="黑体" w:cs="黑体"/>
          <w:i w:val="0"/>
          <w:color w:val="000000"/>
          <w:kern w:val="2"/>
          <w:sz w:val="32"/>
          <w:szCs w:val="32"/>
          <w:lang w:val="en-US" w:eastAsia="zh-CN" w:bidi="ar"/>
        </w:rPr>
        <w:t>第五十一条</w:t>
      </w:r>
      <w:r>
        <w:rPr>
          <w:rFonts w:hint="eastAsia" w:ascii="宋体" w:hAnsi="宋体" w:eastAsia="仿宋_GB2312" w:cs="仿宋_GB2312"/>
          <w:color w:val="000000"/>
          <w:kern w:val="2"/>
          <w:sz w:val="32"/>
          <w:szCs w:val="32"/>
          <w:lang w:val="en-US" w:eastAsia="zh-CN" w:bidi="ar"/>
        </w:rPr>
        <w:t xml:space="preserve">  本条例自</w:t>
      </w:r>
      <w:r>
        <w:rPr>
          <w:rFonts w:hint="eastAsia" w:ascii="宋体" w:hAnsi="宋体" w:eastAsia="宋体" w:cs="宋体"/>
          <w:color w:val="000000"/>
          <w:kern w:val="2"/>
          <w:sz w:val="32"/>
          <w:szCs w:val="32"/>
          <w:lang w:val="en-US" w:eastAsia="zh-CN" w:bidi="ar"/>
        </w:rPr>
        <w:t>2022</w:t>
      </w:r>
      <w:r>
        <w:rPr>
          <w:rFonts w:hint="eastAsia" w:ascii="宋体" w:hAnsi="宋体" w:eastAsia="仿宋_GB2312" w:cs="仿宋_GB2312"/>
          <w:color w:val="000000"/>
          <w:kern w:val="2"/>
          <w:sz w:val="32"/>
          <w:szCs w:val="32"/>
          <w:lang w:val="en-US" w:eastAsia="zh-CN" w:bidi="ar"/>
        </w:rPr>
        <w:t>年</w:t>
      </w:r>
      <w:r>
        <w:rPr>
          <w:rFonts w:hint="eastAsia" w:ascii="宋体" w:hAnsi="宋体" w:eastAsia="宋体" w:cs="宋体"/>
          <w:color w:val="000000"/>
          <w:kern w:val="2"/>
          <w:sz w:val="32"/>
          <w:szCs w:val="32"/>
          <w:lang w:val="en-US" w:eastAsia="zh-CN" w:bidi="ar"/>
        </w:rPr>
        <w:t>1</w:t>
      </w:r>
      <w:r>
        <w:rPr>
          <w:rFonts w:hint="eastAsia" w:ascii="宋体" w:hAnsi="宋体" w:eastAsia="仿宋_GB2312" w:cs="仿宋_GB2312"/>
          <w:color w:val="000000"/>
          <w:kern w:val="2"/>
          <w:sz w:val="32"/>
          <w:szCs w:val="32"/>
          <w:lang w:val="en-US" w:eastAsia="zh-CN" w:bidi="ar"/>
        </w:rPr>
        <w:t>月</w:t>
      </w:r>
      <w:r>
        <w:rPr>
          <w:rFonts w:hint="eastAsia" w:ascii="宋体" w:hAnsi="宋体" w:eastAsia="宋体" w:cs="宋体"/>
          <w:color w:val="000000"/>
          <w:kern w:val="2"/>
          <w:sz w:val="32"/>
          <w:szCs w:val="32"/>
          <w:lang w:val="en-US" w:eastAsia="zh-CN" w:bidi="ar"/>
        </w:rPr>
        <w:t>1</w:t>
      </w:r>
      <w:r>
        <w:rPr>
          <w:rFonts w:hint="eastAsia" w:ascii="宋体" w:hAnsi="宋体" w:eastAsia="仿宋_GB2312" w:cs="仿宋_GB2312"/>
          <w:color w:val="000000"/>
          <w:kern w:val="2"/>
          <w:sz w:val="32"/>
          <w:szCs w:val="32"/>
          <w:lang w:val="en-US" w:eastAsia="zh-CN" w:bidi="ar"/>
        </w:rPr>
        <w:t>日起施行。</w:t>
      </w:r>
      <w:r>
        <w:rPr>
          <w:rFonts w:hint="eastAsia" w:ascii="宋体" w:hAnsi="宋体" w:eastAsia="宋体" w:cs="宋体"/>
          <w:color w:val="000000"/>
          <w:kern w:val="2"/>
          <w:sz w:val="32"/>
          <w:szCs w:val="32"/>
          <w:lang w:val="en-US" w:eastAsia="zh-CN" w:bidi="ar"/>
        </w:rPr>
        <w:t>2017</w:t>
      </w:r>
      <w:r>
        <w:rPr>
          <w:rFonts w:hint="eastAsia" w:ascii="宋体" w:hAnsi="宋体" w:eastAsia="仿宋_GB2312" w:cs="仿宋_GB2312"/>
          <w:color w:val="000000"/>
          <w:kern w:val="2"/>
          <w:sz w:val="32"/>
          <w:szCs w:val="32"/>
          <w:lang w:val="en-US" w:eastAsia="zh-CN" w:bidi="ar"/>
        </w:rPr>
        <w:t>年</w:t>
      </w:r>
      <w:r>
        <w:rPr>
          <w:rFonts w:hint="eastAsia" w:ascii="宋体" w:hAnsi="宋体" w:eastAsia="宋体" w:cs="宋体"/>
          <w:color w:val="000000"/>
          <w:kern w:val="2"/>
          <w:sz w:val="32"/>
          <w:szCs w:val="32"/>
          <w:lang w:val="en-US" w:eastAsia="zh-CN" w:bidi="ar"/>
        </w:rPr>
        <w:t>6</w:t>
      </w:r>
      <w:r>
        <w:rPr>
          <w:rFonts w:hint="eastAsia" w:ascii="宋体" w:hAnsi="宋体" w:eastAsia="仿宋_GB2312" w:cs="仿宋_GB2312"/>
          <w:color w:val="000000"/>
          <w:kern w:val="2"/>
          <w:sz w:val="32"/>
          <w:szCs w:val="32"/>
          <w:lang w:val="en-US" w:eastAsia="zh-CN" w:bidi="ar"/>
        </w:rPr>
        <w:t>月</w:t>
      </w:r>
      <w:r>
        <w:rPr>
          <w:rFonts w:hint="eastAsia" w:ascii="宋体" w:hAnsi="宋体" w:eastAsia="宋体" w:cs="宋体"/>
          <w:color w:val="000000"/>
          <w:kern w:val="2"/>
          <w:sz w:val="32"/>
          <w:szCs w:val="32"/>
          <w:lang w:val="en-US" w:eastAsia="zh-CN" w:bidi="ar"/>
        </w:rPr>
        <w:t>2</w:t>
      </w:r>
      <w:r>
        <w:rPr>
          <w:rFonts w:hint="eastAsia" w:ascii="宋体" w:hAnsi="宋体" w:eastAsia="仿宋_GB2312" w:cs="仿宋_GB2312"/>
          <w:color w:val="000000"/>
          <w:kern w:val="2"/>
          <w:sz w:val="32"/>
          <w:szCs w:val="32"/>
          <w:lang w:val="en-US" w:eastAsia="zh-CN" w:bidi="ar"/>
        </w:rPr>
        <w:t>日广东省第十二届人民代表大会常务委员会第三十三次会议通过的《广东省人民代表大会常务委员会关于深化平安广东建设的决定》同时废止。</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0"/>
        <w:jc w:val="both"/>
        <w:textAlignment w:val="baseline"/>
        <w:rPr>
          <w:rFonts w:hint="eastAsia" w:ascii="宋体" w:hAnsi="宋体" w:eastAsia="仿宋_GB2312" w:cs="Times New Roman"/>
          <w:kern w:val="0"/>
          <w:sz w:val="32"/>
          <w:szCs w:val="32"/>
          <w:vertAlign w:val="baseline"/>
          <w:lang w:val="en-US" w:eastAsia="zh-CN" w:bidi="ar"/>
        </w:rPr>
      </w:pPr>
      <w:r>
        <w:rPr>
          <w:rFonts w:hint="eastAsia" w:ascii="宋体" w:hAnsi="宋体" w:eastAsia="仿宋_GB2312" w:cs="Times New Roman"/>
          <w:kern w:val="0"/>
          <w:sz w:val="32"/>
          <w:szCs w:val="32"/>
          <w:vertAlign w:val="baseline"/>
          <w:lang w:val="en-US" w:eastAsia="zh-CN" w:bidi="ar"/>
        </w:rPr>
        <w:t xml:space="preserve"> </w:t>
      </w:r>
    </w:p>
    <w:p>
      <w:pPr>
        <w:pStyle w:val="13"/>
        <w:keepNext w:val="0"/>
        <w:keepLines w:val="0"/>
        <w:pageBreakBefore w:val="0"/>
        <w:widowControl w:val="0"/>
        <w:suppressLineNumbers w:val="0"/>
        <w:kinsoku/>
        <w:overflowPunct w:val="0"/>
        <w:topLinePunct w:val="0"/>
        <w:autoSpaceDN/>
        <w:bidi w:val="0"/>
        <w:adjustRightInd w:val="0"/>
        <w:spacing w:before="0" w:beforeLines="0" w:beforeAutospacing="0" w:after="0" w:afterLines="0" w:afterAutospacing="0" w:line="590" w:lineRule="exact"/>
        <w:ind w:left="0" w:right="0" w:firstLine="0"/>
        <w:jc w:val="both"/>
        <w:textAlignment w:val="baseline"/>
        <w:rPr>
          <w:rFonts w:hint="eastAsia" w:ascii="宋体" w:hAnsi="宋体" w:eastAsia="仿宋_GB2312" w:cs="Times New Roman"/>
          <w:kern w:val="0"/>
          <w:sz w:val="32"/>
          <w:szCs w:val="32"/>
          <w:vertAlign w:val="baseline"/>
          <w:lang w:val="en-US" w:eastAsia="zh-CN" w:bidi="ar"/>
        </w:rPr>
      </w:pPr>
      <w:bookmarkStart w:id="0" w:name="_GoBack"/>
      <w:bookmarkEnd w:id="0"/>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Noto Sans Syriac Eastern">
    <w:altName w:val="宋体"/>
    <w:panose1 w:val="02040503050306020203"/>
    <w:charset w:val="86"/>
    <w:family w:val="auto"/>
    <w:pitch w:val="default"/>
    <w:sig w:usb0="00000000" w:usb1="00000000" w:usb2="00000080" w:usb3="00000000" w:csb0="203E0161" w:csb1="D7FF0000"/>
  </w:font>
  <w:font w:name="方正宋体S-超大字符集">
    <w:altName w:val="宋体"/>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BFF538A"/>
    <w:rsid w:val="2DDF0D6F"/>
    <w:rsid w:val="2F6418ED"/>
    <w:rsid w:val="31DB5B14"/>
    <w:rsid w:val="34152DC2"/>
    <w:rsid w:val="341E6D68"/>
    <w:rsid w:val="363F4357"/>
    <w:rsid w:val="375D349B"/>
    <w:rsid w:val="37C707A3"/>
    <w:rsid w:val="381406BD"/>
    <w:rsid w:val="38882FCA"/>
    <w:rsid w:val="388C40E8"/>
    <w:rsid w:val="38AB7D8C"/>
    <w:rsid w:val="390C3D84"/>
    <w:rsid w:val="39130050"/>
    <w:rsid w:val="3EC77AA3"/>
    <w:rsid w:val="3F9DE1FC"/>
    <w:rsid w:val="40673A31"/>
    <w:rsid w:val="41443C70"/>
    <w:rsid w:val="42E04658"/>
    <w:rsid w:val="44CF252C"/>
    <w:rsid w:val="47F60ED7"/>
    <w:rsid w:val="4862267E"/>
    <w:rsid w:val="4AF01A75"/>
    <w:rsid w:val="4B1D40BD"/>
    <w:rsid w:val="4B1D5138"/>
    <w:rsid w:val="4BF05C55"/>
    <w:rsid w:val="4D2D6729"/>
    <w:rsid w:val="4DA05958"/>
    <w:rsid w:val="511D4D5B"/>
    <w:rsid w:val="511F1590"/>
    <w:rsid w:val="51533045"/>
    <w:rsid w:val="515A66AF"/>
    <w:rsid w:val="51FB77F1"/>
    <w:rsid w:val="52701C74"/>
    <w:rsid w:val="5891480F"/>
    <w:rsid w:val="5C216CEF"/>
    <w:rsid w:val="5C334EFE"/>
    <w:rsid w:val="5E617566"/>
    <w:rsid w:val="5ED165AF"/>
    <w:rsid w:val="5EEF1A0C"/>
    <w:rsid w:val="5F1F3699"/>
    <w:rsid w:val="5F484E2D"/>
    <w:rsid w:val="5FF6A63D"/>
    <w:rsid w:val="603B07CD"/>
    <w:rsid w:val="638156B1"/>
    <w:rsid w:val="64401FFB"/>
    <w:rsid w:val="64711DC6"/>
    <w:rsid w:val="65DA60DB"/>
    <w:rsid w:val="66ED1FE1"/>
    <w:rsid w:val="67B65FF8"/>
    <w:rsid w:val="68E136BE"/>
    <w:rsid w:val="690337E2"/>
    <w:rsid w:val="6C544E08"/>
    <w:rsid w:val="6D336076"/>
    <w:rsid w:val="6D7E2528"/>
    <w:rsid w:val="6FF3D49C"/>
    <w:rsid w:val="70AD1945"/>
    <w:rsid w:val="70B90714"/>
    <w:rsid w:val="70F80C9B"/>
    <w:rsid w:val="70FA6FEE"/>
    <w:rsid w:val="71A74628"/>
    <w:rsid w:val="722217A9"/>
    <w:rsid w:val="72247A70"/>
    <w:rsid w:val="73C2091D"/>
    <w:rsid w:val="74C5727F"/>
    <w:rsid w:val="769D666E"/>
    <w:rsid w:val="76DA649D"/>
    <w:rsid w:val="76E01EB3"/>
    <w:rsid w:val="79025A8E"/>
    <w:rsid w:val="7A631492"/>
    <w:rsid w:val="7C8A566B"/>
    <w:rsid w:val="7C996E3F"/>
    <w:rsid w:val="7F6C6ACC"/>
    <w:rsid w:val="7FB82C5D"/>
    <w:rsid w:val="BFBD9734"/>
    <w:rsid w:val="E967B0B6"/>
    <w:rsid w:val="F7FDDB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5">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5">
    <w:name w:val="Default Paragraph Font"/>
    <w:link w:val="16"/>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6">
    <w:name w:val="Normal Indent"/>
    <w:basedOn w:val="1"/>
    <w:next w:val="1"/>
    <w:qFormat/>
    <w:uiPriority w:val="0"/>
    <w:pPr>
      <w:ind w:firstLine="420" w:firstLineChars="200"/>
    </w:pPr>
    <w:rPr>
      <w:rFonts w:ascii="Calibri" w:hAnsi="Calibri" w:eastAsia="宋体"/>
    </w:rPr>
  </w:style>
  <w:style w:type="paragraph" w:styleId="7">
    <w:name w:val="Body Text"/>
    <w:basedOn w:val="1"/>
    <w:qFormat/>
    <w:uiPriority w:val="0"/>
    <w:rPr>
      <w:rFonts w:eastAsia="宋体"/>
      <w:sz w:val="4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Body Text First Indent 2"/>
    <w:basedOn w:val="2"/>
    <w:qFormat/>
    <w:uiPriority w:val="0"/>
    <w:pPr>
      <w:ind w:firstLine="420" w:firstLineChars="200"/>
    </w:p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6">
    <w:name w:val=" Char Char Char Char Char Char Char Char Char1 Char Char Char Char"/>
    <w:basedOn w:val="17"/>
    <w:link w:val="15"/>
    <w:qFormat/>
    <w:uiPriority w:val="0"/>
  </w:style>
  <w:style w:type="paragraph" w:customStyle="1" w:styleId="17">
    <w:name w:val="正文 New"/>
    <w:qFormat/>
    <w:uiPriority w:val="0"/>
    <w:pPr>
      <w:widowControl w:val="0"/>
      <w:jc w:val="both"/>
    </w:pPr>
    <w:rPr>
      <w:rFonts w:ascii="Times New Roman" w:hAnsi="Times New Roman" w:eastAsia="宋体" w:cs="Times New Roman"/>
      <w:kern w:val="2"/>
      <w:sz w:val="21"/>
      <w:lang w:val="en-US" w:eastAsia="zh-CN" w:bidi="ar-SA"/>
    </w:rPr>
  </w:style>
  <w:style w:type="character" w:styleId="18">
    <w:name w:val="Strong"/>
    <w:basedOn w:val="15"/>
    <w:qFormat/>
    <w:uiPriority w:val="0"/>
    <w:rPr>
      <w:b/>
      <w:bCs/>
    </w:rPr>
  </w:style>
  <w:style w:type="character" w:styleId="19">
    <w:name w:val="page number"/>
    <w:basedOn w:val="15"/>
    <w:qFormat/>
    <w:uiPriority w:val="0"/>
  </w:style>
  <w:style w:type="character" w:styleId="20">
    <w:name w:val="Hyperlink"/>
    <w:basedOn w:val="15"/>
    <w:qFormat/>
    <w:uiPriority w:val="0"/>
    <w:rPr>
      <w:color w:val="0000FF"/>
      <w:u w:val="single"/>
    </w:rPr>
  </w:style>
  <w:style w:type="paragraph" w:customStyle="1" w:styleId="22">
    <w:name w:val=" Char"/>
    <w:basedOn w:val="1"/>
    <w:link w:val="15"/>
    <w:qFormat/>
    <w:uiPriority w:val="0"/>
  </w:style>
  <w:style w:type="paragraph" w:customStyle="1" w:styleId="23">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4">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5">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6">
    <w:name w:val="p0"/>
    <w:basedOn w:val="1"/>
    <w:qFormat/>
    <w:uiPriority w:val="0"/>
    <w:pPr>
      <w:widowControl/>
    </w:pPr>
    <w:rPr>
      <w:rFonts w:hint="eastAsia" w:ascii="宋体" w:hAnsi="宋体"/>
      <w:sz w:val="32"/>
    </w:rPr>
  </w:style>
  <w:style w:type="paragraph" w:customStyle="1" w:styleId="27">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8">
    <w:name w:val="p1"/>
    <w:basedOn w:val="1"/>
    <w:qFormat/>
    <w:uiPriority w:val="99"/>
    <w:pPr>
      <w:widowControl/>
      <w:jc w:val="center"/>
    </w:pPr>
    <w:rPr>
      <w:rFonts w:ascii=".PingFang SC" w:hAnsi=".PingFang SC" w:eastAsia=".PingFang SC"/>
      <w:color w:val="454545"/>
      <w:kern w:val="0"/>
      <w:sz w:val="18"/>
      <w:szCs w:val="18"/>
    </w:rPr>
  </w:style>
  <w:style w:type="paragraph" w:customStyle="1" w:styleId="29">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0">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2">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3">
    <w:name w:val="15"/>
    <w:qFormat/>
    <w:uiPriority w:val="0"/>
    <w:rPr>
      <w:rFonts w:hint="default" w:ascii="Times New Roman" w:hAnsi="Times New Roman" w:cs="Times New Roman"/>
      <w:b/>
      <w:bCs/>
      <w:sz w:val="20"/>
      <w:szCs w:val="20"/>
    </w:rPr>
  </w:style>
  <w:style w:type="character" w:customStyle="1" w:styleId="34">
    <w:name w:val="form-textarea-print1"/>
    <w:basedOn w:val="15"/>
    <w:qFormat/>
    <w:uiPriority w:val="0"/>
    <w:rPr>
      <w:sz w:val="14"/>
      <w:szCs w:val="14"/>
    </w:rPr>
  </w:style>
  <w:style w:type="paragraph" w:customStyle="1" w:styleId="35">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6">
    <w:name w:val="p15"/>
    <w:basedOn w:val="37"/>
    <w:qFormat/>
    <w:uiPriority w:val="3"/>
    <w:pPr>
      <w:widowControl/>
      <w:ind w:firstLine="420"/>
    </w:pPr>
    <w:rPr>
      <w:rFonts w:ascii="仿宋_GB2312" w:hAnsi="仿宋_GB2312" w:eastAsia="仿宋_GB2312" w:cs="仿宋_GB2312"/>
      <w:kern w:val="0"/>
      <w:sz w:val="32"/>
      <w:szCs w:val="32"/>
    </w:rPr>
  </w:style>
  <w:style w:type="paragraph" w:customStyle="1" w:styleId="37">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8">
    <w:name w:val="bjh-p"/>
    <w:unhideWhenUsed/>
    <w:qFormat/>
    <w:uiPriority w:val="0"/>
    <w:rPr>
      <w:rFonts w:hint="default"/>
      <w:sz w:val="24"/>
    </w:rPr>
  </w:style>
  <w:style w:type="paragraph" w:customStyle="1" w:styleId="39">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0">
    <w:name w:val="p17"/>
    <w:basedOn w:val="1"/>
    <w:qFormat/>
    <w:uiPriority w:val="0"/>
    <w:pPr>
      <w:widowControl/>
      <w:ind w:firstLine="420"/>
    </w:pPr>
    <w:rPr>
      <w:rFonts w:ascii="仿宋_GB2312" w:hAnsi="宋体" w:eastAsia="仿宋_GB2312" w:cs="宋体"/>
      <w:kern w:val="0"/>
      <w:sz w:val="32"/>
      <w:szCs w:val="32"/>
    </w:rPr>
  </w:style>
  <w:style w:type="paragraph" w:customStyle="1" w:styleId="41">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2019-04-12T15:40:00Z</dcterms:created>
  <dc:creator>谢浩然</dc:creator>
  <cp:lastModifiedBy>PC</cp:lastModifiedBy>
  <cp:lastPrinted>2020-12-12T10:27:00Z</cp:lastPrinted>
  <dcterms:modified xsi:type="dcterms:W3CDTF">2021-12-15T03:23:41Z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