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jc w:val="both"/>
        <w:rPr>
          <w:rFonts w:hint="eastAsia" w:ascii="宋体" w:hAnsi="宋体" w:eastAsia="宋体" w:cs="宋体"/>
          <w:color w:val="auto"/>
          <w:kern w:val="2"/>
          <w:sz w:val="32"/>
          <w:szCs w:val="32"/>
          <w:lang w:val="en-US" w:eastAsia="zh-CN" w:bidi="ar"/>
        </w:rPr>
      </w:pPr>
    </w:p>
    <w:p>
      <w:pPr>
        <w:pStyle w:val="2"/>
        <w:keepNext w:val="0"/>
        <w:keepLines w:val="0"/>
        <w:pageBreakBefore w:val="0"/>
        <w:kinsoku/>
        <w:wordWrap/>
        <w:overflowPunct/>
        <w:topLinePunct w:val="0"/>
        <w:autoSpaceDN/>
        <w:bidi w:val="0"/>
        <w:spacing w:beforeLines="0" w:afterLines="0" w:line="590" w:lineRule="exact"/>
        <w:ind w:left="0" w:leftChars="0" w:firstLine="0" w:firstLineChars="0"/>
        <w:rPr>
          <w:rFonts w:hint="eastAsia" w:ascii="宋体" w:hAnsi="宋体"/>
          <w:lang w:val="en-US" w:eastAsia="zh-CN"/>
        </w:rPr>
      </w:pP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jc w:val="center"/>
        <w:rPr>
          <w:rFonts w:hint="eastAsia" w:ascii="宋体" w:hAnsi="宋体" w:eastAsia="仿宋_GB2312" w:cs="宋体"/>
          <w:b w:val="0"/>
          <w:color w:val="auto"/>
          <w:kern w:val="2"/>
          <w:sz w:val="32"/>
          <w:szCs w:val="32"/>
        </w:rPr>
      </w:pPr>
      <w:r>
        <w:rPr>
          <w:rFonts w:hint="eastAsia" w:ascii="宋体" w:hAnsi="宋体" w:eastAsia="宋体" w:cs="宋体"/>
          <w:color w:val="auto"/>
          <w:kern w:val="2"/>
          <w:sz w:val="44"/>
          <w:szCs w:val="44"/>
          <w:lang w:val="en-US" w:eastAsia="zh-CN" w:bidi="ar"/>
        </w:rPr>
        <w:t>广东省知识产权保护条例</w:t>
      </w:r>
    </w:p>
    <w:p>
      <w:pPr>
        <w:pStyle w:val="7"/>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22" w:rightChars="7" w:firstLine="638" w:firstLineChars="202"/>
        <w:jc w:val="both"/>
        <w:textAlignment w:val="auto"/>
        <w:outlineLvl w:val="9"/>
        <w:rPr>
          <w:rFonts w:hint="eastAsia" w:ascii="宋体" w:hAnsi="宋体" w:eastAsia="宋体" w:cs="宋体"/>
          <w:b w:val="0"/>
          <w:bCs/>
          <w:color w:val="000000"/>
          <w:szCs w:val="32"/>
        </w:rPr>
      </w:pPr>
    </w:p>
    <w:p>
      <w:pPr>
        <w:pStyle w:val="7"/>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632" w:firstLineChars="200"/>
        <w:jc w:val="both"/>
        <w:textAlignment w:val="auto"/>
        <w:outlineLvl w:val="9"/>
        <w:rPr>
          <w:rFonts w:hint="eastAsia" w:ascii="宋体" w:hAnsi="宋体" w:eastAsia="楷体_GB2312" w:cs="楷体_GB2312"/>
          <w:b w:val="0"/>
          <w:bCs/>
          <w:color w:val="000000"/>
          <w:szCs w:val="32"/>
        </w:rPr>
      </w:pPr>
      <w:r>
        <w:rPr>
          <w:rFonts w:hint="eastAsia" w:ascii="宋体" w:hAnsi="宋体" w:eastAsia="楷体_GB2312" w:cs="楷体_GB2312"/>
          <w:b w:val="0"/>
          <w:bCs/>
          <w:color w:val="000000"/>
          <w:szCs w:val="32"/>
        </w:rPr>
        <w:t>（</w:t>
      </w:r>
      <w:r>
        <w:rPr>
          <w:rFonts w:hint="eastAsia" w:ascii="宋体" w:hAnsi="宋体" w:eastAsia="楷体_GB2312" w:cs="楷体_GB2312"/>
          <w:b w:val="0"/>
          <w:bCs w:val="0"/>
          <w:color w:val="000000"/>
          <w:sz w:val="32"/>
          <w:lang w:val="en-US" w:eastAsia="zh-CN"/>
        </w:rPr>
        <w:t>2</w:t>
      </w:r>
      <w:r>
        <w:rPr>
          <w:rFonts w:hint="eastAsia" w:ascii="宋体" w:hAnsi="宋体" w:eastAsia="楷体_GB2312" w:cs="楷体_GB2312"/>
          <w:color w:val="000000"/>
          <w:sz w:val="32"/>
          <w:lang w:val="en-US" w:eastAsia="zh-CN"/>
        </w:rPr>
        <w:t>022年3月29日广东省第十三届人民代表大会常务委员会第四十一次会议通过</w:t>
      </w:r>
      <w:r>
        <w:rPr>
          <w:rFonts w:hint="eastAsia" w:ascii="宋体" w:hAnsi="宋体" w:eastAsia="楷体_GB2312" w:cs="楷体_GB2312"/>
          <w:b w:val="0"/>
          <w:bCs/>
          <w:color w:val="000000"/>
          <w:szCs w:val="32"/>
        </w:rPr>
        <w:t>）</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jc w:val="center"/>
        <w:rPr>
          <w:rFonts w:hint="eastAsia" w:ascii="宋体" w:hAnsi="宋体" w:eastAsia="宋体" w:cs="宋体"/>
          <w:color w:val="auto"/>
          <w:kern w:val="2"/>
          <w:sz w:val="44"/>
          <w:szCs w:val="44"/>
          <w:lang w:val="en-US" w:eastAsia="zh-CN" w:bidi="ar"/>
        </w:rPr>
      </w:pPr>
    </w:p>
    <w:p>
      <w:pPr>
        <w:pStyle w:val="3"/>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jc w:val="center"/>
        <w:outlineLvl w:val="0"/>
        <w:rPr>
          <w:rFonts w:hint="eastAsia" w:ascii="宋体" w:hAnsi="宋体" w:eastAsia="楷体_GB2312" w:cs="楷体_GB2312"/>
          <w:b w:val="0"/>
          <w:color w:val="auto"/>
          <w:kern w:val="2"/>
          <w:sz w:val="32"/>
          <w:szCs w:val="32"/>
          <w:lang w:eastAsia="zh-CN"/>
        </w:rPr>
      </w:pPr>
      <w:r>
        <w:rPr>
          <w:rFonts w:hint="eastAsia" w:ascii="宋体" w:hAnsi="宋体" w:eastAsia="楷体_GB2312" w:cs="楷体_GB2312"/>
          <w:b w:val="0"/>
          <w:color w:val="auto"/>
          <w:kern w:val="2"/>
          <w:sz w:val="32"/>
          <w:szCs w:val="32"/>
          <w:lang w:eastAsia="zh-CN"/>
        </w:rPr>
        <w:t>目</w:t>
      </w:r>
      <w:r>
        <w:rPr>
          <w:rFonts w:hint="eastAsia" w:ascii="宋体" w:hAnsi="宋体" w:eastAsia="楷体_GB2312" w:cs="楷体_GB2312"/>
          <w:b w:val="0"/>
          <w:color w:val="auto"/>
          <w:kern w:val="2"/>
          <w:sz w:val="32"/>
          <w:szCs w:val="32"/>
          <w:lang w:val="en-US" w:eastAsia="zh-CN"/>
        </w:rPr>
        <w:t xml:space="preserve">    </w:t>
      </w:r>
      <w:r>
        <w:rPr>
          <w:rFonts w:hint="eastAsia" w:ascii="宋体" w:hAnsi="宋体" w:eastAsia="楷体_GB2312" w:cs="楷体_GB2312"/>
          <w:b w:val="0"/>
          <w:color w:val="auto"/>
          <w:kern w:val="2"/>
          <w:sz w:val="32"/>
          <w:szCs w:val="32"/>
          <w:lang w:eastAsia="zh-CN"/>
        </w:rPr>
        <w:t>录</w:t>
      </w:r>
    </w:p>
    <w:p>
      <w:pPr>
        <w:keepNext w:val="0"/>
        <w:keepLines w:val="0"/>
        <w:pageBreakBefore w:val="0"/>
        <w:numPr>
          <w:ilvl w:val="0"/>
          <w:numId w:val="0"/>
        </w:numPr>
        <w:kinsoku/>
        <w:wordWrap/>
        <w:overflowPunct/>
        <w:topLinePunct w:val="0"/>
        <w:autoSpaceDN/>
        <w:bidi w:val="0"/>
        <w:spacing w:beforeLines="0" w:afterLines="0" w:line="590" w:lineRule="exact"/>
        <w:ind w:firstLine="632" w:firstLineChars="200"/>
        <w:rPr>
          <w:rFonts w:hint="eastAsia" w:ascii="宋体" w:hAnsi="宋体" w:eastAsia="楷体_GB2312" w:cs="楷体_GB2312"/>
          <w:b w:val="0"/>
          <w:color w:val="auto"/>
          <w:kern w:val="2"/>
          <w:sz w:val="32"/>
          <w:szCs w:val="32"/>
        </w:rPr>
      </w:pPr>
      <w:r>
        <w:rPr>
          <w:rFonts w:hint="eastAsia" w:ascii="宋体" w:hAnsi="宋体" w:eastAsia="楷体_GB2312" w:cs="楷体_GB2312"/>
          <w:b w:val="0"/>
          <w:color w:val="auto"/>
          <w:kern w:val="2"/>
          <w:sz w:val="32"/>
          <w:szCs w:val="32"/>
          <w:lang w:eastAsia="zh-CN"/>
        </w:rPr>
        <w:t>第一章</w:t>
      </w:r>
      <w:r>
        <w:rPr>
          <w:rFonts w:hint="eastAsia" w:ascii="宋体" w:hAnsi="宋体" w:eastAsia="楷体_GB2312" w:cs="楷体_GB2312"/>
          <w:b w:val="0"/>
          <w:color w:val="auto"/>
          <w:kern w:val="2"/>
          <w:sz w:val="32"/>
          <w:szCs w:val="32"/>
          <w:lang w:val="en-US" w:eastAsia="zh-CN"/>
        </w:rPr>
        <w:t xml:space="preserve"> </w:t>
      </w:r>
      <w:r>
        <w:rPr>
          <w:rFonts w:hint="eastAsia" w:ascii="宋体" w:hAnsi="宋体" w:eastAsia="楷体_GB2312" w:cs="楷体_GB2312"/>
          <w:b w:val="0"/>
          <w:color w:val="auto"/>
          <w:kern w:val="2"/>
          <w:sz w:val="32"/>
          <w:szCs w:val="32"/>
        </w:rPr>
        <w:t xml:space="preserve"> 总则</w:t>
      </w:r>
    </w:p>
    <w:p>
      <w:pPr>
        <w:pStyle w:val="2"/>
        <w:keepNext w:val="0"/>
        <w:keepLines w:val="0"/>
        <w:pageBreakBefore w:val="0"/>
        <w:numPr>
          <w:ilvl w:val="0"/>
          <w:numId w:val="0"/>
        </w:numPr>
        <w:kinsoku/>
        <w:wordWrap/>
        <w:overflowPunct/>
        <w:topLinePunct w:val="0"/>
        <w:autoSpaceDN/>
        <w:bidi w:val="0"/>
        <w:spacing w:beforeLines="0" w:afterLines="0" w:line="590" w:lineRule="exact"/>
        <w:ind w:firstLine="631"/>
        <w:rPr>
          <w:rFonts w:hint="eastAsia" w:ascii="宋体" w:hAnsi="宋体" w:eastAsia="楷体_GB2312" w:cs="楷体_GB2312"/>
          <w:b w:val="0"/>
          <w:i w:val="0"/>
          <w:color w:val="auto"/>
          <w:kern w:val="2"/>
          <w:sz w:val="32"/>
          <w:szCs w:val="32"/>
        </w:rPr>
      </w:pPr>
      <w:r>
        <w:rPr>
          <w:rFonts w:hint="eastAsia" w:ascii="宋体" w:hAnsi="宋体" w:eastAsia="楷体_GB2312" w:cs="楷体_GB2312"/>
          <w:b w:val="0"/>
          <w:i w:val="0"/>
          <w:color w:val="auto"/>
          <w:kern w:val="2"/>
          <w:sz w:val="32"/>
          <w:szCs w:val="32"/>
        </w:rPr>
        <w:t>第二章  行政保护</w:t>
      </w:r>
    </w:p>
    <w:p>
      <w:pPr>
        <w:pStyle w:val="3"/>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outlineLvl w:val="0"/>
        <w:rPr>
          <w:rFonts w:hint="eastAsia" w:ascii="宋体" w:hAnsi="宋体" w:eastAsia="楷体_GB2312" w:cs="楷体_GB2312"/>
          <w:b w:val="0"/>
          <w:color w:val="auto"/>
          <w:kern w:val="2"/>
          <w:sz w:val="32"/>
          <w:szCs w:val="32"/>
        </w:rPr>
      </w:pPr>
      <w:r>
        <w:rPr>
          <w:rFonts w:hint="eastAsia" w:ascii="宋体" w:hAnsi="宋体" w:eastAsia="楷体_GB2312" w:cs="楷体_GB2312"/>
          <w:b w:val="0"/>
          <w:color w:val="auto"/>
          <w:kern w:val="2"/>
          <w:sz w:val="32"/>
          <w:szCs w:val="32"/>
        </w:rPr>
        <w:t>第三章  行政、司法协同</w:t>
      </w:r>
      <w:r>
        <w:rPr>
          <w:rFonts w:hint="eastAsia" w:ascii="宋体" w:hAnsi="宋体" w:eastAsia="楷体_GB2312" w:cs="楷体_GB2312"/>
          <w:b w:val="0"/>
          <w:i w:val="0"/>
          <w:color w:val="auto"/>
          <w:kern w:val="2"/>
          <w:sz w:val="32"/>
          <w:szCs w:val="32"/>
        </w:rPr>
        <w:t>保护与纠纷解决</w:t>
      </w:r>
    </w:p>
    <w:p>
      <w:pPr>
        <w:pStyle w:val="3"/>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outlineLvl w:val="0"/>
        <w:rPr>
          <w:rFonts w:hint="eastAsia" w:ascii="宋体" w:hAnsi="宋体" w:eastAsia="楷体_GB2312" w:cs="楷体_GB2312"/>
          <w:b w:val="0"/>
          <w:color w:val="auto"/>
          <w:kern w:val="2"/>
          <w:sz w:val="32"/>
          <w:szCs w:val="32"/>
        </w:rPr>
      </w:pPr>
      <w:r>
        <w:rPr>
          <w:rFonts w:hint="eastAsia" w:ascii="宋体" w:hAnsi="宋体" w:eastAsia="楷体_GB2312" w:cs="楷体_GB2312"/>
          <w:b w:val="0"/>
          <w:i w:val="0"/>
          <w:color w:val="auto"/>
          <w:kern w:val="2"/>
          <w:sz w:val="32"/>
          <w:szCs w:val="32"/>
        </w:rPr>
        <w:t>第四章  社会</w:t>
      </w:r>
      <w:r>
        <w:rPr>
          <w:rFonts w:hint="eastAsia" w:ascii="宋体" w:hAnsi="宋体" w:eastAsia="楷体_GB2312" w:cs="楷体_GB2312"/>
          <w:b w:val="0"/>
          <w:color w:val="auto"/>
          <w:kern w:val="2"/>
          <w:sz w:val="32"/>
          <w:szCs w:val="32"/>
        </w:rPr>
        <w:t>保护</w:t>
      </w:r>
    </w:p>
    <w:p>
      <w:pPr>
        <w:pStyle w:val="3"/>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outlineLvl w:val="0"/>
        <w:rPr>
          <w:rFonts w:hint="eastAsia" w:ascii="宋体" w:hAnsi="宋体" w:eastAsia="楷体_GB2312" w:cs="楷体_GB2312"/>
          <w:b w:val="0"/>
          <w:color w:val="auto"/>
          <w:kern w:val="2"/>
          <w:sz w:val="32"/>
          <w:szCs w:val="32"/>
        </w:rPr>
      </w:pPr>
      <w:r>
        <w:rPr>
          <w:rFonts w:hint="eastAsia" w:ascii="宋体" w:hAnsi="宋体" w:eastAsia="楷体_GB2312" w:cs="楷体_GB2312"/>
          <w:b w:val="0"/>
          <w:color w:val="auto"/>
          <w:kern w:val="2"/>
          <w:sz w:val="32"/>
          <w:szCs w:val="32"/>
        </w:rPr>
        <w:t>第五章  服务与保障</w:t>
      </w:r>
    </w:p>
    <w:p>
      <w:pPr>
        <w:pStyle w:val="3"/>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outlineLvl w:val="0"/>
        <w:rPr>
          <w:rFonts w:hint="eastAsia" w:ascii="宋体" w:hAnsi="宋体" w:eastAsia="楷体_GB2312" w:cs="楷体_GB2312"/>
          <w:b w:val="0"/>
          <w:color w:val="auto"/>
          <w:kern w:val="2"/>
          <w:sz w:val="32"/>
          <w:szCs w:val="32"/>
          <w:lang w:val="en-US" w:eastAsia="zh-CN"/>
        </w:rPr>
      </w:pPr>
      <w:r>
        <w:rPr>
          <w:rFonts w:hint="eastAsia" w:ascii="宋体" w:hAnsi="宋体" w:eastAsia="楷体_GB2312" w:cs="楷体_GB2312"/>
          <w:b w:val="0"/>
          <w:color w:val="auto"/>
          <w:kern w:val="2"/>
          <w:sz w:val="32"/>
          <w:szCs w:val="32"/>
          <w:lang w:eastAsia="zh-CN"/>
        </w:rPr>
        <w:t>第六章</w:t>
      </w:r>
      <w:r>
        <w:rPr>
          <w:rFonts w:hint="eastAsia" w:ascii="宋体" w:hAnsi="宋体" w:eastAsia="楷体_GB2312" w:cs="楷体_GB2312"/>
          <w:b w:val="0"/>
          <w:color w:val="auto"/>
          <w:kern w:val="2"/>
          <w:sz w:val="32"/>
          <w:szCs w:val="32"/>
          <w:lang w:val="en-US" w:eastAsia="zh-CN"/>
        </w:rPr>
        <w:t xml:space="preserve">  法律责任</w:t>
      </w:r>
    </w:p>
    <w:p>
      <w:pPr>
        <w:pStyle w:val="3"/>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outlineLvl w:val="0"/>
        <w:rPr>
          <w:rFonts w:hint="eastAsia" w:ascii="宋体" w:hAnsi="宋体" w:eastAsia="楷体_GB2312" w:cs="楷体_GB2312"/>
          <w:b w:val="0"/>
          <w:color w:val="auto"/>
          <w:kern w:val="2"/>
          <w:sz w:val="32"/>
          <w:szCs w:val="32"/>
        </w:rPr>
      </w:pPr>
      <w:r>
        <w:rPr>
          <w:rFonts w:hint="eastAsia" w:ascii="宋体" w:hAnsi="宋体" w:eastAsia="楷体_GB2312" w:cs="楷体_GB2312"/>
          <w:b w:val="0"/>
          <w:color w:val="auto"/>
          <w:kern w:val="2"/>
          <w:sz w:val="32"/>
          <w:szCs w:val="32"/>
        </w:rPr>
        <w:t>第七章  附则</w:t>
      </w:r>
    </w:p>
    <w:p>
      <w:pPr>
        <w:pStyle w:val="3"/>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jc w:val="center"/>
        <w:outlineLvl w:val="0"/>
        <w:rPr>
          <w:rFonts w:hint="eastAsia" w:ascii="宋体" w:hAnsi="宋体" w:eastAsia="宋体" w:cs="宋体"/>
          <w:b w:val="0"/>
          <w:color w:val="auto"/>
          <w:kern w:val="2"/>
          <w:sz w:val="32"/>
          <w:szCs w:val="32"/>
        </w:rPr>
      </w:pPr>
    </w:p>
    <w:p>
      <w:pPr>
        <w:pStyle w:val="3"/>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jc w:val="center"/>
        <w:outlineLvl w:val="0"/>
        <w:rPr>
          <w:rFonts w:hint="eastAsia" w:ascii="宋体" w:hAnsi="宋体" w:eastAsia="黑体" w:cs="黑体"/>
          <w:b w:val="0"/>
          <w:color w:val="auto"/>
          <w:kern w:val="2"/>
          <w:sz w:val="32"/>
          <w:szCs w:val="32"/>
        </w:rPr>
      </w:pPr>
      <w:r>
        <w:rPr>
          <w:rFonts w:hint="eastAsia" w:ascii="宋体" w:hAnsi="宋体" w:eastAsia="黑体" w:cs="黑体"/>
          <w:b w:val="0"/>
          <w:color w:val="auto"/>
          <w:kern w:val="2"/>
          <w:sz w:val="32"/>
          <w:szCs w:val="32"/>
        </w:rPr>
        <w:t>第一章  总</w:t>
      </w:r>
      <w:r>
        <w:rPr>
          <w:rFonts w:hint="eastAsia" w:ascii="宋体" w:hAnsi="宋体" w:eastAsia="黑体" w:cs="黑体"/>
          <w:b w:val="0"/>
          <w:color w:val="auto"/>
          <w:kern w:val="2"/>
          <w:sz w:val="32"/>
          <w:szCs w:val="32"/>
          <w:lang w:eastAsia="zh-CN"/>
        </w:rPr>
        <w:t>　</w:t>
      </w:r>
      <w:r>
        <w:rPr>
          <w:rFonts w:hint="eastAsia" w:ascii="宋体" w:hAnsi="宋体" w:eastAsia="黑体" w:cs="黑体"/>
          <w:b w:val="0"/>
          <w:color w:val="auto"/>
          <w:kern w:val="2"/>
          <w:sz w:val="32"/>
          <w:szCs w:val="32"/>
        </w:rPr>
        <w:t>则</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 xml:space="preserve"> </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color w:val="auto"/>
          <w:kern w:val="2"/>
          <w:sz w:val="32"/>
          <w:szCs w:val="32"/>
        </w:rPr>
      </w:pPr>
      <w:r>
        <w:rPr>
          <w:rFonts w:hint="eastAsia" w:ascii="宋体" w:hAnsi="宋体" w:eastAsia="黑体" w:cs="黑体"/>
          <w:b w:val="0"/>
          <w:color w:val="auto"/>
          <w:kern w:val="2"/>
          <w:sz w:val="32"/>
          <w:szCs w:val="32"/>
        </w:rPr>
        <w:t>第一条</w:t>
      </w:r>
      <w:r>
        <w:rPr>
          <w:rFonts w:hint="eastAsia" w:ascii="宋体" w:hAnsi="宋体" w:eastAsia="仿宋_GB2312" w:cs="仿宋_GB2312"/>
          <w:b w:val="0"/>
          <w:color w:val="auto"/>
          <w:kern w:val="2"/>
          <w:sz w:val="32"/>
          <w:szCs w:val="32"/>
        </w:rPr>
        <w:t xml:space="preserve"> </w:t>
      </w:r>
      <w:r>
        <w:rPr>
          <w:rFonts w:hint="eastAsia" w:ascii="宋体" w:hAnsi="宋体" w:eastAsia="仿宋_GB2312" w:cs="仿宋_GB2312"/>
          <w:b/>
          <w:color w:val="auto"/>
          <w:kern w:val="2"/>
          <w:sz w:val="32"/>
          <w:szCs w:val="32"/>
        </w:rPr>
        <w:t xml:space="preserve"> </w:t>
      </w:r>
      <w:r>
        <w:rPr>
          <w:rFonts w:hint="eastAsia" w:ascii="宋体" w:hAnsi="宋体" w:eastAsia="仿宋_GB2312" w:cs="仿宋_GB2312"/>
          <w:b w:val="0"/>
          <w:color w:val="auto"/>
          <w:kern w:val="2"/>
          <w:sz w:val="32"/>
          <w:szCs w:val="32"/>
        </w:rPr>
        <w:t>为了</w:t>
      </w:r>
      <w:r>
        <w:rPr>
          <w:rFonts w:hint="eastAsia" w:ascii="宋体" w:hAnsi="宋体" w:eastAsia="仿宋_GB2312" w:cs="仿宋_GB2312"/>
          <w:b w:val="0"/>
          <w:i w:val="0"/>
          <w:color w:val="auto"/>
          <w:kern w:val="2"/>
          <w:sz w:val="32"/>
          <w:szCs w:val="32"/>
        </w:rPr>
        <w:t>加强</w:t>
      </w:r>
      <w:r>
        <w:rPr>
          <w:rFonts w:hint="eastAsia" w:ascii="宋体" w:hAnsi="宋体" w:eastAsia="仿宋_GB2312" w:cs="仿宋_GB2312"/>
          <w:b w:val="0"/>
          <w:color w:val="auto"/>
          <w:kern w:val="2"/>
          <w:sz w:val="32"/>
          <w:szCs w:val="32"/>
        </w:rPr>
        <w:t>知识产权保护，激发创新活力，优化市场化、法治化、国际化营商环</w:t>
      </w:r>
      <w:r>
        <w:rPr>
          <w:rFonts w:hint="eastAsia" w:ascii="宋体" w:hAnsi="宋体" w:eastAsia="仿宋_GB2312" w:cs="仿宋_GB2312"/>
          <w:b w:val="0"/>
          <w:i w:val="0"/>
          <w:color w:val="auto"/>
          <w:kern w:val="2"/>
          <w:sz w:val="32"/>
          <w:szCs w:val="32"/>
        </w:rPr>
        <w:t>境，根据有关法律、行政法规，结合本省实际，制定本条例。</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color w:val="auto"/>
          <w:kern w:val="2"/>
          <w:sz w:val="32"/>
          <w:szCs w:val="32"/>
        </w:rPr>
      </w:pPr>
      <w:r>
        <w:rPr>
          <w:rFonts w:hint="eastAsia" w:ascii="宋体" w:hAnsi="宋体" w:eastAsia="黑体" w:cs="黑体"/>
          <w:b w:val="0"/>
          <w:color w:val="auto"/>
          <w:kern w:val="2"/>
          <w:sz w:val="32"/>
          <w:szCs w:val="32"/>
        </w:rPr>
        <w:t>第二条</w:t>
      </w:r>
      <w:r>
        <w:rPr>
          <w:rFonts w:hint="eastAsia" w:ascii="宋体" w:hAnsi="宋体" w:eastAsia="仿宋_GB2312" w:cs="仿宋_GB2312"/>
          <w:b w:val="0"/>
          <w:color w:val="auto"/>
          <w:kern w:val="2"/>
          <w:sz w:val="32"/>
          <w:szCs w:val="32"/>
        </w:rPr>
        <w:t xml:space="preserve">  本条例适用于本省行政区域内知识产权保护及相关工作。</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color w:val="auto"/>
          <w:kern w:val="2"/>
          <w:sz w:val="32"/>
          <w:szCs w:val="32"/>
        </w:rPr>
      </w:pPr>
      <w:r>
        <w:rPr>
          <w:rFonts w:hint="eastAsia" w:ascii="宋体" w:hAnsi="宋体" w:eastAsia="黑体" w:cs="黑体"/>
          <w:b w:val="0"/>
          <w:color w:val="auto"/>
          <w:kern w:val="2"/>
          <w:sz w:val="32"/>
          <w:szCs w:val="32"/>
        </w:rPr>
        <w:t>第三条</w:t>
      </w:r>
      <w:r>
        <w:rPr>
          <w:rFonts w:hint="eastAsia" w:ascii="宋体" w:hAnsi="宋体" w:eastAsia="仿宋_GB2312" w:cs="仿宋_GB2312"/>
          <w:b w:val="0"/>
          <w:color w:val="auto"/>
          <w:kern w:val="2"/>
          <w:sz w:val="32"/>
          <w:szCs w:val="32"/>
        </w:rPr>
        <w:t xml:space="preserve">  各级人民政府应当落实知识产权保护属地责任，完善知识产权保护工作机制</w:t>
      </w:r>
      <w:r>
        <w:rPr>
          <w:rFonts w:hint="eastAsia" w:ascii="宋体" w:hAnsi="宋体" w:eastAsia="仿宋_GB2312" w:cs="仿宋_GB2312"/>
          <w:b w:val="0"/>
          <w:i w:val="0"/>
          <w:color w:val="auto"/>
          <w:kern w:val="2"/>
          <w:sz w:val="32"/>
          <w:szCs w:val="32"/>
        </w:rPr>
        <w:t>，加强工作协调机制建设，强化知识产权保护工作队伍建设。</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color w:val="auto"/>
          <w:kern w:val="2"/>
          <w:sz w:val="32"/>
          <w:szCs w:val="32"/>
        </w:rPr>
      </w:pPr>
      <w:r>
        <w:rPr>
          <w:rFonts w:hint="eastAsia" w:ascii="宋体" w:hAnsi="宋体" w:eastAsia="仿宋_GB2312" w:cs="仿宋_GB2312"/>
          <w:b w:val="0"/>
          <w:color w:val="auto"/>
          <w:kern w:val="2"/>
          <w:sz w:val="32"/>
          <w:szCs w:val="32"/>
        </w:rPr>
        <w:t>县级以上人民政府应当将知识产权保护工作纳入国民经济和社会发展规划，将知识产权保护经费纳入本级财政预算。</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color w:val="auto"/>
          <w:kern w:val="2"/>
          <w:sz w:val="32"/>
          <w:szCs w:val="32"/>
        </w:rPr>
      </w:pPr>
      <w:r>
        <w:rPr>
          <w:rFonts w:hint="eastAsia" w:ascii="宋体" w:hAnsi="宋体" w:eastAsia="黑体" w:cs="黑体"/>
          <w:b w:val="0"/>
          <w:color w:val="auto"/>
          <w:kern w:val="2"/>
          <w:sz w:val="32"/>
          <w:szCs w:val="32"/>
        </w:rPr>
        <w:t>第四条</w:t>
      </w:r>
      <w:r>
        <w:rPr>
          <w:rFonts w:hint="eastAsia" w:ascii="宋体" w:hAnsi="宋体" w:eastAsia="仿宋_GB2312" w:cs="仿宋_GB2312"/>
          <w:b w:val="0"/>
          <w:color w:val="auto"/>
          <w:kern w:val="2"/>
          <w:sz w:val="32"/>
          <w:szCs w:val="32"/>
        </w:rPr>
        <w:t xml:space="preserve">  县级以上人民政府市场监管部门负责专利、商标、地理标志产品和商业秘密的行政保护工作。</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color w:val="auto"/>
          <w:kern w:val="2"/>
          <w:sz w:val="32"/>
          <w:szCs w:val="32"/>
        </w:rPr>
      </w:pPr>
      <w:r>
        <w:rPr>
          <w:rFonts w:hint="eastAsia" w:ascii="宋体" w:hAnsi="宋体" w:eastAsia="仿宋_GB2312" w:cs="仿宋_GB2312"/>
          <w:b w:val="0"/>
          <w:color w:val="auto"/>
          <w:kern w:val="2"/>
          <w:sz w:val="32"/>
          <w:szCs w:val="32"/>
        </w:rPr>
        <w:t>县级以上地方著作权主管部门负责著作权的行政保护工作。</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color w:val="auto"/>
          <w:kern w:val="2"/>
          <w:sz w:val="32"/>
          <w:szCs w:val="32"/>
        </w:rPr>
      </w:pPr>
      <w:r>
        <w:rPr>
          <w:rFonts w:hint="eastAsia" w:ascii="宋体" w:hAnsi="宋体" w:eastAsia="仿宋_GB2312" w:cs="仿宋_GB2312"/>
          <w:b w:val="0"/>
          <w:color w:val="auto"/>
          <w:kern w:val="2"/>
          <w:sz w:val="32"/>
          <w:szCs w:val="32"/>
        </w:rPr>
        <w:t>县级以上人民政府农业农村、林业部门按照各自职责负责植物新品种和农产品地理标志的行政保护工作。</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color w:val="auto"/>
          <w:kern w:val="2"/>
          <w:sz w:val="32"/>
          <w:szCs w:val="32"/>
        </w:rPr>
      </w:pPr>
      <w:r>
        <w:rPr>
          <w:rFonts w:hint="eastAsia" w:ascii="宋体" w:hAnsi="宋体" w:eastAsia="仿宋_GB2312" w:cs="仿宋_GB2312"/>
          <w:b w:val="0"/>
          <w:color w:val="auto"/>
          <w:kern w:val="2"/>
          <w:sz w:val="32"/>
          <w:szCs w:val="32"/>
        </w:rPr>
        <w:t>新闻出版、发展改革、教育、科技、工业和信息化、公安、司法行政、财政、人力资源社会保障、商务、文化和旅游、卫生健康、广电、地方金融监管、海关、药监、中医药等负责知识产权保护的相关部门，按照各自职责做好知识</w:t>
      </w:r>
      <w:r>
        <w:rPr>
          <w:rFonts w:hint="eastAsia" w:ascii="宋体" w:hAnsi="宋体" w:eastAsia="仿宋_GB2312" w:cs="仿宋_GB2312"/>
          <w:b w:val="0"/>
          <w:i w:val="0"/>
          <w:color w:val="auto"/>
          <w:kern w:val="2"/>
          <w:sz w:val="32"/>
          <w:szCs w:val="32"/>
        </w:rPr>
        <w:t>产权保护相关工作。</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left"/>
        <w:rPr>
          <w:rFonts w:hint="eastAsia" w:ascii="宋体" w:hAnsi="宋体" w:eastAsia="仿宋_GB2312" w:cs="仿宋_GB2312"/>
          <w:b w:val="0"/>
          <w:i w:val="0"/>
          <w:color w:val="auto"/>
          <w:kern w:val="2"/>
          <w:sz w:val="32"/>
          <w:szCs w:val="32"/>
        </w:rPr>
      </w:pPr>
      <w:r>
        <w:rPr>
          <w:rFonts w:hint="eastAsia" w:ascii="宋体" w:hAnsi="宋体" w:eastAsia="仿宋_GB2312" w:cs="仿宋_GB2312"/>
          <w:b w:val="0"/>
          <w:i w:val="0"/>
          <w:color w:val="auto"/>
          <w:kern w:val="2"/>
          <w:sz w:val="32"/>
          <w:szCs w:val="32"/>
          <w:lang w:val="en-US" w:eastAsia="zh-CN" w:bidi="ar"/>
        </w:rPr>
        <w:t>本条第一款、第二款、第三款规定的部门，以下统称为负责知识产权保护的主管部门。</w:t>
      </w:r>
    </w:p>
    <w:p>
      <w:pPr>
        <w:pStyle w:val="1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left"/>
        <w:rPr>
          <w:rFonts w:hint="eastAsia" w:ascii="宋体" w:hAnsi="宋体" w:eastAsia="仿宋_GB2312" w:cs="仿宋_GB2312"/>
          <w:b w:val="0"/>
          <w:i w:val="0"/>
          <w:color w:val="auto"/>
          <w:kern w:val="2"/>
          <w:sz w:val="32"/>
          <w:szCs w:val="32"/>
        </w:rPr>
      </w:pPr>
      <w:r>
        <w:rPr>
          <w:rFonts w:hint="eastAsia" w:ascii="宋体" w:hAnsi="宋体" w:eastAsia="黑体" w:cs="黑体"/>
          <w:b w:val="0"/>
          <w:i w:val="0"/>
          <w:color w:val="auto"/>
          <w:kern w:val="2"/>
          <w:sz w:val="32"/>
          <w:szCs w:val="32"/>
          <w:lang w:val="en-US" w:eastAsia="zh-CN" w:bidi="ar"/>
        </w:rPr>
        <w:t>第五条</w:t>
      </w:r>
      <w:r>
        <w:rPr>
          <w:rFonts w:hint="eastAsia" w:ascii="宋体" w:hAnsi="宋体" w:eastAsia="仿宋_GB2312" w:cs="仿宋_GB2312"/>
          <w:b w:val="0"/>
          <w:i w:val="0"/>
          <w:color w:val="auto"/>
          <w:kern w:val="2"/>
          <w:sz w:val="32"/>
          <w:szCs w:val="32"/>
          <w:lang w:val="en-US" w:eastAsia="zh-CN" w:bidi="ar"/>
        </w:rPr>
        <w:t xml:space="preserve">  省人民政府应当完善知识产权战略实施工作联席会议制度，统筹推进全省知识产权创造、运用、保护、管理、服务等工作，协调解决知识产权保护工作的重大问题。</w:t>
      </w:r>
    </w:p>
    <w:p>
      <w:pPr>
        <w:pStyle w:val="1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left"/>
        <w:rPr>
          <w:rFonts w:hint="eastAsia" w:ascii="宋体" w:hAnsi="宋体" w:eastAsia="仿宋_GB2312" w:cs="仿宋_GB2312"/>
          <w:b w:val="0"/>
          <w:i w:val="0"/>
          <w:color w:val="auto"/>
          <w:kern w:val="2"/>
          <w:sz w:val="32"/>
          <w:szCs w:val="32"/>
        </w:rPr>
      </w:pPr>
      <w:r>
        <w:rPr>
          <w:rFonts w:hint="eastAsia" w:ascii="宋体" w:hAnsi="宋体" w:eastAsia="黑体" w:cs="黑体"/>
          <w:b w:val="0"/>
          <w:i w:val="0"/>
          <w:color w:val="auto"/>
          <w:kern w:val="2"/>
          <w:sz w:val="32"/>
          <w:szCs w:val="32"/>
          <w:lang w:val="en-US" w:eastAsia="zh-CN" w:bidi="ar"/>
        </w:rPr>
        <w:t>第六条</w:t>
      </w:r>
      <w:r>
        <w:rPr>
          <w:rFonts w:hint="eastAsia" w:ascii="宋体" w:hAnsi="宋体" w:eastAsia="仿宋_GB2312" w:cs="仿宋_GB2312"/>
          <w:b w:val="0"/>
          <w:i w:val="0"/>
          <w:color w:val="auto"/>
          <w:kern w:val="2"/>
          <w:sz w:val="32"/>
          <w:szCs w:val="32"/>
          <w:lang w:val="en-US" w:eastAsia="zh-CN" w:bidi="ar"/>
        </w:rPr>
        <w:t xml:space="preserve">  省人民政府应当每年发布知识产权保护白皮书，向社会公开本省知识产权保护状况。</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i w:val="0"/>
          <w:color w:val="auto"/>
          <w:kern w:val="2"/>
          <w:sz w:val="32"/>
          <w:szCs w:val="32"/>
        </w:rPr>
      </w:pPr>
      <w:r>
        <w:rPr>
          <w:rFonts w:hint="eastAsia" w:ascii="宋体" w:hAnsi="宋体" w:eastAsia="仿宋_GB2312" w:cs="仿宋_GB2312"/>
          <w:b w:val="0"/>
          <w:color w:val="auto"/>
          <w:kern w:val="2"/>
          <w:sz w:val="32"/>
          <w:szCs w:val="32"/>
        </w:rPr>
        <w:t>县</w:t>
      </w:r>
      <w:r>
        <w:rPr>
          <w:rFonts w:hint="eastAsia" w:ascii="宋体" w:hAnsi="宋体" w:eastAsia="仿宋_GB2312" w:cs="仿宋_GB2312"/>
          <w:b w:val="0"/>
          <w:i w:val="0"/>
          <w:color w:val="auto"/>
          <w:kern w:val="2"/>
          <w:sz w:val="32"/>
          <w:szCs w:val="32"/>
        </w:rPr>
        <w:t>级以上人民政府及有关部门应当加强知识产权保护的宣传引导，组织新闻媒体通过多种形式开展知识产权保护的公益宣传，营造尊重知识价值、崇尚创新、诚信守法的知识产权保护环境。</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color w:val="auto"/>
          <w:kern w:val="2"/>
          <w:sz w:val="32"/>
          <w:szCs w:val="32"/>
        </w:rPr>
      </w:pPr>
      <w:r>
        <w:rPr>
          <w:rFonts w:hint="eastAsia" w:ascii="宋体" w:hAnsi="宋体" w:eastAsia="黑体" w:cs="黑体"/>
          <w:b w:val="0"/>
          <w:i w:val="0"/>
          <w:color w:val="auto"/>
          <w:kern w:val="2"/>
          <w:sz w:val="32"/>
          <w:szCs w:val="32"/>
        </w:rPr>
        <w:t>第七条</w:t>
      </w:r>
      <w:r>
        <w:rPr>
          <w:rFonts w:hint="eastAsia" w:ascii="宋体" w:hAnsi="宋体" w:eastAsia="仿宋_GB2312" w:cs="仿宋_GB2312"/>
          <w:b w:val="0"/>
          <w:i w:val="0"/>
          <w:color w:val="auto"/>
          <w:kern w:val="2"/>
          <w:sz w:val="32"/>
          <w:szCs w:val="32"/>
        </w:rPr>
        <w:t xml:space="preserve">  省人民政府应当强化粤港澳大湾区知识产权合作机制建设，依托粤港、粤澳及泛珠三角区域知识产权合作机制，</w:t>
      </w:r>
      <w:r>
        <w:rPr>
          <w:rFonts w:hint="eastAsia" w:ascii="宋体" w:hAnsi="宋体" w:eastAsia="仿宋_GB2312" w:cs="仿宋_GB2312"/>
          <w:b w:val="0"/>
          <w:color w:val="auto"/>
          <w:kern w:val="2"/>
          <w:sz w:val="32"/>
          <w:szCs w:val="32"/>
        </w:rPr>
        <w:t>推动知识产权保护协作、纠纷解决、信息共享、学术研究、人才培养等工作，全面加强知识产权保护领域的交流合作。</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color w:val="auto"/>
          <w:kern w:val="2"/>
          <w:sz w:val="32"/>
          <w:szCs w:val="32"/>
        </w:rPr>
      </w:pPr>
      <w:r>
        <w:rPr>
          <w:rFonts w:hint="eastAsia" w:ascii="宋体" w:hAnsi="宋体" w:eastAsia="仿宋_GB2312" w:cs="仿宋_GB2312"/>
          <w:b w:val="0"/>
          <w:color w:val="auto"/>
          <w:kern w:val="2"/>
          <w:sz w:val="32"/>
          <w:szCs w:val="32"/>
        </w:rPr>
        <w:t>省和地级以上市人民政府应当拓宽知识产权对外合作交流渠道，鼓励和支持企业、社会组织、知识产权服务机构依法开展知识产权保护国际交流合作。</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color w:val="auto"/>
          <w:kern w:val="2"/>
          <w:sz w:val="32"/>
          <w:szCs w:val="32"/>
        </w:rPr>
      </w:pPr>
      <w:r>
        <w:rPr>
          <w:rFonts w:hint="eastAsia" w:ascii="宋体" w:hAnsi="宋体" w:eastAsia="黑体" w:cs="黑体"/>
          <w:b w:val="0"/>
          <w:color w:val="auto"/>
          <w:kern w:val="2"/>
          <w:sz w:val="32"/>
          <w:szCs w:val="32"/>
        </w:rPr>
        <w:t>第八条</w:t>
      </w:r>
      <w:r>
        <w:rPr>
          <w:rFonts w:hint="eastAsia" w:ascii="宋体" w:hAnsi="宋体" w:eastAsia="仿宋_GB2312" w:cs="仿宋_GB2312"/>
          <w:b w:val="0"/>
          <w:color w:val="auto"/>
          <w:kern w:val="2"/>
          <w:sz w:val="32"/>
          <w:szCs w:val="32"/>
        </w:rPr>
        <w:t xml:space="preserve">  县级以上人民政府应当按照国家有关</w:t>
      </w:r>
      <w:r>
        <w:rPr>
          <w:rFonts w:hint="eastAsia" w:ascii="宋体" w:hAnsi="宋体" w:eastAsia="仿宋_GB2312" w:cs="仿宋_GB2312"/>
          <w:b w:val="0"/>
          <w:i w:val="0"/>
          <w:color w:val="auto"/>
          <w:kern w:val="2"/>
          <w:sz w:val="32"/>
          <w:szCs w:val="32"/>
        </w:rPr>
        <w:t>规定对在知识产</w:t>
      </w:r>
      <w:r>
        <w:rPr>
          <w:rFonts w:hint="eastAsia" w:ascii="宋体" w:hAnsi="宋体" w:eastAsia="仿宋_GB2312" w:cs="仿宋_GB2312"/>
          <w:b w:val="0"/>
          <w:color w:val="auto"/>
          <w:kern w:val="2"/>
          <w:sz w:val="32"/>
          <w:szCs w:val="32"/>
        </w:rPr>
        <w:t>权保护工作中作出突出贡献的集</w:t>
      </w:r>
      <w:r>
        <w:rPr>
          <w:rFonts w:hint="eastAsia" w:ascii="宋体" w:hAnsi="宋体" w:eastAsia="仿宋_GB2312" w:cs="仿宋_GB2312"/>
          <w:b w:val="0"/>
          <w:i w:val="0"/>
          <w:color w:val="auto"/>
          <w:kern w:val="2"/>
          <w:sz w:val="32"/>
          <w:szCs w:val="32"/>
        </w:rPr>
        <w:t>体和个人给予表彰奖励。</w:t>
      </w:r>
    </w:p>
    <w:p>
      <w:pPr>
        <w:pStyle w:val="1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0" w:firstLineChars="0"/>
        <w:jc w:val="both"/>
        <w:textAlignment w:val="baseline"/>
        <w:rPr>
          <w:rFonts w:hint="eastAsia" w:ascii="宋体" w:hAnsi="宋体" w:eastAsia="仿宋_GB2312" w:cs="仿宋_GB2312"/>
          <w:b w:val="0"/>
          <w:i w:val="0"/>
          <w:color w:val="auto"/>
          <w:kern w:val="2"/>
          <w:sz w:val="32"/>
          <w:szCs w:val="32"/>
          <w:vertAlign w:val="baseline"/>
        </w:rPr>
      </w:pPr>
      <w:r>
        <w:rPr>
          <w:rFonts w:hint="eastAsia" w:ascii="宋体" w:hAnsi="宋体" w:eastAsia="仿宋_GB2312" w:cs="仿宋_GB2312"/>
          <w:b w:val="0"/>
          <w:i w:val="0"/>
          <w:color w:val="auto"/>
          <w:kern w:val="2"/>
          <w:sz w:val="32"/>
          <w:szCs w:val="32"/>
          <w:vertAlign w:val="baseline"/>
          <w:lang w:val="en-US" w:eastAsia="zh-CN" w:bidi="ar"/>
        </w:rPr>
        <w:t xml:space="preserve"> </w:t>
      </w:r>
    </w:p>
    <w:p>
      <w:pPr>
        <w:pStyle w:val="3"/>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jc w:val="center"/>
        <w:outlineLvl w:val="0"/>
        <w:rPr>
          <w:rFonts w:hint="eastAsia" w:ascii="宋体" w:hAnsi="宋体" w:eastAsia="黑体" w:cs="黑体"/>
          <w:b w:val="0"/>
          <w:i w:val="0"/>
          <w:color w:val="auto"/>
          <w:kern w:val="2"/>
          <w:sz w:val="32"/>
          <w:szCs w:val="32"/>
        </w:rPr>
      </w:pPr>
      <w:r>
        <w:rPr>
          <w:rFonts w:hint="eastAsia" w:ascii="宋体" w:hAnsi="宋体" w:eastAsia="黑体" w:cs="黑体"/>
          <w:b w:val="0"/>
          <w:i w:val="0"/>
          <w:color w:val="auto"/>
          <w:kern w:val="2"/>
          <w:sz w:val="32"/>
          <w:szCs w:val="32"/>
        </w:rPr>
        <w:t>第二章  行政保护</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i w:val="0"/>
          <w:color w:val="auto"/>
          <w:kern w:val="2"/>
          <w:sz w:val="32"/>
          <w:szCs w:val="32"/>
        </w:rPr>
      </w:pPr>
      <w:r>
        <w:rPr>
          <w:rFonts w:hint="eastAsia" w:ascii="宋体" w:hAnsi="宋体" w:eastAsia="仿宋_GB2312" w:cs="仿宋_GB2312"/>
          <w:b w:val="0"/>
          <w:i w:val="0"/>
          <w:color w:val="auto"/>
          <w:kern w:val="2"/>
          <w:sz w:val="32"/>
          <w:szCs w:val="32"/>
        </w:rPr>
        <w:t xml:space="preserve"> </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i w:val="0"/>
          <w:color w:val="auto"/>
          <w:kern w:val="2"/>
          <w:sz w:val="32"/>
          <w:szCs w:val="32"/>
        </w:rPr>
      </w:pPr>
      <w:r>
        <w:rPr>
          <w:rFonts w:hint="eastAsia" w:ascii="宋体" w:hAnsi="宋体" w:eastAsia="黑体" w:cs="黑体"/>
          <w:b w:val="0"/>
          <w:i w:val="0"/>
          <w:color w:val="auto"/>
          <w:kern w:val="2"/>
          <w:sz w:val="32"/>
          <w:szCs w:val="32"/>
        </w:rPr>
        <w:t>第九条</w:t>
      </w:r>
      <w:r>
        <w:rPr>
          <w:rFonts w:hint="eastAsia" w:ascii="宋体" w:hAnsi="宋体" w:eastAsia="仿宋_GB2312" w:cs="仿宋_GB2312"/>
          <w:b w:val="0"/>
          <w:i w:val="0"/>
          <w:color w:val="auto"/>
          <w:kern w:val="2"/>
          <w:sz w:val="32"/>
          <w:szCs w:val="32"/>
        </w:rPr>
        <w:t xml:space="preserve">  县级以上人</w:t>
      </w:r>
      <w:r>
        <w:rPr>
          <w:rFonts w:hint="eastAsia" w:ascii="宋体" w:hAnsi="宋体" w:eastAsia="仿宋_GB2312" w:cs="仿宋_GB2312"/>
          <w:b w:val="0"/>
          <w:color w:val="auto"/>
          <w:kern w:val="2"/>
          <w:sz w:val="32"/>
          <w:szCs w:val="32"/>
        </w:rPr>
        <w:t>民政府应当加强知识产权的源头保护，推进关键核心领域知识产权创造和储备，推动建立产业知识产权联盟和产业专利池；支持和引导自然人、法人和非法人组织依法获得知识产权，提升知识产权申请</w:t>
      </w:r>
      <w:r>
        <w:rPr>
          <w:rFonts w:hint="eastAsia" w:ascii="宋体" w:hAnsi="宋体" w:eastAsia="仿宋_GB2312" w:cs="仿宋_GB2312"/>
          <w:b w:val="0"/>
          <w:i w:val="0"/>
          <w:color w:val="auto"/>
          <w:kern w:val="2"/>
          <w:sz w:val="32"/>
          <w:szCs w:val="32"/>
        </w:rPr>
        <w:t>注册质量和知识产权管理效能。</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i w:val="0"/>
          <w:color w:val="auto"/>
          <w:kern w:val="2"/>
          <w:sz w:val="32"/>
          <w:szCs w:val="32"/>
        </w:rPr>
      </w:pPr>
      <w:r>
        <w:rPr>
          <w:rFonts w:hint="eastAsia" w:ascii="宋体" w:hAnsi="宋体" w:eastAsia="仿宋_GB2312" w:cs="仿宋_GB2312"/>
          <w:b w:val="0"/>
          <w:i w:val="0"/>
          <w:color w:val="auto"/>
          <w:kern w:val="2"/>
          <w:sz w:val="32"/>
          <w:szCs w:val="32"/>
        </w:rPr>
        <w:t>负责知识产权保护的主管部门应当强化知识产权申请注册质量监管，依法查处非正常专利申请、商标恶意注册、作品著作权重复登记和恶意登记等行为。</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32" w:firstLineChars="200"/>
        <w:jc w:val="both"/>
        <w:rPr>
          <w:rFonts w:hint="eastAsia" w:ascii="宋体" w:hAnsi="宋体" w:eastAsia="仿宋_GB2312" w:cs="仿宋_GB2312"/>
          <w:b w:val="0"/>
          <w:i w:val="0"/>
          <w:color w:val="auto"/>
          <w:kern w:val="2"/>
          <w:sz w:val="32"/>
          <w:szCs w:val="32"/>
        </w:rPr>
      </w:pPr>
      <w:r>
        <w:rPr>
          <w:rFonts w:hint="eastAsia" w:ascii="宋体" w:hAnsi="宋体" w:eastAsia="黑体" w:cs="黑体"/>
          <w:b w:val="0"/>
          <w:i w:val="0"/>
          <w:color w:val="auto"/>
          <w:kern w:val="2"/>
          <w:sz w:val="32"/>
          <w:szCs w:val="32"/>
          <w:lang w:val="en-US" w:eastAsia="zh-CN" w:bidi="ar"/>
        </w:rPr>
        <w:t>第十条</w:t>
      </w:r>
      <w:r>
        <w:rPr>
          <w:rFonts w:hint="eastAsia" w:ascii="宋体" w:hAnsi="宋体" w:eastAsia="仿宋_GB2312" w:cs="仿宋_GB2312"/>
          <w:b w:val="0"/>
          <w:i w:val="0"/>
          <w:color w:val="auto"/>
          <w:kern w:val="2"/>
          <w:sz w:val="32"/>
          <w:szCs w:val="32"/>
          <w:lang w:val="en-US" w:eastAsia="zh-CN" w:bidi="ar"/>
        </w:rPr>
        <w:t xml:space="preserve">  负责知识产权保护的主管部门和相关部门应当加强知识产权保护智能化建设，利用大数据、人工智能、区块链等新技术，在涉案线索和信息核查、源头追溯、重点商品流向追踪、重点作品网络传播、侵权实时监测与在线识别、取证存证和在线纠纷解决等方面，创新保护方式。</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32" w:firstLineChars="200"/>
        <w:jc w:val="both"/>
        <w:rPr>
          <w:rFonts w:hint="eastAsia" w:ascii="宋体" w:hAnsi="宋体" w:eastAsia="仿宋_GB2312" w:cs="仿宋_GB2312"/>
          <w:b w:val="0"/>
          <w:i w:val="0"/>
          <w:color w:val="auto"/>
          <w:kern w:val="2"/>
          <w:sz w:val="32"/>
          <w:szCs w:val="32"/>
        </w:rPr>
      </w:pPr>
      <w:r>
        <w:rPr>
          <w:rFonts w:hint="eastAsia" w:ascii="宋体" w:hAnsi="宋体" w:eastAsia="黑体" w:cs="黑体"/>
          <w:b w:val="0"/>
          <w:i w:val="0"/>
          <w:color w:val="auto"/>
          <w:kern w:val="2"/>
          <w:sz w:val="32"/>
          <w:szCs w:val="32"/>
          <w:lang w:val="en-US" w:eastAsia="zh-CN" w:bidi="ar"/>
        </w:rPr>
        <w:t>第十一条</w:t>
      </w:r>
      <w:r>
        <w:rPr>
          <w:rFonts w:hint="eastAsia" w:ascii="宋体" w:hAnsi="宋体" w:eastAsia="仿宋_GB2312" w:cs="仿宋_GB2312"/>
          <w:b w:val="0"/>
          <w:i w:val="0"/>
          <w:color w:val="auto"/>
          <w:kern w:val="2"/>
          <w:sz w:val="32"/>
          <w:szCs w:val="32"/>
          <w:lang w:val="en-US" w:eastAsia="zh-CN" w:bidi="ar"/>
        </w:rPr>
        <w:t xml:space="preserve"> </w:t>
      </w:r>
      <w:r>
        <w:rPr>
          <w:rFonts w:hint="eastAsia" w:ascii="宋体" w:hAnsi="宋体" w:eastAsia="仿宋_GB2312" w:cs="仿宋_GB2312"/>
          <w:b w:val="0"/>
          <w:color w:val="auto"/>
          <w:kern w:val="2"/>
          <w:sz w:val="32"/>
          <w:szCs w:val="32"/>
          <w:lang w:val="en-US" w:eastAsia="zh-CN" w:bidi="ar"/>
        </w:rPr>
        <w:t xml:space="preserve"> 省和地级以上市人民政府应当建立健全知识产权分析评议机制。对涉</w:t>
      </w:r>
      <w:r>
        <w:rPr>
          <w:rFonts w:hint="eastAsia" w:ascii="宋体" w:hAnsi="宋体" w:eastAsia="仿宋_GB2312" w:cs="仿宋_GB2312"/>
          <w:b w:val="0"/>
          <w:i w:val="0"/>
          <w:color w:val="auto"/>
          <w:kern w:val="2"/>
          <w:sz w:val="32"/>
          <w:szCs w:val="32"/>
          <w:lang w:val="en-US" w:eastAsia="zh-CN" w:bidi="ar"/>
        </w:rPr>
        <w:t>及知识产权的重大区域和产业规划以及利用财政性资金或者国有资本设立的重大政府投资项目、重大自主创新项目、重大技术引进或者出口项目、重大人才管理和引进项目等重大经济科技活动，项目主管单位应当组织开展知识产权分析评议，防范知识产权风险。</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32" w:firstLineChars="200"/>
        <w:jc w:val="both"/>
        <w:rPr>
          <w:rFonts w:hint="eastAsia" w:ascii="宋体" w:hAnsi="宋体" w:eastAsia="仿宋_GB2312" w:cs="仿宋_GB2312"/>
          <w:b w:val="0"/>
          <w:i w:val="0"/>
          <w:color w:val="auto"/>
          <w:kern w:val="2"/>
          <w:sz w:val="32"/>
          <w:szCs w:val="32"/>
        </w:rPr>
      </w:pPr>
      <w:r>
        <w:rPr>
          <w:rFonts w:hint="eastAsia" w:ascii="宋体" w:hAnsi="宋体" w:eastAsia="仿宋_GB2312" w:cs="仿宋_GB2312"/>
          <w:b w:val="0"/>
          <w:i w:val="0"/>
          <w:color w:val="auto"/>
          <w:kern w:val="2"/>
          <w:sz w:val="32"/>
          <w:szCs w:val="32"/>
          <w:lang w:val="en-US" w:eastAsia="zh-CN" w:bidi="ar"/>
        </w:rPr>
        <w:t>商务和科技、农业农村、市场监管、林业等相关主管部门按照国家相关规定，开展知识产权对外转让审查工作，维护国家安全和重大公共利益。</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i w:val="0"/>
          <w:color w:val="auto"/>
          <w:kern w:val="2"/>
          <w:sz w:val="32"/>
          <w:szCs w:val="32"/>
        </w:rPr>
      </w:pPr>
      <w:r>
        <w:rPr>
          <w:rFonts w:hint="eastAsia" w:ascii="宋体" w:hAnsi="宋体" w:eastAsia="黑体" w:cs="黑体"/>
          <w:b w:val="0"/>
          <w:i w:val="0"/>
          <w:color w:val="auto"/>
          <w:kern w:val="2"/>
          <w:sz w:val="32"/>
          <w:szCs w:val="32"/>
        </w:rPr>
        <w:t>第十二条</w:t>
      </w:r>
      <w:r>
        <w:rPr>
          <w:rFonts w:hint="eastAsia" w:ascii="宋体" w:hAnsi="宋体" w:eastAsia="仿宋_GB2312" w:cs="仿宋_GB2312"/>
          <w:b w:val="0"/>
          <w:i w:val="0"/>
          <w:color w:val="auto"/>
          <w:kern w:val="2"/>
          <w:sz w:val="32"/>
          <w:szCs w:val="32"/>
        </w:rPr>
        <w:t xml:space="preserve">  省人民政府应当建立和完善知识产权执法协作机制，建立统一协调的执法标准、证据规则和案例指导制度，健全知识产权违法线索通报、案件流转、执法联动、检验鉴定结果互认等制度，加强跨部门、跨地区知识产权案件的办案协作。</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i w:val="0"/>
          <w:color w:val="auto"/>
          <w:kern w:val="2"/>
          <w:sz w:val="32"/>
          <w:szCs w:val="32"/>
        </w:rPr>
      </w:pPr>
      <w:r>
        <w:rPr>
          <w:rFonts w:hint="eastAsia" w:ascii="宋体" w:hAnsi="宋体" w:eastAsia="仿宋_GB2312" w:cs="仿宋_GB2312"/>
          <w:b w:val="0"/>
          <w:i w:val="0"/>
          <w:color w:val="auto"/>
          <w:kern w:val="2"/>
          <w:sz w:val="32"/>
          <w:szCs w:val="32"/>
        </w:rPr>
        <w:t>负责知识产权保护的主管部门和相关部门在处理知识产权违法行为过程中，发现属于其他部门主管的知识产权案件线索时，应当及时书面通报并将线索移送同级主管部门。</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i w:val="0"/>
          <w:color w:val="auto"/>
          <w:kern w:val="2"/>
          <w:sz w:val="32"/>
          <w:szCs w:val="32"/>
        </w:rPr>
      </w:pPr>
      <w:r>
        <w:rPr>
          <w:rFonts w:hint="eastAsia" w:ascii="宋体" w:hAnsi="宋体" w:eastAsia="仿宋_GB2312" w:cs="仿宋_GB2312"/>
          <w:b w:val="0"/>
          <w:i w:val="0"/>
          <w:color w:val="auto"/>
          <w:kern w:val="2"/>
          <w:sz w:val="32"/>
          <w:szCs w:val="32"/>
        </w:rPr>
        <w:t>省人民政府应当推动建立省际间知识产权执法合作机制，互相协助做好调查取证、文书送达等工作。</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i w:val="0"/>
          <w:color w:val="auto"/>
          <w:kern w:val="2"/>
          <w:sz w:val="32"/>
          <w:szCs w:val="32"/>
        </w:rPr>
      </w:pPr>
      <w:r>
        <w:rPr>
          <w:rFonts w:hint="eastAsia" w:ascii="宋体" w:hAnsi="宋体" w:eastAsia="黑体" w:cs="黑体"/>
          <w:b w:val="0"/>
          <w:i w:val="0"/>
          <w:color w:val="auto"/>
          <w:kern w:val="2"/>
          <w:sz w:val="32"/>
          <w:szCs w:val="32"/>
        </w:rPr>
        <w:t>第十三条</w:t>
      </w:r>
      <w:r>
        <w:rPr>
          <w:rFonts w:hint="eastAsia" w:ascii="宋体" w:hAnsi="宋体" w:eastAsia="仿宋_GB2312" w:cs="仿宋_GB2312"/>
          <w:b w:val="0"/>
          <w:i w:val="0"/>
          <w:color w:val="auto"/>
          <w:kern w:val="2"/>
          <w:sz w:val="32"/>
          <w:szCs w:val="32"/>
        </w:rPr>
        <w:t xml:space="preserve">  负责知识产权保护的主管部门在查处知识产权案件时，有权采取有关行政措施，当事人应当予以协助、配合，不得拒绝、阻挠。有关行政措施包括：</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color w:val="auto"/>
          <w:kern w:val="2"/>
          <w:sz w:val="32"/>
          <w:szCs w:val="32"/>
        </w:rPr>
      </w:pPr>
      <w:r>
        <w:rPr>
          <w:rFonts w:hint="eastAsia" w:ascii="宋体" w:hAnsi="宋体" w:eastAsia="仿宋_GB2312" w:cs="仿宋_GB2312"/>
          <w:b w:val="0"/>
          <w:i w:val="0"/>
          <w:color w:val="auto"/>
          <w:kern w:val="2"/>
          <w:sz w:val="32"/>
          <w:szCs w:val="32"/>
        </w:rPr>
        <w:t>（一）询问有关当事人</w:t>
      </w:r>
      <w:r>
        <w:rPr>
          <w:rFonts w:hint="eastAsia" w:ascii="宋体" w:hAnsi="宋体" w:eastAsia="仿宋_GB2312" w:cs="仿宋_GB2312"/>
          <w:b w:val="0"/>
          <w:color w:val="auto"/>
          <w:kern w:val="2"/>
          <w:sz w:val="32"/>
          <w:szCs w:val="32"/>
        </w:rPr>
        <w:t>，调查与涉嫌违法行为有关的情况；</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color w:val="auto"/>
          <w:kern w:val="2"/>
          <w:sz w:val="32"/>
          <w:szCs w:val="32"/>
        </w:rPr>
      </w:pPr>
      <w:r>
        <w:rPr>
          <w:rFonts w:hint="eastAsia" w:ascii="宋体" w:hAnsi="宋体" w:eastAsia="仿宋_GB2312" w:cs="仿宋_GB2312"/>
          <w:b w:val="0"/>
          <w:color w:val="auto"/>
          <w:kern w:val="2"/>
          <w:sz w:val="32"/>
          <w:szCs w:val="32"/>
        </w:rPr>
        <w:t>（二）对当事人涉嫌违法行为的场所实施现场检查；</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32" w:firstLineChars="200"/>
        <w:jc w:val="both"/>
        <w:rPr>
          <w:rFonts w:hint="eastAsia" w:ascii="宋体" w:hAnsi="宋体" w:eastAsia="仿宋_GB2312" w:cs="仿宋_GB2312"/>
          <w:b w:val="0"/>
          <w:color w:val="auto"/>
          <w:kern w:val="2"/>
          <w:sz w:val="32"/>
          <w:szCs w:val="32"/>
        </w:rPr>
      </w:pPr>
      <w:r>
        <w:rPr>
          <w:rFonts w:hint="eastAsia" w:ascii="宋体" w:hAnsi="宋体" w:eastAsia="仿宋_GB2312" w:cs="仿宋_GB2312"/>
          <w:b w:val="0"/>
          <w:color w:val="auto"/>
          <w:kern w:val="2"/>
          <w:sz w:val="32"/>
          <w:szCs w:val="32"/>
          <w:lang w:val="en-US" w:eastAsia="zh-CN" w:bidi="ar"/>
        </w:rPr>
        <w:t>（三）查阅、复制与涉嫌违法行为有关的合同、发票、账簿、电子数据以及其他有关资料；</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color w:val="auto"/>
          <w:kern w:val="2"/>
          <w:sz w:val="32"/>
          <w:szCs w:val="32"/>
        </w:rPr>
      </w:pPr>
      <w:r>
        <w:rPr>
          <w:rFonts w:hint="eastAsia" w:ascii="宋体" w:hAnsi="宋体" w:eastAsia="仿宋_GB2312" w:cs="仿宋_GB2312"/>
          <w:b w:val="0"/>
          <w:color w:val="auto"/>
          <w:kern w:val="2"/>
          <w:sz w:val="32"/>
          <w:szCs w:val="32"/>
        </w:rPr>
        <w:t>（四）检查与涉嫌违法活动有关的物品，抽样取证；</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i w:val="0"/>
          <w:color w:val="auto"/>
          <w:kern w:val="2"/>
          <w:sz w:val="32"/>
          <w:szCs w:val="32"/>
        </w:rPr>
      </w:pPr>
      <w:r>
        <w:rPr>
          <w:rFonts w:hint="eastAsia" w:ascii="宋体" w:hAnsi="宋体" w:eastAsia="仿宋_GB2312" w:cs="仿宋_GB2312"/>
          <w:b w:val="0"/>
          <w:i w:val="0"/>
          <w:color w:val="auto"/>
          <w:kern w:val="2"/>
          <w:sz w:val="32"/>
          <w:szCs w:val="32"/>
        </w:rPr>
        <w:t>（五）对可能灭失或者以后难以取得的证据，依法先行登记保存；</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i w:val="0"/>
          <w:color w:val="auto"/>
          <w:kern w:val="2"/>
          <w:sz w:val="32"/>
          <w:szCs w:val="32"/>
        </w:rPr>
      </w:pPr>
      <w:r>
        <w:rPr>
          <w:rFonts w:hint="eastAsia" w:ascii="宋体" w:hAnsi="宋体" w:eastAsia="仿宋_GB2312" w:cs="仿宋_GB2312"/>
          <w:b w:val="0"/>
          <w:i w:val="0"/>
          <w:color w:val="auto"/>
          <w:kern w:val="2"/>
          <w:sz w:val="32"/>
          <w:szCs w:val="32"/>
        </w:rPr>
        <w:t>（六）依法采取相关查封或者扣押措施；</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i w:val="0"/>
          <w:color w:val="auto"/>
          <w:kern w:val="2"/>
          <w:sz w:val="32"/>
          <w:szCs w:val="32"/>
        </w:rPr>
      </w:pPr>
      <w:r>
        <w:rPr>
          <w:rFonts w:hint="eastAsia" w:ascii="宋体" w:hAnsi="宋体" w:eastAsia="仿宋_GB2312" w:cs="仿宋_GB2312"/>
          <w:b w:val="0"/>
          <w:i w:val="0"/>
          <w:color w:val="auto"/>
          <w:kern w:val="2"/>
          <w:sz w:val="32"/>
          <w:szCs w:val="32"/>
        </w:rPr>
        <w:t>（七）对涉嫌侵犯制造方法专利权的，要求当事人进行现场演示，但是应当采取保护措施，防止泄密，并固定相关证据；</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i w:val="0"/>
          <w:color w:val="auto"/>
          <w:kern w:val="2"/>
          <w:sz w:val="32"/>
          <w:szCs w:val="32"/>
        </w:rPr>
      </w:pPr>
      <w:r>
        <w:rPr>
          <w:rFonts w:hint="eastAsia" w:ascii="宋体" w:hAnsi="宋体" w:eastAsia="仿宋_GB2312" w:cs="仿宋_GB2312"/>
          <w:b w:val="0"/>
          <w:i w:val="0"/>
          <w:color w:val="auto"/>
          <w:kern w:val="2"/>
          <w:sz w:val="32"/>
          <w:szCs w:val="32"/>
        </w:rPr>
        <w:t>（八）法律、法规规定的其他措施。</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color w:val="auto"/>
          <w:kern w:val="2"/>
          <w:sz w:val="32"/>
          <w:szCs w:val="32"/>
        </w:rPr>
      </w:pPr>
      <w:r>
        <w:rPr>
          <w:rFonts w:hint="eastAsia" w:ascii="宋体" w:hAnsi="宋体" w:eastAsia="仿宋_GB2312" w:cs="仿宋_GB2312"/>
          <w:b w:val="0"/>
          <w:i w:val="0"/>
          <w:color w:val="auto"/>
          <w:kern w:val="2"/>
          <w:sz w:val="32"/>
          <w:szCs w:val="32"/>
        </w:rPr>
        <w:t>市场监管</w:t>
      </w:r>
      <w:r>
        <w:rPr>
          <w:rFonts w:hint="eastAsia" w:ascii="宋体" w:hAnsi="宋体" w:eastAsia="仿宋_GB2312" w:cs="仿宋_GB2312"/>
          <w:b w:val="0"/>
          <w:color w:val="auto"/>
          <w:kern w:val="2"/>
          <w:sz w:val="32"/>
          <w:szCs w:val="32"/>
        </w:rPr>
        <w:t>部门应专利权人或者利害关系人的请求处理专利侵权纠纷时，可以采取前款第一项、第二项、第四项、第七项所列措施。认定专利侵权的行政裁决、仲裁裁决或者民事判决生效后，侵权人再次侵犯同一专利权的，市场监管部门可以采取前款所有措施。</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i w:val="0"/>
          <w:color w:val="auto"/>
          <w:kern w:val="2"/>
          <w:sz w:val="32"/>
          <w:szCs w:val="32"/>
        </w:rPr>
      </w:pPr>
      <w:r>
        <w:rPr>
          <w:rFonts w:hint="eastAsia" w:ascii="宋体" w:hAnsi="宋体" w:eastAsia="黑体" w:cs="黑体"/>
          <w:b w:val="0"/>
          <w:color w:val="auto"/>
          <w:kern w:val="2"/>
          <w:sz w:val="32"/>
          <w:szCs w:val="32"/>
        </w:rPr>
        <w:t>第十四条</w:t>
      </w:r>
      <w:r>
        <w:rPr>
          <w:rFonts w:hint="eastAsia" w:ascii="宋体" w:hAnsi="宋体" w:eastAsia="仿宋_GB2312" w:cs="仿宋_GB2312"/>
          <w:b w:val="0"/>
          <w:color w:val="auto"/>
          <w:kern w:val="2"/>
          <w:sz w:val="32"/>
          <w:szCs w:val="32"/>
        </w:rPr>
        <w:t xml:space="preserve">  省人民政府应当建立知识产权行政保护技术调查官制度，为调查专业技术性较强的知识产权案件或者进行电子数据取</w:t>
      </w:r>
      <w:r>
        <w:rPr>
          <w:rFonts w:hint="eastAsia" w:ascii="宋体" w:hAnsi="宋体" w:eastAsia="仿宋_GB2312" w:cs="仿宋_GB2312"/>
          <w:b w:val="0"/>
          <w:i w:val="0"/>
          <w:color w:val="auto"/>
          <w:kern w:val="2"/>
          <w:sz w:val="32"/>
          <w:szCs w:val="32"/>
        </w:rPr>
        <w:t>证提供技术支持。</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i w:val="0"/>
          <w:color w:val="auto"/>
          <w:kern w:val="2"/>
          <w:sz w:val="32"/>
          <w:szCs w:val="32"/>
        </w:rPr>
      </w:pPr>
      <w:r>
        <w:rPr>
          <w:rFonts w:hint="eastAsia" w:ascii="宋体" w:hAnsi="宋体" w:eastAsia="仿宋_GB2312" w:cs="仿宋_GB2312"/>
          <w:b w:val="0"/>
          <w:i w:val="0"/>
          <w:color w:val="auto"/>
          <w:kern w:val="2"/>
          <w:sz w:val="32"/>
          <w:szCs w:val="32"/>
        </w:rPr>
        <w:t>技术调查官对涉案信息负有保密义务，与案件有利害关系的，应当回避。</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color w:val="auto"/>
          <w:kern w:val="2"/>
          <w:sz w:val="32"/>
          <w:szCs w:val="32"/>
        </w:rPr>
      </w:pPr>
      <w:r>
        <w:rPr>
          <w:rFonts w:hint="eastAsia" w:ascii="宋体" w:hAnsi="宋体" w:eastAsia="仿宋_GB2312" w:cs="仿宋_GB2312"/>
          <w:b w:val="0"/>
          <w:i w:val="0"/>
          <w:color w:val="auto"/>
          <w:kern w:val="2"/>
          <w:sz w:val="32"/>
          <w:szCs w:val="32"/>
        </w:rPr>
        <w:t>技术调查</w:t>
      </w:r>
      <w:r>
        <w:rPr>
          <w:rFonts w:hint="eastAsia" w:ascii="宋体" w:hAnsi="宋体" w:eastAsia="仿宋_GB2312" w:cs="仿宋_GB2312"/>
          <w:b w:val="0"/>
          <w:color w:val="auto"/>
          <w:kern w:val="2"/>
          <w:sz w:val="32"/>
          <w:szCs w:val="32"/>
        </w:rPr>
        <w:t>官的管理办法由省市场监管部门会同相关部门另行制定。</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color w:val="auto"/>
          <w:kern w:val="2"/>
          <w:sz w:val="32"/>
          <w:szCs w:val="32"/>
        </w:rPr>
      </w:pPr>
      <w:r>
        <w:rPr>
          <w:rFonts w:hint="eastAsia" w:ascii="宋体" w:hAnsi="宋体" w:eastAsia="黑体" w:cs="黑体"/>
          <w:b w:val="0"/>
          <w:color w:val="auto"/>
          <w:kern w:val="2"/>
          <w:sz w:val="32"/>
          <w:szCs w:val="32"/>
        </w:rPr>
        <w:t>第十五条</w:t>
      </w:r>
      <w:r>
        <w:rPr>
          <w:rFonts w:hint="eastAsia" w:ascii="宋体" w:hAnsi="宋体" w:eastAsia="仿宋_GB2312" w:cs="仿宋_GB2312"/>
          <w:b w:val="0"/>
          <w:color w:val="auto"/>
          <w:kern w:val="2"/>
          <w:sz w:val="32"/>
          <w:szCs w:val="32"/>
        </w:rPr>
        <w:t xml:space="preserve">  负责知识产权保护的主管部门和相关部门应当对知识产权侵权集中领域和易发风险区域开展行政保护专项行动，加大对重复侵权、恶意侵权、</w:t>
      </w:r>
      <w:r>
        <w:rPr>
          <w:rFonts w:hint="eastAsia" w:ascii="宋体" w:hAnsi="宋体" w:eastAsia="仿宋_GB2312" w:cs="仿宋_GB2312"/>
          <w:b w:val="0"/>
          <w:i w:val="0"/>
          <w:color w:val="auto"/>
          <w:kern w:val="2"/>
          <w:sz w:val="32"/>
          <w:szCs w:val="32"/>
        </w:rPr>
        <w:t>群体侵权等行</w:t>
      </w:r>
      <w:r>
        <w:rPr>
          <w:rFonts w:hint="eastAsia" w:ascii="宋体" w:hAnsi="宋体" w:eastAsia="仿宋_GB2312" w:cs="仿宋_GB2312"/>
          <w:b w:val="0"/>
          <w:color w:val="auto"/>
          <w:kern w:val="2"/>
          <w:sz w:val="32"/>
          <w:szCs w:val="32"/>
        </w:rPr>
        <w:t>为的查处和打击力度。</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color w:val="auto"/>
          <w:kern w:val="2"/>
          <w:sz w:val="32"/>
          <w:szCs w:val="32"/>
        </w:rPr>
      </w:pPr>
      <w:r>
        <w:rPr>
          <w:rFonts w:hint="eastAsia" w:ascii="宋体" w:hAnsi="宋体" w:eastAsia="黑体" w:cs="黑体"/>
          <w:b w:val="0"/>
          <w:color w:val="auto"/>
          <w:kern w:val="2"/>
          <w:sz w:val="32"/>
          <w:szCs w:val="32"/>
        </w:rPr>
        <w:t>第十六条</w:t>
      </w:r>
      <w:r>
        <w:rPr>
          <w:rFonts w:hint="eastAsia" w:ascii="宋体" w:hAnsi="宋体" w:eastAsia="仿宋_GB2312" w:cs="仿宋_GB2312"/>
          <w:b w:val="0"/>
          <w:color w:val="auto"/>
          <w:kern w:val="2"/>
          <w:sz w:val="32"/>
          <w:szCs w:val="32"/>
        </w:rPr>
        <w:t xml:space="preserve">  市场监管部门应当推动专利快速审查机制建设，按照有关规定，为国家重点发展产业和本省战略性新兴产业等提供专利申请和确权的快速通道。</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color w:val="auto"/>
          <w:kern w:val="2"/>
          <w:sz w:val="32"/>
          <w:szCs w:val="32"/>
        </w:rPr>
      </w:pPr>
      <w:r>
        <w:rPr>
          <w:rFonts w:hint="eastAsia" w:ascii="宋体" w:hAnsi="宋体" w:eastAsia="黑体" w:cs="黑体"/>
          <w:b w:val="0"/>
          <w:color w:val="auto"/>
          <w:kern w:val="2"/>
          <w:sz w:val="32"/>
          <w:szCs w:val="32"/>
        </w:rPr>
        <w:t>第十七条</w:t>
      </w:r>
      <w:r>
        <w:rPr>
          <w:rFonts w:hint="eastAsia" w:ascii="宋体" w:hAnsi="宋体" w:eastAsia="仿宋_GB2312" w:cs="仿宋_GB2312"/>
          <w:b w:val="0"/>
          <w:color w:val="auto"/>
          <w:kern w:val="2"/>
          <w:sz w:val="32"/>
          <w:szCs w:val="32"/>
        </w:rPr>
        <w:t xml:space="preserve">  市场监管部门应当探索创新注册商标的保护手段，加强对本省享有较高知名度、具有较大市场影响力商标的保护，指导和规范有关行业协会建立重点商标保护名录。</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color w:val="auto"/>
          <w:kern w:val="2"/>
          <w:sz w:val="32"/>
          <w:szCs w:val="32"/>
        </w:rPr>
      </w:pPr>
      <w:r>
        <w:rPr>
          <w:rFonts w:hint="eastAsia" w:ascii="宋体" w:hAnsi="宋体" w:eastAsia="黑体" w:cs="黑体"/>
          <w:b w:val="0"/>
          <w:color w:val="auto"/>
          <w:kern w:val="2"/>
          <w:sz w:val="32"/>
          <w:szCs w:val="32"/>
        </w:rPr>
        <w:t>第十八条</w:t>
      </w:r>
      <w:r>
        <w:rPr>
          <w:rFonts w:hint="eastAsia" w:ascii="宋体" w:hAnsi="宋体" w:eastAsia="仿宋_GB2312" w:cs="仿宋_GB2312"/>
          <w:b w:val="0"/>
          <w:color w:val="auto"/>
          <w:kern w:val="2"/>
          <w:sz w:val="32"/>
          <w:szCs w:val="32"/>
        </w:rPr>
        <w:t xml:space="preserve">  著作权主管部门应当健全著作权登记制度，完善著作权网络保护和交易规则，加强对作品侵权盗版行为的监测与查处。</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i w:val="0"/>
          <w:color w:val="auto"/>
          <w:kern w:val="2"/>
          <w:sz w:val="32"/>
          <w:szCs w:val="32"/>
        </w:rPr>
      </w:pPr>
      <w:r>
        <w:rPr>
          <w:rFonts w:hint="eastAsia" w:ascii="宋体" w:hAnsi="宋体" w:eastAsia="黑体" w:cs="黑体"/>
          <w:b w:val="0"/>
          <w:color w:val="auto"/>
          <w:kern w:val="2"/>
          <w:sz w:val="32"/>
          <w:szCs w:val="32"/>
        </w:rPr>
        <w:t>第十九条</w:t>
      </w:r>
      <w:r>
        <w:rPr>
          <w:rFonts w:hint="eastAsia" w:ascii="宋体" w:hAnsi="宋体" w:eastAsia="仿宋_GB2312" w:cs="仿宋_GB2312"/>
          <w:b w:val="0"/>
          <w:color w:val="auto"/>
          <w:kern w:val="2"/>
          <w:sz w:val="32"/>
          <w:szCs w:val="32"/>
        </w:rPr>
        <w:t xml:space="preserve">  市场监管部门应当加强对</w:t>
      </w:r>
      <w:r>
        <w:rPr>
          <w:rFonts w:hint="eastAsia" w:ascii="宋体" w:hAnsi="宋体" w:eastAsia="仿宋_GB2312" w:cs="仿宋_GB2312"/>
          <w:b w:val="0"/>
          <w:i w:val="0"/>
          <w:color w:val="auto"/>
          <w:kern w:val="2"/>
          <w:sz w:val="32"/>
          <w:szCs w:val="32"/>
        </w:rPr>
        <w:t>商业秘密保护的组织、协调、指导和监管执法工作，推动建立健全商业秘密保护体系；引导经营者建立完善商业秘密保护制度，采取签订商业秘密保密协议等措施防止泄露商业秘密。</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color w:val="auto"/>
          <w:kern w:val="2"/>
          <w:sz w:val="32"/>
          <w:szCs w:val="32"/>
        </w:rPr>
      </w:pPr>
      <w:r>
        <w:rPr>
          <w:rFonts w:hint="eastAsia" w:ascii="宋体" w:hAnsi="宋体" w:eastAsia="黑体" w:cs="黑体"/>
          <w:b w:val="0"/>
          <w:i w:val="0"/>
          <w:color w:val="auto"/>
          <w:kern w:val="2"/>
          <w:sz w:val="32"/>
          <w:szCs w:val="32"/>
        </w:rPr>
        <w:t>第二十条</w:t>
      </w:r>
      <w:r>
        <w:rPr>
          <w:rFonts w:hint="eastAsia" w:ascii="宋体" w:hAnsi="宋体" w:eastAsia="仿宋_GB2312" w:cs="仿宋_GB2312"/>
          <w:b w:val="0"/>
          <w:i w:val="0"/>
          <w:color w:val="auto"/>
          <w:kern w:val="2"/>
          <w:sz w:val="32"/>
          <w:szCs w:val="32"/>
        </w:rPr>
        <w:t xml:space="preserve">  负责知识产权保护的主管部门、商务部门应当引导老字号商事主体通过申请专利、注册商标、登记著作权、申请地理标志产品保护以及商业秘密保护等方式维护自身</w:t>
      </w:r>
      <w:r>
        <w:rPr>
          <w:rFonts w:hint="eastAsia" w:ascii="宋体" w:hAnsi="宋体" w:eastAsia="仿宋_GB2312" w:cs="仿宋_GB2312"/>
          <w:b w:val="0"/>
          <w:color w:val="auto"/>
          <w:kern w:val="2"/>
          <w:sz w:val="32"/>
          <w:szCs w:val="32"/>
        </w:rPr>
        <w:t>合法权益，并依法查处侵犯其知识产权的违法行为。</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i w:val="0"/>
          <w:color w:val="auto"/>
          <w:kern w:val="2"/>
          <w:sz w:val="32"/>
          <w:szCs w:val="32"/>
        </w:rPr>
      </w:pPr>
      <w:r>
        <w:rPr>
          <w:rFonts w:hint="eastAsia" w:ascii="宋体" w:hAnsi="宋体" w:eastAsia="黑体" w:cs="黑体"/>
          <w:b w:val="0"/>
          <w:i w:val="0"/>
          <w:color w:val="auto"/>
          <w:kern w:val="2"/>
          <w:sz w:val="32"/>
          <w:szCs w:val="32"/>
        </w:rPr>
        <w:t>第二十一条</w:t>
      </w:r>
      <w:r>
        <w:rPr>
          <w:rFonts w:hint="eastAsia" w:ascii="宋体" w:hAnsi="宋体" w:eastAsia="仿宋_GB2312" w:cs="仿宋_GB2312"/>
          <w:b w:val="0"/>
          <w:color w:val="auto"/>
          <w:kern w:val="2"/>
          <w:sz w:val="32"/>
          <w:szCs w:val="32"/>
        </w:rPr>
        <w:t xml:space="preserve">  县级以上人民政府及有关部门应当探索开展新领域新业</w:t>
      </w:r>
      <w:r>
        <w:rPr>
          <w:rFonts w:hint="eastAsia" w:ascii="宋体" w:hAnsi="宋体" w:eastAsia="仿宋_GB2312" w:cs="仿宋_GB2312"/>
          <w:b w:val="0"/>
          <w:i w:val="0"/>
          <w:color w:val="auto"/>
          <w:kern w:val="2"/>
          <w:sz w:val="32"/>
          <w:szCs w:val="32"/>
        </w:rPr>
        <w:t>态以及传统文化、传统知识等领域的知识产权保护工作，为大数据、人工智能、基因技术、互联网、赛事转播和直播、中医药等领域的知识产权保护提供必要的培训与指导。</w:t>
      </w:r>
    </w:p>
    <w:p>
      <w:pPr>
        <w:pStyle w:val="1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0" w:firstLineChars="0"/>
        <w:jc w:val="both"/>
        <w:textAlignment w:val="baseline"/>
        <w:rPr>
          <w:rFonts w:hint="eastAsia" w:ascii="宋体" w:hAnsi="宋体" w:eastAsia="仿宋_GB2312" w:cs="仿宋_GB2312"/>
          <w:color w:val="auto"/>
          <w:kern w:val="0"/>
          <w:sz w:val="32"/>
          <w:szCs w:val="32"/>
          <w:vertAlign w:val="baseline"/>
        </w:rPr>
      </w:pPr>
      <w:r>
        <w:rPr>
          <w:rFonts w:hint="eastAsia" w:ascii="宋体" w:hAnsi="宋体" w:eastAsia="仿宋_GB2312" w:cs="仿宋_GB2312"/>
          <w:color w:val="auto"/>
          <w:kern w:val="0"/>
          <w:sz w:val="32"/>
          <w:szCs w:val="32"/>
          <w:vertAlign w:val="baseline"/>
          <w:lang w:val="en-US" w:eastAsia="zh-CN" w:bidi="ar"/>
        </w:rPr>
        <w:t xml:space="preserve"> </w:t>
      </w:r>
    </w:p>
    <w:p>
      <w:pPr>
        <w:pStyle w:val="3"/>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jc w:val="center"/>
        <w:outlineLvl w:val="0"/>
        <w:rPr>
          <w:rFonts w:hint="eastAsia" w:ascii="宋体" w:hAnsi="宋体" w:eastAsia="黑体" w:cs="黑体"/>
          <w:b w:val="0"/>
          <w:color w:val="auto"/>
          <w:kern w:val="2"/>
          <w:sz w:val="32"/>
          <w:szCs w:val="32"/>
        </w:rPr>
      </w:pPr>
      <w:r>
        <w:rPr>
          <w:rFonts w:hint="eastAsia" w:ascii="宋体" w:hAnsi="宋体" w:eastAsia="黑体" w:cs="黑体"/>
          <w:b w:val="0"/>
          <w:color w:val="auto"/>
          <w:kern w:val="2"/>
          <w:sz w:val="32"/>
          <w:szCs w:val="32"/>
        </w:rPr>
        <w:t>第三章  行政、司法协同</w:t>
      </w:r>
      <w:r>
        <w:rPr>
          <w:rFonts w:hint="eastAsia" w:ascii="宋体" w:hAnsi="宋体" w:eastAsia="黑体" w:cs="黑体"/>
          <w:b w:val="0"/>
          <w:i w:val="0"/>
          <w:color w:val="auto"/>
          <w:kern w:val="2"/>
          <w:sz w:val="32"/>
          <w:szCs w:val="32"/>
        </w:rPr>
        <w:t>保护与纠纷解决</w:t>
      </w:r>
    </w:p>
    <w:p>
      <w:pPr>
        <w:pStyle w:val="1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right="0" w:firstLine="420"/>
        <w:jc w:val="both"/>
        <w:textAlignment w:val="baseline"/>
        <w:rPr>
          <w:rFonts w:hint="eastAsia" w:ascii="宋体" w:hAnsi="宋体" w:eastAsia="宋体" w:cs="Times New Roman"/>
          <w:color w:val="auto"/>
          <w:kern w:val="2"/>
          <w:sz w:val="32"/>
          <w:szCs w:val="32"/>
        </w:rPr>
      </w:pPr>
      <w:r>
        <w:rPr>
          <w:rFonts w:hint="eastAsia" w:ascii="宋体" w:hAnsi="宋体" w:eastAsia="宋体" w:cs="Times New Roman"/>
          <w:color w:val="auto"/>
          <w:kern w:val="2"/>
          <w:sz w:val="32"/>
          <w:szCs w:val="32"/>
          <w:lang w:val="en-US" w:eastAsia="zh-CN" w:bidi="ar"/>
        </w:rPr>
        <w:t xml:space="preserve"> </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color w:val="auto"/>
          <w:kern w:val="2"/>
          <w:sz w:val="32"/>
          <w:szCs w:val="32"/>
        </w:rPr>
      </w:pPr>
      <w:r>
        <w:rPr>
          <w:rFonts w:hint="eastAsia" w:ascii="宋体" w:hAnsi="宋体" w:eastAsia="黑体" w:cs="黑体"/>
          <w:b w:val="0"/>
          <w:i w:val="0"/>
          <w:color w:val="auto"/>
          <w:kern w:val="2"/>
          <w:sz w:val="32"/>
          <w:szCs w:val="32"/>
        </w:rPr>
        <w:t>第二十二条</w:t>
      </w:r>
      <w:r>
        <w:rPr>
          <w:rFonts w:hint="eastAsia" w:ascii="宋体" w:hAnsi="宋体" w:eastAsia="仿宋_GB2312" w:cs="仿宋_GB2312"/>
          <w:b w:val="0"/>
          <w:color w:val="auto"/>
          <w:kern w:val="2"/>
          <w:sz w:val="32"/>
          <w:szCs w:val="32"/>
        </w:rPr>
        <w:t xml:space="preserve">  知识产权司法保护按照有关法律、司法解释的规定执行。</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方正黑体_GBK" w:cs="方正黑体_GBK"/>
          <w:b w:val="0"/>
          <w:i w:val="0"/>
          <w:color w:val="auto"/>
          <w:kern w:val="2"/>
          <w:sz w:val="32"/>
          <w:szCs w:val="32"/>
        </w:rPr>
      </w:pPr>
      <w:r>
        <w:rPr>
          <w:rFonts w:hint="eastAsia" w:ascii="宋体" w:hAnsi="宋体" w:eastAsia="仿宋_GB2312" w:cs="仿宋_GB2312"/>
          <w:b w:val="0"/>
          <w:color w:val="auto"/>
          <w:kern w:val="2"/>
          <w:sz w:val="32"/>
          <w:szCs w:val="32"/>
        </w:rPr>
        <w:t>负责知识产权保护的主管部门、相关部门和司法机关建立健全知识产权保护行政执法和司法衔接机制，推动知识产权领域行政执法标准和司法立案追诉、裁判标准协调衔</w:t>
      </w:r>
      <w:r>
        <w:rPr>
          <w:rFonts w:hint="eastAsia" w:ascii="宋体" w:hAnsi="宋体" w:eastAsia="仿宋_GB2312" w:cs="仿宋_GB2312"/>
          <w:b w:val="0"/>
          <w:i w:val="0"/>
          <w:color w:val="auto"/>
          <w:kern w:val="2"/>
          <w:sz w:val="32"/>
          <w:szCs w:val="32"/>
        </w:rPr>
        <w:t>接。</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40"/>
        <w:jc w:val="both"/>
        <w:rPr>
          <w:rFonts w:hint="eastAsia" w:ascii="宋体" w:hAnsi="宋体" w:eastAsia="仿宋_GB2312" w:cs="仿宋_GB2312"/>
          <w:b w:val="0"/>
          <w:color w:val="auto"/>
          <w:kern w:val="2"/>
          <w:sz w:val="32"/>
          <w:szCs w:val="32"/>
        </w:rPr>
      </w:pPr>
      <w:r>
        <w:rPr>
          <w:rFonts w:hint="eastAsia" w:ascii="宋体" w:hAnsi="宋体" w:eastAsia="仿宋_GB2312" w:cs="仿宋_GB2312"/>
          <w:b w:val="0"/>
          <w:color w:val="auto"/>
          <w:kern w:val="2"/>
          <w:sz w:val="32"/>
          <w:szCs w:val="32"/>
          <w:lang w:val="en-US" w:eastAsia="zh-CN" w:bidi="ar"/>
        </w:rPr>
        <w:t>负责知识产权保护的主管部门和相关部门在处理知识产权案件中发现犯罪线索的，应当及时向司法机关移送。</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32" w:firstLineChars="200"/>
        <w:jc w:val="both"/>
        <w:rPr>
          <w:rFonts w:hint="eastAsia" w:ascii="宋体" w:hAnsi="宋体" w:eastAsia="仿宋_GB2312" w:cs="Times New Roman"/>
          <w:color w:val="auto"/>
          <w:kern w:val="2"/>
          <w:sz w:val="32"/>
          <w:szCs w:val="32"/>
        </w:rPr>
      </w:pPr>
      <w:r>
        <w:rPr>
          <w:rFonts w:hint="eastAsia" w:ascii="宋体" w:hAnsi="宋体" w:eastAsia="黑体" w:cs="黑体"/>
          <w:b w:val="0"/>
          <w:i w:val="0"/>
          <w:color w:val="auto"/>
          <w:kern w:val="2"/>
          <w:sz w:val="32"/>
          <w:szCs w:val="32"/>
          <w:lang w:val="en-US" w:eastAsia="zh-CN" w:bidi="ar"/>
        </w:rPr>
        <w:t>第二十三条</w:t>
      </w:r>
      <w:r>
        <w:rPr>
          <w:rFonts w:hint="eastAsia" w:ascii="宋体" w:hAnsi="宋体" w:eastAsia="仿宋_GB2312" w:cs="仿宋_GB2312"/>
          <w:b w:val="0"/>
          <w:i w:val="0"/>
          <w:color w:val="auto"/>
          <w:kern w:val="2"/>
          <w:sz w:val="32"/>
          <w:szCs w:val="32"/>
          <w:lang w:val="en-US" w:eastAsia="zh-CN" w:bidi="ar"/>
        </w:rPr>
        <w:t xml:space="preserve">  负责知识产权保护的主管部门、相关部门和司法机关应当加强知识产权行政执法和司法信息共享，定期通报和共享知识产权工作信息，在知识产权案件违法线索、监测数据、典型案例等方面加强信息互通。</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color w:val="auto"/>
          <w:kern w:val="2"/>
          <w:sz w:val="32"/>
          <w:szCs w:val="32"/>
        </w:rPr>
      </w:pPr>
      <w:r>
        <w:rPr>
          <w:rFonts w:hint="eastAsia" w:ascii="宋体" w:hAnsi="宋体" w:eastAsia="黑体" w:cs="黑体"/>
          <w:b w:val="0"/>
          <w:i w:val="0"/>
          <w:color w:val="auto"/>
          <w:kern w:val="2"/>
          <w:sz w:val="32"/>
          <w:szCs w:val="32"/>
        </w:rPr>
        <w:t>第二十四条</w:t>
      </w:r>
      <w:r>
        <w:rPr>
          <w:rFonts w:hint="eastAsia" w:ascii="宋体" w:hAnsi="宋体" w:eastAsia="仿宋_GB2312" w:cs="仿宋_GB2312"/>
          <w:b w:val="0"/>
          <w:color w:val="auto"/>
          <w:kern w:val="2"/>
          <w:sz w:val="32"/>
          <w:szCs w:val="32"/>
        </w:rPr>
        <w:t xml:space="preserve">  负责知识产权保护的主管部门在处理知识产权纠纷案件时，可以依法先行调解。</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i w:val="0"/>
          <w:color w:val="auto"/>
          <w:kern w:val="2"/>
          <w:sz w:val="32"/>
          <w:szCs w:val="32"/>
        </w:rPr>
      </w:pPr>
      <w:r>
        <w:rPr>
          <w:rFonts w:hint="eastAsia" w:ascii="宋体" w:hAnsi="宋体" w:eastAsia="仿宋_GB2312" w:cs="仿宋_GB2312"/>
          <w:b w:val="0"/>
          <w:color w:val="auto"/>
          <w:kern w:val="2"/>
          <w:sz w:val="32"/>
          <w:szCs w:val="32"/>
        </w:rPr>
        <w:t>负责知识产权保护的主管部门、司</w:t>
      </w:r>
      <w:r>
        <w:rPr>
          <w:rFonts w:hint="eastAsia" w:ascii="宋体" w:hAnsi="宋体" w:eastAsia="仿宋_GB2312" w:cs="仿宋_GB2312"/>
          <w:b w:val="0"/>
          <w:i w:val="0"/>
          <w:color w:val="auto"/>
          <w:kern w:val="2"/>
          <w:sz w:val="32"/>
          <w:szCs w:val="32"/>
        </w:rPr>
        <w:t>法行政部门应当加强知识产权纠纷调解机制建设，支持和指导知识产权保护中心、快速维权中心以及相关社会组织建立调解组织，开展知识产权纠纷调解，公平、高效处理知识产权纠纷。</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color w:val="auto"/>
          <w:kern w:val="2"/>
          <w:sz w:val="32"/>
          <w:szCs w:val="32"/>
        </w:rPr>
      </w:pPr>
      <w:r>
        <w:rPr>
          <w:rFonts w:hint="eastAsia" w:ascii="宋体" w:hAnsi="宋体" w:eastAsia="仿宋_GB2312" w:cs="仿宋_GB2312"/>
          <w:b w:val="0"/>
          <w:i w:val="0"/>
          <w:color w:val="auto"/>
          <w:kern w:val="2"/>
          <w:sz w:val="32"/>
          <w:szCs w:val="32"/>
        </w:rPr>
        <w:t>负责知</w:t>
      </w:r>
      <w:r>
        <w:rPr>
          <w:rFonts w:hint="eastAsia" w:ascii="宋体" w:hAnsi="宋体" w:eastAsia="仿宋_GB2312" w:cs="仿宋_GB2312"/>
          <w:b w:val="0"/>
          <w:color w:val="auto"/>
          <w:kern w:val="2"/>
          <w:sz w:val="32"/>
          <w:szCs w:val="32"/>
        </w:rPr>
        <w:t>识产权保护的主管部门、司法行政部门应当与人民法院开展诉调对接工作，探索依当事人申请的知识产权纠纷行政调解协议司法确认制度，畅通线上线下调解与诉讼对接渠道。</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i w:val="0"/>
          <w:color w:val="auto"/>
          <w:kern w:val="2"/>
          <w:sz w:val="32"/>
          <w:szCs w:val="32"/>
        </w:rPr>
      </w:pPr>
      <w:r>
        <w:rPr>
          <w:rFonts w:hint="eastAsia" w:ascii="宋体" w:hAnsi="宋体" w:eastAsia="黑体" w:cs="黑体"/>
          <w:b w:val="0"/>
          <w:color w:val="auto"/>
          <w:kern w:val="2"/>
          <w:sz w:val="32"/>
          <w:szCs w:val="32"/>
        </w:rPr>
        <w:t>第二十五条</w:t>
      </w:r>
      <w:r>
        <w:rPr>
          <w:rFonts w:hint="eastAsia" w:ascii="宋体" w:hAnsi="宋体" w:eastAsia="仿宋_GB2312" w:cs="仿宋_GB2312"/>
          <w:b w:val="0"/>
          <w:i w:val="0"/>
          <w:color w:val="auto"/>
          <w:kern w:val="2"/>
          <w:sz w:val="32"/>
          <w:szCs w:val="32"/>
        </w:rPr>
        <w:t xml:space="preserve">  市场监管部门依当事人申请，依法对专利侵权纠纷作出行政裁决。</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40"/>
        <w:jc w:val="both"/>
        <w:rPr>
          <w:rFonts w:hint="eastAsia" w:ascii="宋体" w:hAnsi="宋体" w:eastAsia="仿宋_GB2312" w:cs="仿宋_GB2312"/>
          <w:b w:val="0"/>
          <w:i w:val="0"/>
          <w:color w:val="auto"/>
          <w:kern w:val="2"/>
          <w:sz w:val="32"/>
          <w:szCs w:val="32"/>
        </w:rPr>
      </w:pPr>
      <w:r>
        <w:rPr>
          <w:rFonts w:hint="eastAsia" w:ascii="宋体" w:hAnsi="宋体" w:eastAsia="仿宋_GB2312" w:cs="仿宋_GB2312"/>
          <w:b w:val="0"/>
          <w:i w:val="0"/>
          <w:color w:val="auto"/>
          <w:kern w:val="2"/>
          <w:sz w:val="32"/>
          <w:szCs w:val="32"/>
          <w:lang w:val="en-US" w:eastAsia="zh-CN" w:bidi="ar"/>
        </w:rPr>
        <w:t>除当事人达成调解协议或者撤回行政裁决申请的以外，市场监管部门应当在规定期限内对专利侵权行为是否成立作出行政裁决。认定侵权行为成立的，可以责令侵权人立即停止侵权行为。</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color w:val="auto"/>
          <w:kern w:val="2"/>
          <w:sz w:val="32"/>
          <w:szCs w:val="32"/>
        </w:rPr>
      </w:pPr>
      <w:r>
        <w:rPr>
          <w:rFonts w:hint="eastAsia" w:ascii="宋体" w:hAnsi="宋体" w:eastAsia="仿宋_GB2312" w:cs="仿宋_GB2312"/>
          <w:b w:val="0"/>
          <w:i w:val="0"/>
          <w:color w:val="auto"/>
          <w:kern w:val="2"/>
          <w:sz w:val="32"/>
          <w:szCs w:val="32"/>
        </w:rPr>
        <w:t>行政裁决</w:t>
      </w:r>
      <w:r>
        <w:rPr>
          <w:rFonts w:hint="eastAsia" w:ascii="宋体" w:hAnsi="宋体" w:eastAsia="仿宋_GB2312" w:cs="仿宋_GB2312"/>
          <w:b w:val="0"/>
          <w:color w:val="auto"/>
          <w:kern w:val="2"/>
          <w:sz w:val="32"/>
          <w:szCs w:val="32"/>
        </w:rPr>
        <w:t>的具体程序和要求，按照国家和省的有关规定执行。</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color w:val="auto"/>
          <w:kern w:val="2"/>
          <w:sz w:val="32"/>
          <w:szCs w:val="32"/>
        </w:rPr>
      </w:pPr>
      <w:r>
        <w:rPr>
          <w:rFonts w:hint="eastAsia" w:ascii="宋体" w:hAnsi="宋体" w:eastAsia="黑体" w:cs="黑体"/>
          <w:b w:val="0"/>
          <w:color w:val="auto"/>
          <w:kern w:val="2"/>
          <w:sz w:val="32"/>
          <w:szCs w:val="32"/>
        </w:rPr>
        <w:t>第二十六条</w:t>
      </w:r>
      <w:r>
        <w:rPr>
          <w:rFonts w:hint="eastAsia" w:ascii="宋体" w:hAnsi="宋体" w:eastAsia="仿宋_GB2312" w:cs="仿宋_GB2312"/>
          <w:b w:val="0"/>
          <w:color w:val="auto"/>
          <w:kern w:val="2"/>
          <w:sz w:val="32"/>
          <w:szCs w:val="32"/>
        </w:rPr>
        <w:t xml:space="preserve">  负责知识产权保护的主管部门、相关部门和司法机关应当加强知识产权快速维权机制建设，完善知识产权保护中心和快速维权中心布局，支持优势产业集聚区申报建设知识产权保护中心和快速维权中心。</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color w:val="auto"/>
          <w:kern w:val="2"/>
          <w:sz w:val="32"/>
          <w:szCs w:val="32"/>
        </w:rPr>
      </w:pPr>
      <w:r>
        <w:rPr>
          <w:rFonts w:hint="eastAsia" w:ascii="宋体" w:hAnsi="宋体" w:eastAsia="仿宋_GB2312" w:cs="仿宋_GB2312"/>
          <w:b w:val="0"/>
          <w:color w:val="auto"/>
          <w:kern w:val="2"/>
          <w:sz w:val="32"/>
          <w:szCs w:val="32"/>
        </w:rPr>
        <w:t>经批准设立的知识产权保护中心和快速维权中心应当发挥专业技术支撑平台作用，推进知识产权快速审查、确权、维权协同保护工作。</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color w:val="auto"/>
          <w:kern w:val="2"/>
          <w:sz w:val="32"/>
          <w:szCs w:val="32"/>
        </w:rPr>
      </w:pPr>
      <w:r>
        <w:rPr>
          <w:rFonts w:hint="eastAsia" w:ascii="宋体" w:hAnsi="宋体" w:eastAsia="黑体" w:cs="黑体"/>
          <w:b w:val="0"/>
          <w:color w:val="auto"/>
          <w:kern w:val="2"/>
          <w:sz w:val="32"/>
          <w:szCs w:val="32"/>
        </w:rPr>
        <w:t>第二十七条</w:t>
      </w:r>
      <w:r>
        <w:rPr>
          <w:rFonts w:hint="eastAsia" w:ascii="宋体" w:hAnsi="宋体" w:eastAsia="仿宋_GB2312" w:cs="仿宋_GB2312"/>
          <w:b w:val="0"/>
          <w:color w:val="auto"/>
          <w:kern w:val="2"/>
          <w:sz w:val="32"/>
          <w:szCs w:val="32"/>
        </w:rPr>
        <w:t xml:space="preserve">  负责知识</w:t>
      </w:r>
      <w:r>
        <w:rPr>
          <w:rFonts w:hint="eastAsia" w:ascii="宋体" w:hAnsi="宋体" w:eastAsia="仿宋_GB2312" w:cs="仿宋_GB2312"/>
          <w:b w:val="0"/>
          <w:i w:val="0"/>
          <w:color w:val="auto"/>
          <w:kern w:val="2"/>
          <w:sz w:val="32"/>
          <w:szCs w:val="32"/>
        </w:rPr>
        <w:t>产权保护的主</w:t>
      </w:r>
      <w:r>
        <w:rPr>
          <w:rFonts w:hint="eastAsia" w:ascii="宋体" w:hAnsi="宋体" w:eastAsia="仿宋_GB2312" w:cs="仿宋_GB2312"/>
          <w:b w:val="0"/>
          <w:color w:val="auto"/>
          <w:kern w:val="2"/>
          <w:sz w:val="32"/>
          <w:szCs w:val="32"/>
        </w:rPr>
        <w:t>管部门可以委托下级部门或者知识产权领域管理公共事务的组织处理专利侵权纠纷，可以委托下级部门对专利代理违法行为实施行政处罚。</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i w:val="0"/>
          <w:color w:val="auto"/>
          <w:kern w:val="2"/>
          <w:sz w:val="32"/>
          <w:szCs w:val="32"/>
        </w:rPr>
      </w:pPr>
      <w:r>
        <w:rPr>
          <w:rFonts w:hint="eastAsia" w:ascii="宋体" w:hAnsi="宋体" w:eastAsia="仿宋_GB2312" w:cs="仿宋_GB2312"/>
          <w:b w:val="0"/>
          <w:i w:val="0"/>
          <w:color w:val="auto"/>
          <w:kern w:val="2"/>
          <w:sz w:val="32"/>
          <w:szCs w:val="32"/>
        </w:rPr>
        <w:t>受委托的部门</w:t>
      </w:r>
      <w:r>
        <w:rPr>
          <w:rFonts w:hint="eastAsia" w:ascii="宋体" w:hAnsi="宋体" w:eastAsia="仿宋_GB2312" w:cs="仿宋_GB2312"/>
          <w:b w:val="0"/>
          <w:color w:val="auto"/>
          <w:kern w:val="2"/>
          <w:sz w:val="32"/>
          <w:szCs w:val="32"/>
        </w:rPr>
        <w:t>或者知识产权</w:t>
      </w:r>
      <w:r>
        <w:rPr>
          <w:rFonts w:hint="eastAsia" w:ascii="宋体" w:hAnsi="宋体" w:eastAsia="仿宋_GB2312" w:cs="仿宋_GB2312"/>
          <w:b w:val="0"/>
          <w:i w:val="0"/>
          <w:color w:val="auto"/>
          <w:kern w:val="2"/>
          <w:sz w:val="32"/>
          <w:szCs w:val="32"/>
        </w:rPr>
        <w:t>领域管理公共事务的组织在委托范围内，以委托机</w:t>
      </w:r>
      <w:r>
        <w:rPr>
          <w:rFonts w:hint="eastAsia" w:ascii="宋体" w:hAnsi="宋体" w:eastAsia="仿宋_GB2312" w:cs="仿宋_GB2312"/>
          <w:b w:val="0"/>
          <w:color w:val="auto"/>
          <w:kern w:val="2"/>
          <w:sz w:val="32"/>
          <w:szCs w:val="32"/>
        </w:rPr>
        <w:t>关的名义实施调查和作出相关处理，不得再委托其他组织或者个人实施调查和作出相关处理。</w:t>
      </w:r>
    </w:p>
    <w:p>
      <w:pPr>
        <w:pStyle w:val="1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0" w:firstLineChars="0"/>
        <w:jc w:val="both"/>
        <w:textAlignment w:val="baseline"/>
        <w:rPr>
          <w:rFonts w:hint="eastAsia" w:ascii="宋体" w:hAnsi="宋体" w:eastAsia="宋体" w:cs="Times New Roman"/>
          <w:color w:val="auto"/>
          <w:kern w:val="2"/>
          <w:sz w:val="32"/>
          <w:szCs w:val="32"/>
        </w:rPr>
      </w:pPr>
      <w:r>
        <w:rPr>
          <w:rFonts w:hint="eastAsia" w:ascii="宋体" w:hAnsi="宋体" w:eastAsia="宋体" w:cs="Times New Roman"/>
          <w:color w:val="auto"/>
          <w:kern w:val="2"/>
          <w:sz w:val="32"/>
          <w:szCs w:val="32"/>
          <w:lang w:val="en-US" w:eastAsia="zh-CN" w:bidi="ar"/>
        </w:rPr>
        <w:t xml:space="preserve"> </w:t>
      </w:r>
    </w:p>
    <w:p>
      <w:pPr>
        <w:pStyle w:val="3"/>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jc w:val="center"/>
        <w:outlineLvl w:val="0"/>
        <w:rPr>
          <w:rFonts w:hint="eastAsia" w:ascii="宋体" w:hAnsi="宋体" w:eastAsia="黑体" w:cs="黑体"/>
          <w:b w:val="0"/>
          <w:color w:val="auto"/>
          <w:kern w:val="2"/>
          <w:sz w:val="32"/>
          <w:szCs w:val="32"/>
        </w:rPr>
      </w:pPr>
      <w:r>
        <w:rPr>
          <w:rFonts w:hint="eastAsia" w:ascii="宋体" w:hAnsi="宋体" w:eastAsia="黑体" w:cs="黑体"/>
          <w:b w:val="0"/>
          <w:i w:val="0"/>
          <w:color w:val="auto"/>
          <w:kern w:val="2"/>
          <w:sz w:val="32"/>
          <w:szCs w:val="32"/>
        </w:rPr>
        <w:t>第四章  社会</w:t>
      </w:r>
      <w:r>
        <w:rPr>
          <w:rFonts w:hint="eastAsia" w:ascii="宋体" w:hAnsi="宋体" w:eastAsia="黑体" w:cs="黑体"/>
          <w:b w:val="0"/>
          <w:color w:val="auto"/>
          <w:kern w:val="2"/>
          <w:sz w:val="32"/>
          <w:szCs w:val="32"/>
        </w:rPr>
        <w:t>保护</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40"/>
        <w:jc w:val="both"/>
        <w:rPr>
          <w:rFonts w:hint="eastAsia" w:ascii="宋体" w:hAnsi="宋体" w:eastAsia="仿宋_GB2312" w:cs="仿宋_GB2312"/>
          <w:b w:val="0"/>
          <w:i w:val="0"/>
          <w:color w:val="auto"/>
          <w:kern w:val="2"/>
          <w:sz w:val="32"/>
          <w:szCs w:val="32"/>
        </w:rPr>
      </w:pPr>
      <w:r>
        <w:rPr>
          <w:rFonts w:hint="eastAsia" w:ascii="宋体" w:hAnsi="宋体" w:eastAsia="黑体" w:cs="黑体"/>
          <w:b w:val="0"/>
          <w:i w:val="0"/>
          <w:color w:val="auto"/>
          <w:kern w:val="2"/>
          <w:sz w:val="32"/>
          <w:szCs w:val="32"/>
          <w:lang w:val="en-US" w:eastAsia="zh-CN" w:bidi="ar"/>
        </w:rPr>
        <w:t>第二十八条</w:t>
      </w:r>
      <w:r>
        <w:rPr>
          <w:rFonts w:hint="eastAsia" w:ascii="宋体" w:hAnsi="宋体" w:eastAsia="仿宋_GB2312" w:cs="仿宋_GB2312"/>
          <w:b w:val="0"/>
          <w:i w:val="0"/>
          <w:color w:val="auto"/>
          <w:kern w:val="2"/>
          <w:sz w:val="32"/>
          <w:szCs w:val="32"/>
          <w:lang w:val="en-US" w:eastAsia="zh-CN" w:bidi="ar"/>
        </w:rPr>
        <w:t xml:space="preserve">  企业、高等学校、科研机构以及其他从事知识产权相关活动的单位和个人应当增强知识产权保护意识和能力，履行知识产权保护义务，接受负责知识产权保护的主管部门和相关部门的指导、监督和管理，配合行政机关的执法活动。</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40"/>
        <w:jc w:val="both"/>
        <w:rPr>
          <w:rFonts w:hint="eastAsia" w:ascii="宋体" w:hAnsi="宋体" w:eastAsia="仿宋_GB2312" w:cs="仿宋_GB2312"/>
          <w:b w:val="0"/>
          <w:i w:val="0"/>
          <w:color w:val="auto"/>
          <w:kern w:val="2"/>
          <w:sz w:val="32"/>
          <w:szCs w:val="32"/>
        </w:rPr>
      </w:pPr>
      <w:r>
        <w:rPr>
          <w:rFonts w:hint="eastAsia" w:ascii="宋体" w:hAnsi="宋体" w:eastAsia="仿宋_GB2312" w:cs="仿宋_GB2312"/>
          <w:b w:val="0"/>
          <w:i w:val="0"/>
          <w:color w:val="auto"/>
          <w:kern w:val="2"/>
          <w:sz w:val="32"/>
          <w:szCs w:val="32"/>
          <w:lang w:val="en-US" w:eastAsia="zh-CN" w:bidi="ar"/>
        </w:rPr>
        <w:t>支持和鼓励企业、高等学校、科研机构建立健全知识产权内部管理和保护机制，设立知识产权管理部门或者岗位。</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40"/>
        <w:jc w:val="both"/>
        <w:rPr>
          <w:rFonts w:hint="eastAsia" w:ascii="宋体" w:hAnsi="宋体" w:eastAsia="仿宋_GB2312" w:cs="仿宋_GB2312"/>
          <w:b w:val="0"/>
          <w:i w:val="0"/>
          <w:color w:val="auto"/>
          <w:kern w:val="2"/>
          <w:sz w:val="32"/>
          <w:szCs w:val="32"/>
        </w:rPr>
      </w:pPr>
      <w:r>
        <w:rPr>
          <w:rFonts w:hint="eastAsia" w:ascii="宋体" w:hAnsi="宋体" w:eastAsia="黑体" w:cs="黑体"/>
          <w:b w:val="0"/>
          <w:i w:val="0"/>
          <w:color w:val="auto"/>
          <w:kern w:val="2"/>
          <w:sz w:val="32"/>
          <w:szCs w:val="32"/>
          <w:lang w:val="en-US" w:eastAsia="zh-CN" w:bidi="ar"/>
        </w:rPr>
        <w:t>第二十九条</w:t>
      </w:r>
      <w:r>
        <w:rPr>
          <w:rFonts w:hint="eastAsia" w:ascii="宋体" w:hAnsi="宋体" w:eastAsia="仿宋_GB2312" w:cs="仿宋_GB2312"/>
          <w:b w:val="0"/>
          <w:i w:val="0"/>
          <w:color w:val="auto"/>
          <w:kern w:val="2"/>
          <w:sz w:val="32"/>
          <w:szCs w:val="32"/>
          <w:lang w:val="en-US" w:eastAsia="zh-CN" w:bidi="ar"/>
        </w:rPr>
        <w:t xml:space="preserve">  市场主体在开展对外投资、参加展会、招商引资、产品或者技术进出口业务时，应当及时检索、查询有关国家、地区的相关知识产权情况。</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40"/>
        <w:jc w:val="both"/>
        <w:rPr>
          <w:rFonts w:hint="eastAsia" w:ascii="宋体" w:hAnsi="宋体" w:eastAsia="仿宋_GB2312" w:cs="仿宋_GB2312"/>
          <w:b w:val="0"/>
          <w:i w:val="0"/>
          <w:color w:val="auto"/>
          <w:kern w:val="2"/>
          <w:sz w:val="32"/>
          <w:szCs w:val="32"/>
        </w:rPr>
      </w:pPr>
      <w:r>
        <w:rPr>
          <w:rFonts w:hint="eastAsia" w:ascii="宋体" w:hAnsi="宋体" w:eastAsia="仿宋_GB2312" w:cs="仿宋_GB2312"/>
          <w:b w:val="0"/>
          <w:i w:val="0"/>
          <w:color w:val="auto"/>
          <w:kern w:val="2"/>
          <w:sz w:val="32"/>
          <w:szCs w:val="32"/>
          <w:lang w:val="en-US" w:eastAsia="zh-CN" w:bidi="ar"/>
        </w:rPr>
        <w:t>市场主体在行使知识产权时，不得滥用知识产权实施垄断行为或者不正当竞争行为。</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40"/>
        <w:jc w:val="both"/>
        <w:rPr>
          <w:rFonts w:hint="eastAsia" w:ascii="宋体" w:hAnsi="宋体" w:eastAsia="仿宋_GB2312" w:cs="仿宋_GB2312"/>
          <w:b w:val="0"/>
          <w:i w:val="0"/>
          <w:color w:val="auto"/>
          <w:kern w:val="2"/>
          <w:sz w:val="32"/>
          <w:szCs w:val="32"/>
        </w:rPr>
      </w:pPr>
      <w:r>
        <w:rPr>
          <w:rFonts w:hint="eastAsia" w:ascii="宋体" w:hAnsi="宋体" w:eastAsia="黑体" w:cs="黑体"/>
          <w:b w:val="0"/>
          <w:i w:val="0"/>
          <w:color w:val="auto"/>
          <w:kern w:val="2"/>
          <w:sz w:val="32"/>
          <w:szCs w:val="32"/>
          <w:lang w:val="en-US" w:eastAsia="zh-CN" w:bidi="ar"/>
        </w:rPr>
        <w:t>第三十条</w:t>
      </w:r>
      <w:r>
        <w:rPr>
          <w:rFonts w:hint="eastAsia" w:ascii="宋体" w:hAnsi="宋体" w:eastAsia="仿宋_GB2312" w:cs="仿宋_GB2312"/>
          <w:b w:val="0"/>
          <w:i w:val="0"/>
          <w:color w:val="auto"/>
          <w:kern w:val="2"/>
          <w:sz w:val="32"/>
          <w:szCs w:val="32"/>
          <w:lang w:val="en-US" w:eastAsia="zh-CN" w:bidi="ar"/>
        </w:rPr>
        <w:t xml:space="preserve">  电子商务平台经营者应当制定平台知识产权保护规则，建立知识产权投诉举报机制，及时处理知识产权投诉举报；知道或者应当知道平台内经营者侵犯知识产权的，应当依法及时采取删除、屏蔽、断开链接、终止交易和服务等必要措施。</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40"/>
        <w:jc w:val="both"/>
        <w:rPr>
          <w:rFonts w:hint="eastAsia" w:ascii="宋体" w:hAnsi="宋体" w:eastAsia="仿宋_GB2312" w:cs="仿宋_GB2312"/>
          <w:b w:val="0"/>
          <w:i w:val="0"/>
          <w:color w:val="auto"/>
          <w:kern w:val="2"/>
          <w:sz w:val="32"/>
          <w:szCs w:val="32"/>
        </w:rPr>
      </w:pPr>
      <w:r>
        <w:rPr>
          <w:rFonts w:hint="eastAsia" w:ascii="宋体" w:hAnsi="宋体" w:eastAsia="黑体" w:cs="黑体"/>
          <w:b w:val="0"/>
          <w:i w:val="0"/>
          <w:color w:val="auto"/>
          <w:kern w:val="2"/>
          <w:sz w:val="32"/>
          <w:szCs w:val="32"/>
          <w:lang w:val="en-US" w:eastAsia="zh-CN" w:bidi="ar"/>
        </w:rPr>
        <w:t>第三十一条</w:t>
      </w:r>
      <w:r>
        <w:rPr>
          <w:rFonts w:hint="eastAsia" w:ascii="宋体" w:hAnsi="宋体" w:eastAsia="仿宋_GB2312" w:cs="仿宋_GB2312"/>
          <w:b w:val="0"/>
          <w:i w:val="0"/>
          <w:color w:val="auto"/>
          <w:kern w:val="2"/>
          <w:sz w:val="32"/>
          <w:szCs w:val="32"/>
          <w:lang w:val="en-US" w:eastAsia="zh-CN" w:bidi="ar"/>
        </w:rPr>
        <w:t xml:space="preserve">  展会主办方应当制定展会知识产权保护规则，加强对参展项目知识产权状况的审查，并在招展时与参展方签订有知识产权保护条款约定的合同。</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40"/>
        <w:jc w:val="both"/>
        <w:rPr>
          <w:rFonts w:hint="eastAsia" w:ascii="宋体" w:hAnsi="宋体" w:eastAsia="仿宋_GB2312" w:cs="仿宋_GB2312"/>
          <w:b w:val="0"/>
          <w:i w:val="0"/>
          <w:color w:val="auto"/>
          <w:kern w:val="2"/>
          <w:sz w:val="32"/>
          <w:szCs w:val="32"/>
        </w:rPr>
      </w:pPr>
      <w:r>
        <w:rPr>
          <w:rFonts w:hint="eastAsia" w:ascii="宋体" w:hAnsi="宋体" w:eastAsia="仿宋_GB2312" w:cs="仿宋_GB2312"/>
          <w:b w:val="0"/>
          <w:i w:val="0"/>
          <w:color w:val="auto"/>
          <w:kern w:val="2"/>
          <w:sz w:val="32"/>
          <w:szCs w:val="32"/>
          <w:lang w:val="en-US" w:eastAsia="zh-CN" w:bidi="ar"/>
        </w:rPr>
        <w:t>展会举办三天以上的，展会主办方应当设立展会知识产权纠纷处理机构，及时调解处理知识产权纠纷。</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40"/>
        <w:jc w:val="both"/>
        <w:rPr>
          <w:rFonts w:hint="eastAsia" w:ascii="宋体" w:hAnsi="宋体" w:eastAsia="仿宋_GB2312" w:cs="仿宋_GB2312"/>
          <w:b w:val="0"/>
          <w:i w:val="0"/>
          <w:color w:val="auto"/>
          <w:kern w:val="2"/>
          <w:sz w:val="32"/>
          <w:szCs w:val="32"/>
        </w:rPr>
      </w:pPr>
      <w:r>
        <w:rPr>
          <w:rFonts w:hint="eastAsia" w:ascii="宋体" w:hAnsi="宋体" w:eastAsia="仿宋_GB2312" w:cs="仿宋_GB2312"/>
          <w:b w:val="0"/>
          <w:i w:val="0"/>
          <w:color w:val="auto"/>
          <w:kern w:val="2"/>
          <w:sz w:val="32"/>
          <w:szCs w:val="32"/>
          <w:lang w:val="en-US" w:eastAsia="zh-CN" w:bidi="ar"/>
        </w:rPr>
        <w:t>展会主办方应当完整保存展会的知识产权纠纷信息与档案资料，并配合行政机关、司法机关以及公证、仲裁机构调取有关信息与资料。有关信息与资料自展会举办之日起应当保存至少三年。</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40"/>
        <w:jc w:val="both"/>
        <w:rPr>
          <w:rFonts w:hint="eastAsia" w:ascii="宋体" w:hAnsi="宋体" w:eastAsia="仿宋_GB2312" w:cs="仿宋_GB2312"/>
          <w:b w:val="0"/>
          <w:i w:val="0"/>
          <w:color w:val="auto"/>
          <w:kern w:val="2"/>
          <w:sz w:val="32"/>
          <w:szCs w:val="32"/>
        </w:rPr>
      </w:pPr>
      <w:r>
        <w:rPr>
          <w:rFonts w:hint="eastAsia" w:ascii="宋体" w:hAnsi="宋体" w:eastAsia="黑体" w:cs="黑体"/>
          <w:b w:val="0"/>
          <w:i w:val="0"/>
          <w:color w:val="auto"/>
          <w:kern w:val="2"/>
          <w:sz w:val="32"/>
          <w:szCs w:val="32"/>
          <w:lang w:val="en-US" w:eastAsia="zh-CN" w:bidi="ar"/>
        </w:rPr>
        <w:t>第三十二条</w:t>
      </w:r>
      <w:r>
        <w:rPr>
          <w:rFonts w:hint="eastAsia" w:ascii="宋体" w:hAnsi="宋体" w:eastAsia="仿宋_GB2312" w:cs="仿宋_GB2312"/>
          <w:b w:val="0"/>
          <w:i w:val="0"/>
          <w:color w:val="auto"/>
          <w:kern w:val="2"/>
          <w:sz w:val="32"/>
          <w:szCs w:val="32"/>
          <w:lang w:val="en-US" w:eastAsia="zh-CN" w:bidi="ar"/>
        </w:rPr>
        <w:t xml:space="preserve">  专业市场开办者应当制定市场内知识产权保护规则，与商户签订知识产权保护条款，开展相关宣传培训。</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40"/>
        <w:jc w:val="both"/>
        <w:rPr>
          <w:rFonts w:hint="eastAsia" w:ascii="宋体" w:hAnsi="宋体" w:eastAsia="仿宋_GB2312" w:cs="仿宋_GB2312"/>
          <w:b w:val="0"/>
          <w:i w:val="0"/>
          <w:color w:val="auto"/>
          <w:kern w:val="2"/>
          <w:sz w:val="32"/>
          <w:szCs w:val="32"/>
        </w:rPr>
      </w:pPr>
      <w:r>
        <w:rPr>
          <w:rFonts w:hint="eastAsia" w:ascii="宋体" w:hAnsi="宋体" w:eastAsia="仿宋_GB2312" w:cs="仿宋_GB2312"/>
          <w:b w:val="0"/>
          <w:i w:val="0"/>
          <w:color w:val="auto"/>
          <w:kern w:val="2"/>
          <w:sz w:val="32"/>
          <w:szCs w:val="32"/>
          <w:lang w:val="en-US" w:eastAsia="zh-CN" w:bidi="ar"/>
        </w:rPr>
        <w:t>负责知识产权保护的主管部门和有关行政管理部门应当指导专业市场开办者建立健全专业市场知识产权保护机制，引导专业市场建立知识产权纠纷快速处理机制。</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40"/>
        <w:jc w:val="both"/>
        <w:rPr>
          <w:rFonts w:hint="eastAsia" w:ascii="宋体" w:hAnsi="宋体" w:eastAsia="仿宋_GB2312" w:cs="仿宋_GB2312"/>
          <w:b w:val="0"/>
          <w:i w:val="0"/>
          <w:color w:val="auto"/>
          <w:kern w:val="2"/>
          <w:sz w:val="32"/>
          <w:szCs w:val="32"/>
        </w:rPr>
      </w:pPr>
      <w:r>
        <w:rPr>
          <w:rFonts w:hint="eastAsia" w:ascii="宋体" w:hAnsi="宋体" w:eastAsia="黑体" w:cs="黑体"/>
          <w:b w:val="0"/>
          <w:i w:val="0"/>
          <w:color w:val="auto"/>
          <w:kern w:val="2"/>
          <w:sz w:val="32"/>
          <w:szCs w:val="32"/>
          <w:lang w:val="en-US" w:eastAsia="zh-CN" w:bidi="ar"/>
        </w:rPr>
        <w:t>第三十三条</w:t>
      </w:r>
      <w:r>
        <w:rPr>
          <w:rFonts w:hint="eastAsia" w:ascii="宋体" w:hAnsi="宋体" w:eastAsia="仿宋_GB2312" w:cs="仿宋_GB2312"/>
          <w:b w:val="0"/>
          <w:i w:val="0"/>
          <w:color w:val="auto"/>
          <w:kern w:val="2"/>
          <w:sz w:val="32"/>
          <w:szCs w:val="32"/>
          <w:lang w:val="en-US" w:eastAsia="zh-CN" w:bidi="ar"/>
        </w:rPr>
        <w:t xml:space="preserve">  体育、文化等重大活动的主办方，应当遵守官方标志、特殊标志和奥林匹克标志保护等有关法律法规，依法规范活动中的知识产权使用行为。</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40"/>
        <w:jc w:val="both"/>
        <w:rPr>
          <w:rFonts w:hint="eastAsia" w:ascii="宋体" w:hAnsi="宋体" w:eastAsia="仿宋_GB2312" w:cs="仿宋_GB2312"/>
          <w:b w:val="0"/>
          <w:i w:val="0"/>
          <w:color w:val="auto"/>
          <w:kern w:val="2"/>
          <w:sz w:val="32"/>
          <w:szCs w:val="32"/>
        </w:rPr>
      </w:pPr>
      <w:r>
        <w:rPr>
          <w:rFonts w:hint="eastAsia" w:ascii="宋体" w:hAnsi="宋体" w:eastAsia="黑体" w:cs="黑体"/>
          <w:b w:val="0"/>
          <w:i w:val="0"/>
          <w:color w:val="auto"/>
          <w:kern w:val="2"/>
          <w:sz w:val="32"/>
          <w:szCs w:val="32"/>
          <w:lang w:val="en-US" w:eastAsia="zh-CN" w:bidi="ar"/>
        </w:rPr>
        <w:t>第三十四条</w:t>
      </w:r>
      <w:r>
        <w:rPr>
          <w:rFonts w:hint="eastAsia" w:ascii="宋体" w:hAnsi="宋体" w:eastAsia="仿宋_GB2312" w:cs="仿宋_GB2312"/>
          <w:b w:val="0"/>
          <w:i w:val="0"/>
          <w:color w:val="auto"/>
          <w:kern w:val="2"/>
          <w:sz w:val="32"/>
          <w:szCs w:val="32"/>
          <w:lang w:val="en-US" w:eastAsia="zh-CN" w:bidi="ar"/>
        </w:rPr>
        <w:t xml:space="preserve">  广告经营者、发布者对涉及知识产权的广告应当按照有关法律、行政法规规定查验知识产权证明文件。对无知识产权证明文件或者证明文件不全的，广告经营者不得提供设计、制作、代理服务，广告发布者不得发布。</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40"/>
        <w:jc w:val="both"/>
        <w:rPr>
          <w:rFonts w:hint="eastAsia" w:ascii="宋体" w:hAnsi="宋体" w:eastAsia="仿宋_GB2312" w:cs="仿宋_GB2312"/>
          <w:b w:val="0"/>
          <w:i w:val="0"/>
          <w:color w:val="auto"/>
          <w:kern w:val="2"/>
          <w:sz w:val="32"/>
          <w:szCs w:val="32"/>
        </w:rPr>
      </w:pPr>
      <w:r>
        <w:rPr>
          <w:rFonts w:hint="eastAsia" w:ascii="宋体" w:hAnsi="宋体" w:eastAsia="黑体" w:cs="黑体"/>
          <w:b w:val="0"/>
          <w:i w:val="0"/>
          <w:color w:val="auto"/>
          <w:kern w:val="2"/>
          <w:sz w:val="32"/>
          <w:szCs w:val="32"/>
          <w:lang w:val="en-US" w:eastAsia="zh-CN" w:bidi="ar"/>
        </w:rPr>
        <w:t>第三十五条</w:t>
      </w:r>
      <w:r>
        <w:rPr>
          <w:rFonts w:hint="eastAsia" w:ascii="宋体" w:hAnsi="宋体" w:eastAsia="仿宋_GB2312" w:cs="仿宋_GB2312"/>
          <w:b w:val="0"/>
          <w:i w:val="0"/>
          <w:color w:val="auto"/>
          <w:kern w:val="2"/>
          <w:sz w:val="32"/>
          <w:szCs w:val="32"/>
          <w:lang w:val="en-US" w:eastAsia="zh-CN" w:bidi="ar"/>
        </w:rPr>
        <w:t xml:space="preserve">  行业协会、商会、产业联盟等应当建立知识产权保护自律机制，按照章程规范成员创造、运用、保护知识产权等行为，加强对成员知识产权保护工作的监督，帮助成员解决知识产权纠纷。</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40"/>
        <w:jc w:val="both"/>
        <w:rPr>
          <w:rFonts w:hint="eastAsia" w:ascii="宋体" w:hAnsi="宋体" w:eastAsia="仿宋_GB2312" w:cs="仿宋_GB2312"/>
          <w:b w:val="0"/>
          <w:i w:val="0"/>
          <w:color w:val="auto"/>
          <w:kern w:val="2"/>
          <w:sz w:val="32"/>
          <w:szCs w:val="32"/>
        </w:rPr>
      </w:pPr>
      <w:r>
        <w:rPr>
          <w:rFonts w:hint="eastAsia" w:ascii="宋体" w:hAnsi="宋体" w:eastAsia="黑体" w:cs="黑体"/>
          <w:b w:val="0"/>
          <w:i w:val="0"/>
          <w:color w:val="auto"/>
          <w:kern w:val="2"/>
          <w:sz w:val="32"/>
          <w:szCs w:val="32"/>
          <w:lang w:val="en-US" w:eastAsia="zh-CN" w:bidi="ar"/>
        </w:rPr>
        <w:t>第三十六条</w:t>
      </w:r>
      <w:r>
        <w:rPr>
          <w:rFonts w:hint="eastAsia" w:ascii="宋体" w:hAnsi="宋体" w:eastAsia="仿宋_GB2312" w:cs="仿宋_GB2312"/>
          <w:b w:val="0"/>
          <w:i w:val="0"/>
          <w:color w:val="auto"/>
          <w:kern w:val="2"/>
          <w:sz w:val="32"/>
          <w:szCs w:val="32"/>
          <w:lang w:val="en-US" w:eastAsia="zh-CN" w:bidi="ar"/>
        </w:rPr>
        <w:t xml:space="preserve">  政府投资项目、政府采购和招标投标、政府资金扶持、表彰奖励等活动涉及知识产权的，有关主管部门可以要求申请参加活动的自然人、法人和非法人组织提交未侵犯他人知识产权的书面承诺，并在签订协议时约定违背承诺的责任。</w:t>
      </w:r>
    </w:p>
    <w:p>
      <w:pPr>
        <w:keepNext w:val="0"/>
        <w:keepLines w:val="0"/>
        <w:pageBreakBefore w:val="0"/>
        <w:widowControl w:val="0"/>
        <w:suppressLineNumbers w:val="0"/>
        <w:kinsoku/>
        <w:wordWrap/>
        <w:overflowPunct/>
        <w:topLinePunct w:val="0"/>
        <w:autoSpaceDE w:val="0"/>
        <w:autoSpaceDN/>
        <w:bidi w:val="0"/>
        <w:spacing w:beforeLines="0" w:beforeAutospacing="0" w:afterLines="0" w:afterAutospacing="0" w:line="590" w:lineRule="exact"/>
        <w:ind w:left="0" w:leftChars="0" w:right="0" w:rightChars="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 xml:space="preserve"> </w:t>
      </w:r>
    </w:p>
    <w:p>
      <w:pPr>
        <w:pStyle w:val="3"/>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jc w:val="center"/>
        <w:outlineLvl w:val="0"/>
        <w:rPr>
          <w:rFonts w:hint="eastAsia" w:ascii="宋体" w:hAnsi="宋体" w:eastAsia="黑体" w:cs="黑体"/>
          <w:b w:val="0"/>
          <w:color w:val="auto"/>
          <w:kern w:val="2"/>
          <w:sz w:val="32"/>
          <w:szCs w:val="32"/>
        </w:rPr>
      </w:pPr>
      <w:r>
        <w:rPr>
          <w:rFonts w:hint="eastAsia" w:ascii="宋体" w:hAnsi="宋体" w:eastAsia="黑体" w:cs="黑体"/>
          <w:b w:val="0"/>
          <w:color w:val="auto"/>
          <w:kern w:val="2"/>
          <w:sz w:val="32"/>
          <w:szCs w:val="32"/>
        </w:rPr>
        <w:t>第五章  服务与保障</w:t>
      </w:r>
    </w:p>
    <w:p>
      <w:pPr>
        <w:keepNext w:val="0"/>
        <w:keepLines w:val="0"/>
        <w:pageBreakBefore w:val="0"/>
        <w:widowControl w:val="0"/>
        <w:suppressLineNumbers w:val="0"/>
        <w:kinsoku/>
        <w:wordWrap/>
        <w:overflowPunct/>
        <w:topLinePunct w:val="0"/>
        <w:autoSpaceDE w:val="0"/>
        <w:autoSpaceDN/>
        <w:bidi w:val="0"/>
        <w:spacing w:beforeLines="0" w:beforeAutospacing="0" w:afterLines="0" w:afterAutospacing="0" w:line="590" w:lineRule="exact"/>
        <w:ind w:left="0" w:leftChars="0" w:right="0" w:rightChars="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40"/>
        <w:jc w:val="both"/>
        <w:rPr>
          <w:rFonts w:hint="eastAsia" w:ascii="宋体" w:hAnsi="宋体" w:eastAsia="仿宋_GB2312" w:cs="仿宋_GB2312"/>
          <w:b w:val="0"/>
          <w:i w:val="0"/>
          <w:color w:val="auto"/>
          <w:kern w:val="2"/>
          <w:sz w:val="32"/>
          <w:szCs w:val="32"/>
        </w:rPr>
      </w:pPr>
      <w:r>
        <w:rPr>
          <w:rFonts w:hint="eastAsia" w:ascii="宋体" w:hAnsi="宋体" w:eastAsia="黑体" w:cs="黑体"/>
          <w:b w:val="0"/>
          <w:i w:val="0"/>
          <w:color w:val="auto"/>
          <w:kern w:val="2"/>
          <w:sz w:val="32"/>
          <w:szCs w:val="32"/>
          <w:lang w:val="en-US" w:eastAsia="zh-CN" w:bidi="ar"/>
        </w:rPr>
        <w:t>第三十七条</w:t>
      </w:r>
      <w:r>
        <w:rPr>
          <w:rFonts w:hint="eastAsia" w:ascii="宋体" w:hAnsi="宋体" w:eastAsia="仿宋_GB2312" w:cs="仿宋_GB2312"/>
          <w:b w:val="0"/>
          <w:i w:val="0"/>
          <w:color w:val="auto"/>
          <w:kern w:val="2"/>
          <w:sz w:val="32"/>
          <w:szCs w:val="32"/>
          <w:lang w:val="en-US" w:eastAsia="zh-CN" w:bidi="ar"/>
        </w:rPr>
        <w:t xml:space="preserve">  县级以上人民政府应当建立健全知识产权公共服务体系，推进知识产权公共服务平台和专题数据库建设，提供知识产权政策指导、检索查询、维权咨询等服务，加强信息共享。</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color w:val="auto"/>
          <w:kern w:val="2"/>
          <w:sz w:val="32"/>
          <w:szCs w:val="32"/>
        </w:rPr>
      </w:pPr>
      <w:r>
        <w:rPr>
          <w:rFonts w:hint="eastAsia" w:ascii="宋体" w:hAnsi="宋体" w:eastAsia="仿宋_GB2312" w:cs="仿宋_GB2312"/>
          <w:b w:val="0"/>
          <w:color w:val="auto"/>
          <w:kern w:val="2"/>
          <w:sz w:val="32"/>
          <w:szCs w:val="32"/>
        </w:rPr>
        <w:t>鼓励和支持社会力量积极参与知识产权保护相关工作，提供知识产权保护服务。</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40"/>
        <w:jc w:val="both"/>
        <w:rPr>
          <w:rFonts w:hint="eastAsia" w:ascii="宋体" w:hAnsi="宋体" w:eastAsia="仿宋_GB2312" w:cs="仿宋_GB2312"/>
          <w:b w:val="0"/>
          <w:i w:val="0"/>
          <w:color w:val="auto"/>
          <w:kern w:val="2"/>
          <w:sz w:val="32"/>
          <w:szCs w:val="32"/>
        </w:rPr>
      </w:pPr>
      <w:r>
        <w:rPr>
          <w:rFonts w:hint="eastAsia" w:ascii="宋体" w:hAnsi="宋体" w:eastAsia="黑体" w:cs="黑体"/>
          <w:b w:val="0"/>
          <w:i w:val="0"/>
          <w:color w:val="auto"/>
          <w:kern w:val="2"/>
          <w:sz w:val="32"/>
          <w:szCs w:val="32"/>
          <w:lang w:val="en-US" w:eastAsia="zh-CN" w:bidi="ar"/>
        </w:rPr>
        <w:t>第三十八条</w:t>
      </w:r>
      <w:r>
        <w:rPr>
          <w:rFonts w:hint="eastAsia" w:ascii="宋体" w:hAnsi="宋体" w:eastAsia="仿宋_GB2312" w:cs="仿宋_GB2312"/>
          <w:b w:val="0"/>
          <w:i w:val="0"/>
          <w:color w:val="auto"/>
          <w:kern w:val="2"/>
          <w:sz w:val="32"/>
          <w:szCs w:val="32"/>
          <w:lang w:val="en-US" w:eastAsia="zh-CN" w:bidi="ar"/>
        </w:rPr>
        <w:t xml:space="preserve">  县级以上人民政府应当依托政务服务平台和网上办事大厅优化知识产权政务服务，简化服务流程，推进知识产权相关事项集中办理、就近办理和网上办理。</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40"/>
        <w:jc w:val="both"/>
        <w:rPr>
          <w:rFonts w:hint="eastAsia" w:ascii="宋体" w:hAnsi="宋体" w:eastAsia="仿宋_GB2312" w:cs="仿宋_GB2312"/>
          <w:b w:val="0"/>
          <w:i w:val="0"/>
          <w:color w:val="auto"/>
          <w:kern w:val="2"/>
          <w:sz w:val="32"/>
          <w:szCs w:val="32"/>
        </w:rPr>
      </w:pPr>
      <w:r>
        <w:rPr>
          <w:rFonts w:hint="eastAsia" w:ascii="宋体" w:hAnsi="宋体" w:eastAsia="黑体" w:cs="黑体"/>
          <w:b w:val="0"/>
          <w:i w:val="0"/>
          <w:color w:val="auto"/>
          <w:kern w:val="2"/>
          <w:sz w:val="32"/>
          <w:szCs w:val="32"/>
          <w:lang w:val="en-US" w:eastAsia="zh-CN" w:bidi="ar"/>
        </w:rPr>
        <w:t>第三十九条</w:t>
      </w:r>
      <w:r>
        <w:rPr>
          <w:rFonts w:hint="eastAsia" w:ascii="宋体" w:hAnsi="宋体" w:eastAsia="仿宋_GB2312" w:cs="仿宋_GB2312"/>
          <w:b w:val="0"/>
          <w:i w:val="0"/>
          <w:color w:val="auto"/>
          <w:kern w:val="2"/>
          <w:sz w:val="32"/>
          <w:szCs w:val="32"/>
          <w:lang w:val="en-US" w:eastAsia="zh-CN" w:bidi="ar"/>
        </w:rPr>
        <w:t xml:space="preserve">  负责知识产权保护的主管部门、商务部门应当指导有关单位及社会组织对重点行业和领域的知识产权状况、发展趋势、竞争态势，以及具有重大影响的国际知识产权事件、国外知识产权法律修改变化情况进行分析、研究，并提供知识产权领域风险预警等服务。</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40"/>
        <w:jc w:val="both"/>
        <w:rPr>
          <w:rFonts w:hint="eastAsia" w:ascii="宋体" w:hAnsi="宋体" w:eastAsia="仿宋_GB2312" w:cs="仿宋_GB2312"/>
          <w:b w:val="0"/>
          <w:i w:val="0"/>
          <w:color w:val="auto"/>
          <w:kern w:val="2"/>
          <w:sz w:val="32"/>
          <w:szCs w:val="32"/>
        </w:rPr>
      </w:pPr>
      <w:r>
        <w:rPr>
          <w:rFonts w:hint="eastAsia" w:ascii="宋体" w:hAnsi="宋体" w:eastAsia="黑体" w:cs="黑体"/>
          <w:b w:val="0"/>
          <w:i w:val="0"/>
          <w:color w:val="auto"/>
          <w:kern w:val="2"/>
          <w:sz w:val="32"/>
          <w:szCs w:val="32"/>
          <w:lang w:val="en-US" w:eastAsia="zh-CN" w:bidi="ar"/>
        </w:rPr>
        <w:t>第四十条</w:t>
      </w:r>
      <w:r>
        <w:rPr>
          <w:rFonts w:hint="eastAsia" w:ascii="宋体" w:hAnsi="宋体" w:eastAsia="仿宋_GB2312" w:cs="仿宋_GB2312"/>
          <w:b w:val="0"/>
          <w:i w:val="0"/>
          <w:color w:val="auto"/>
          <w:kern w:val="2"/>
          <w:sz w:val="32"/>
          <w:szCs w:val="32"/>
          <w:lang w:val="en-US" w:eastAsia="zh-CN" w:bidi="ar"/>
        </w:rPr>
        <w:t xml:space="preserve">  负责知识产权保护的主管部门、司法行政部门建立健全知识产权维权援助工作体系，推动有条件的地区和行业成立知识产权维权援助组织，支持知识产权服务行业协会组织开展公益代理和维权援助。</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40"/>
        <w:jc w:val="both"/>
        <w:rPr>
          <w:rFonts w:hint="eastAsia" w:ascii="宋体" w:hAnsi="宋体" w:eastAsia="仿宋_GB2312" w:cs="仿宋_GB2312"/>
          <w:b w:val="0"/>
          <w:i w:val="0"/>
          <w:color w:val="auto"/>
          <w:kern w:val="2"/>
          <w:sz w:val="32"/>
          <w:szCs w:val="32"/>
        </w:rPr>
      </w:pPr>
      <w:r>
        <w:rPr>
          <w:rFonts w:hint="eastAsia" w:ascii="宋体" w:hAnsi="宋体" w:eastAsia="仿宋_GB2312" w:cs="仿宋_GB2312"/>
          <w:b w:val="0"/>
          <w:i w:val="0"/>
          <w:color w:val="auto"/>
          <w:kern w:val="2"/>
          <w:sz w:val="32"/>
          <w:szCs w:val="32"/>
          <w:lang w:val="en-US" w:eastAsia="zh-CN" w:bidi="ar"/>
        </w:rPr>
        <w:t>鼓励保险机构结合知识产权保护、海外维权等需求开展知识产权保险业务，提高企事业单位知识产权风险应对能力。</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40"/>
        <w:jc w:val="both"/>
        <w:rPr>
          <w:rFonts w:hint="eastAsia" w:ascii="宋体" w:hAnsi="宋体" w:eastAsia="仿宋_GB2312" w:cs="仿宋_GB2312"/>
          <w:b w:val="0"/>
          <w:i w:val="0"/>
          <w:color w:val="auto"/>
          <w:kern w:val="2"/>
          <w:sz w:val="32"/>
          <w:szCs w:val="32"/>
        </w:rPr>
      </w:pPr>
      <w:r>
        <w:rPr>
          <w:rFonts w:hint="eastAsia" w:ascii="宋体" w:hAnsi="宋体" w:eastAsia="黑体" w:cs="黑体"/>
          <w:b w:val="0"/>
          <w:i w:val="0"/>
          <w:color w:val="auto"/>
          <w:kern w:val="2"/>
          <w:sz w:val="32"/>
          <w:szCs w:val="32"/>
          <w:lang w:val="en-US" w:eastAsia="zh-CN" w:bidi="ar"/>
        </w:rPr>
        <w:t>第四十一条</w:t>
      </w:r>
      <w:r>
        <w:rPr>
          <w:rFonts w:hint="eastAsia" w:ascii="宋体" w:hAnsi="宋体" w:eastAsia="仿宋_GB2312" w:cs="仿宋_GB2312"/>
          <w:b w:val="0"/>
          <w:i w:val="0"/>
          <w:color w:val="auto"/>
          <w:kern w:val="2"/>
          <w:sz w:val="32"/>
          <w:szCs w:val="32"/>
          <w:lang w:val="en-US" w:eastAsia="zh-CN" w:bidi="ar"/>
        </w:rPr>
        <w:t xml:space="preserve">  建立健全海外知识产权纠纷应对指导机制，加强海外知识产权维权服务。支持知识产权公益性服务机构开展海外纠纷应对指导服务，鼓励具备能力的社会组织、代理服务机构建立知识产权海外维权工作机制，建设海外维权专家库、案例库及法律库，开展海外维权服务，引导重点产业的企业、行业协会、商会等建立知识产权海外维权联盟，鼓励社会资本设立海外维权援助服务基金，提高海外知识产权纠纷应对能力。</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40"/>
        <w:jc w:val="both"/>
        <w:rPr>
          <w:rFonts w:hint="eastAsia" w:ascii="宋体" w:hAnsi="宋体" w:eastAsia="仿宋_GB2312" w:cs="仿宋_GB2312"/>
          <w:b w:val="0"/>
          <w:i w:val="0"/>
          <w:color w:val="auto"/>
          <w:kern w:val="2"/>
          <w:sz w:val="32"/>
          <w:szCs w:val="32"/>
        </w:rPr>
      </w:pPr>
      <w:r>
        <w:rPr>
          <w:rFonts w:hint="eastAsia" w:ascii="宋体" w:hAnsi="宋体" w:eastAsia="黑体" w:cs="黑体"/>
          <w:b w:val="0"/>
          <w:i w:val="0"/>
          <w:color w:val="auto"/>
          <w:kern w:val="2"/>
          <w:sz w:val="32"/>
          <w:szCs w:val="32"/>
          <w:lang w:val="en-US" w:eastAsia="zh-CN" w:bidi="ar"/>
        </w:rPr>
        <w:t>第四十二条</w:t>
      </w:r>
      <w:r>
        <w:rPr>
          <w:rFonts w:hint="eastAsia" w:ascii="宋体" w:hAnsi="宋体" w:eastAsia="仿宋_GB2312" w:cs="仿宋_GB2312"/>
          <w:b w:val="0"/>
          <w:i w:val="0"/>
          <w:color w:val="auto"/>
          <w:kern w:val="2"/>
          <w:sz w:val="32"/>
          <w:szCs w:val="32"/>
          <w:lang w:val="en-US" w:eastAsia="zh-CN" w:bidi="ar"/>
        </w:rPr>
        <w:t xml:space="preserve">  司法行政部门应当会同负责知识产权保护的主管部门加强公证电子存证技术的推广应用，指导公证机构优化服务知识产权保护的公证流程，创新公证证明和公证服务方式，依托电子签名、数据加密、区块链等技术，为知识产权维权取证等提供公证服务。</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color w:val="auto"/>
          <w:kern w:val="2"/>
          <w:sz w:val="32"/>
          <w:szCs w:val="32"/>
        </w:rPr>
      </w:pPr>
      <w:r>
        <w:rPr>
          <w:rFonts w:hint="eastAsia" w:ascii="宋体" w:hAnsi="宋体" w:eastAsia="仿宋_GB2312" w:cs="仿宋_GB2312"/>
          <w:b w:val="0"/>
          <w:color w:val="auto"/>
          <w:kern w:val="2"/>
          <w:sz w:val="32"/>
          <w:szCs w:val="32"/>
        </w:rPr>
        <w:t>公证机构依据权利人申请对侵权行为现场取证进行保全证据公证，对互联网环境下知识产权侵权行为网上取证进行保全证据公证。</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i w:val="0"/>
          <w:color w:val="auto"/>
          <w:kern w:val="2"/>
          <w:sz w:val="32"/>
          <w:szCs w:val="32"/>
        </w:rPr>
      </w:pPr>
      <w:r>
        <w:rPr>
          <w:rFonts w:hint="eastAsia" w:ascii="宋体" w:hAnsi="宋体" w:eastAsia="黑体" w:cs="黑体"/>
          <w:b w:val="0"/>
          <w:i w:val="0"/>
          <w:color w:val="auto"/>
          <w:kern w:val="2"/>
          <w:sz w:val="32"/>
          <w:szCs w:val="32"/>
        </w:rPr>
        <w:t>第四十三条</w:t>
      </w:r>
      <w:r>
        <w:rPr>
          <w:rFonts w:hint="eastAsia" w:ascii="宋体" w:hAnsi="宋体" w:eastAsia="仿宋_GB2312" w:cs="仿宋_GB2312"/>
          <w:b w:val="0"/>
          <w:i w:val="0"/>
          <w:color w:val="auto"/>
          <w:kern w:val="2"/>
          <w:sz w:val="32"/>
          <w:szCs w:val="32"/>
        </w:rPr>
        <w:t xml:space="preserve">  负责知识产权保护的主管部门应当推动知识产权服务业发展，加强对从事知识产权咨询、培训、代理、鉴定、评估、运营、大数据运用等服务业的培育、指导和监督，依法规范其执业行为。</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32" w:firstLineChars="200"/>
        <w:jc w:val="both"/>
        <w:rPr>
          <w:rFonts w:hint="eastAsia" w:ascii="宋体" w:hAnsi="宋体" w:eastAsia="仿宋_GB2312" w:cs="仿宋_GB2312"/>
          <w:b w:val="0"/>
          <w:color w:val="auto"/>
          <w:kern w:val="2"/>
          <w:sz w:val="32"/>
          <w:szCs w:val="32"/>
        </w:rPr>
      </w:pPr>
      <w:r>
        <w:rPr>
          <w:rFonts w:hint="eastAsia" w:ascii="宋体" w:hAnsi="宋体" w:eastAsia="仿宋_GB2312" w:cs="仿宋_GB2312"/>
          <w:b w:val="0"/>
          <w:color w:val="auto"/>
          <w:kern w:val="2"/>
          <w:sz w:val="32"/>
          <w:szCs w:val="32"/>
          <w:lang w:val="en-US" w:eastAsia="zh-CN" w:bidi="ar"/>
        </w:rPr>
        <w:t>知识产权服务机构应当依法开展知识产权代理、法律服务、咨询、培训等活动，恪守职业道德和执业纪律，诚实守信，依法维护委托人的合法权益。</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40"/>
        <w:jc w:val="both"/>
        <w:rPr>
          <w:rFonts w:hint="eastAsia" w:ascii="宋体" w:hAnsi="宋体" w:eastAsia="仿宋_GB2312" w:cs="仿宋_GB2312"/>
          <w:b w:val="0"/>
          <w:i w:val="0"/>
          <w:color w:val="auto"/>
          <w:kern w:val="2"/>
          <w:sz w:val="32"/>
          <w:szCs w:val="32"/>
        </w:rPr>
      </w:pPr>
      <w:r>
        <w:rPr>
          <w:rFonts w:hint="eastAsia" w:ascii="宋体" w:hAnsi="宋体" w:eastAsia="黑体" w:cs="黑体"/>
          <w:b w:val="0"/>
          <w:i w:val="0"/>
          <w:color w:val="auto"/>
          <w:kern w:val="2"/>
          <w:sz w:val="32"/>
          <w:szCs w:val="32"/>
          <w:lang w:val="en-US" w:eastAsia="zh-CN" w:bidi="ar"/>
        </w:rPr>
        <w:t>第四十四条</w:t>
      </w:r>
      <w:r>
        <w:rPr>
          <w:rFonts w:hint="eastAsia" w:ascii="宋体" w:hAnsi="宋体" w:eastAsia="仿宋_GB2312" w:cs="仿宋_GB2312"/>
          <w:b w:val="0"/>
          <w:i w:val="0"/>
          <w:color w:val="auto"/>
          <w:kern w:val="2"/>
          <w:sz w:val="32"/>
          <w:szCs w:val="32"/>
          <w:lang w:val="en-US" w:eastAsia="zh-CN" w:bidi="ar"/>
        </w:rPr>
        <w:t xml:space="preserve">  负责知识产权保护的主管部门、司法行政部门应当按照各自职责，推动建立知识产权鉴定技术标准，指导知识产权鉴定机构加强知识产权鉴定专业化、规范化建设，为知识产权行政保护和司法保护提供专业技术支撑。</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40"/>
        <w:jc w:val="both"/>
        <w:rPr>
          <w:rFonts w:hint="eastAsia" w:ascii="宋体" w:hAnsi="宋体" w:eastAsia="仿宋_GB2312" w:cs="仿宋_GB2312"/>
          <w:b w:val="0"/>
          <w:i w:val="0"/>
          <w:color w:val="auto"/>
          <w:kern w:val="2"/>
          <w:sz w:val="32"/>
          <w:szCs w:val="32"/>
        </w:rPr>
      </w:pPr>
      <w:r>
        <w:rPr>
          <w:rFonts w:hint="eastAsia" w:ascii="宋体" w:hAnsi="宋体" w:eastAsia="黑体" w:cs="黑体"/>
          <w:b w:val="0"/>
          <w:i w:val="0"/>
          <w:color w:val="auto"/>
          <w:kern w:val="2"/>
          <w:sz w:val="32"/>
          <w:szCs w:val="32"/>
          <w:lang w:val="en-US" w:eastAsia="zh-CN" w:bidi="ar"/>
        </w:rPr>
        <w:t>第四十五条</w:t>
      </w:r>
      <w:r>
        <w:rPr>
          <w:rFonts w:hint="eastAsia" w:ascii="宋体" w:hAnsi="宋体" w:eastAsia="仿宋_GB2312" w:cs="仿宋_GB2312"/>
          <w:b w:val="0"/>
          <w:i w:val="0"/>
          <w:color w:val="auto"/>
          <w:kern w:val="2"/>
          <w:sz w:val="32"/>
          <w:szCs w:val="32"/>
          <w:lang w:val="en-US" w:eastAsia="zh-CN" w:bidi="ar"/>
        </w:rPr>
        <w:t xml:space="preserve">  省人民政府应当建立健全知识产权保护工作考核机制，对县级以上人民政府及其负责知识产权保护的主管部门和相关部门依法履行知识产权保护工作职责的情况进行考核。</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40"/>
        <w:jc w:val="both"/>
        <w:rPr>
          <w:rFonts w:hint="eastAsia" w:ascii="宋体" w:hAnsi="宋体" w:eastAsia="仿宋_GB2312" w:cs="仿宋_GB2312"/>
          <w:b w:val="0"/>
          <w:i w:val="0"/>
          <w:color w:val="auto"/>
          <w:kern w:val="2"/>
          <w:sz w:val="32"/>
          <w:szCs w:val="32"/>
        </w:rPr>
      </w:pPr>
      <w:r>
        <w:rPr>
          <w:rFonts w:hint="eastAsia" w:ascii="宋体" w:hAnsi="宋体" w:eastAsia="黑体" w:cs="黑体"/>
          <w:b w:val="0"/>
          <w:i w:val="0"/>
          <w:color w:val="auto"/>
          <w:kern w:val="2"/>
          <w:sz w:val="32"/>
          <w:szCs w:val="32"/>
          <w:lang w:val="en-US" w:eastAsia="zh-CN" w:bidi="ar"/>
        </w:rPr>
        <w:t>第四十六条</w:t>
      </w:r>
      <w:r>
        <w:rPr>
          <w:rFonts w:hint="eastAsia" w:ascii="宋体" w:hAnsi="宋体" w:eastAsia="仿宋_GB2312" w:cs="仿宋_GB2312"/>
          <w:b w:val="0"/>
          <w:i w:val="0"/>
          <w:color w:val="auto"/>
          <w:kern w:val="2"/>
          <w:sz w:val="32"/>
          <w:szCs w:val="32"/>
          <w:lang w:val="en-US" w:eastAsia="zh-CN" w:bidi="ar"/>
        </w:rPr>
        <w:t xml:space="preserve">  负责知识产权保护的主管部门应当推进知识产权领域信用体系建设，按照国家和省的有关规定将自然人、法人和非法人组织在知识产权领域的失信行为纳入公共信用信息。</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i w:val="0"/>
          <w:color w:val="auto"/>
          <w:kern w:val="2"/>
          <w:sz w:val="32"/>
          <w:szCs w:val="32"/>
        </w:rPr>
      </w:pPr>
      <w:r>
        <w:rPr>
          <w:rFonts w:hint="eastAsia" w:ascii="宋体" w:hAnsi="宋体" w:eastAsia="仿宋_GB2312" w:cs="仿宋_GB2312"/>
          <w:b w:val="0"/>
          <w:i w:val="0"/>
          <w:color w:val="auto"/>
          <w:kern w:val="2"/>
          <w:sz w:val="32"/>
          <w:szCs w:val="32"/>
        </w:rPr>
        <w:t>社会信用主管部门应当会同负责知识产权保护的主管部门确定失信惩戒措施，完善知识产权失信惩戒机制。</w:t>
      </w:r>
    </w:p>
    <w:p>
      <w:pPr>
        <w:pStyle w:val="1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jc w:val="both"/>
        <w:rPr>
          <w:rFonts w:hint="eastAsia" w:ascii="宋体" w:hAnsi="宋体" w:eastAsia="仿宋_GB2312" w:cs="仿宋_GB2312"/>
          <w:b w:val="0"/>
          <w:color w:val="auto"/>
          <w:kern w:val="2"/>
          <w:sz w:val="32"/>
          <w:szCs w:val="32"/>
        </w:rPr>
      </w:pPr>
      <w:r>
        <w:rPr>
          <w:rFonts w:hint="eastAsia" w:ascii="宋体" w:hAnsi="宋体" w:eastAsia="仿宋_GB2312" w:cs="仿宋_GB2312"/>
          <w:b w:val="0"/>
          <w:color w:val="auto"/>
          <w:kern w:val="2"/>
          <w:sz w:val="32"/>
          <w:szCs w:val="32"/>
          <w:lang w:val="en-US" w:eastAsia="zh-CN" w:bidi="ar"/>
        </w:rPr>
        <w:t xml:space="preserve"> </w:t>
      </w:r>
    </w:p>
    <w:p>
      <w:pPr>
        <w:pStyle w:val="3"/>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jc w:val="center"/>
        <w:outlineLvl w:val="0"/>
        <w:rPr>
          <w:rFonts w:hint="eastAsia" w:ascii="宋体" w:hAnsi="宋体" w:eastAsia="黑体" w:cs="黑体"/>
          <w:b w:val="0"/>
          <w:color w:val="auto"/>
          <w:kern w:val="2"/>
          <w:sz w:val="32"/>
          <w:szCs w:val="32"/>
        </w:rPr>
      </w:pPr>
      <w:r>
        <w:rPr>
          <w:rFonts w:hint="eastAsia" w:ascii="宋体" w:hAnsi="宋体" w:eastAsia="黑体" w:cs="黑体"/>
          <w:b w:val="0"/>
          <w:color w:val="auto"/>
          <w:kern w:val="2"/>
          <w:sz w:val="32"/>
          <w:szCs w:val="32"/>
        </w:rPr>
        <w:t>第六章  法律责任</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40"/>
        <w:jc w:val="both"/>
        <w:rPr>
          <w:rFonts w:hint="eastAsia" w:ascii="宋体" w:hAnsi="宋体" w:eastAsia="仿宋_GB2312" w:cs="仿宋_GB2312"/>
          <w:b w:val="0"/>
          <w:i w:val="0"/>
          <w:color w:val="auto"/>
          <w:kern w:val="2"/>
          <w:sz w:val="32"/>
          <w:szCs w:val="32"/>
        </w:rPr>
      </w:pPr>
      <w:r>
        <w:rPr>
          <w:rFonts w:hint="eastAsia" w:ascii="宋体" w:hAnsi="宋体" w:eastAsia="黑体" w:cs="黑体"/>
          <w:b w:val="0"/>
          <w:i w:val="0"/>
          <w:color w:val="auto"/>
          <w:kern w:val="2"/>
          <w:sz w:val="32"/>
          <w:szCs w:val="32"/>
          <w:lang w:val="en-US" w:eastAsia="zh-CN" w:bidi="ar"/>
        </w:rPr>
        <w:t>第四十七条</w:t>
      </w:r>
      <w:r>
        <w:rPr>
          <w:rFonts w:hint="eastAsia" w:ascii="宋体" w:hAnsi="宋体" w:eastAsia="仿宋_GB2312" w:cs="仿宋_GB2312"/>
          <w:b w:val="0"/>
          <w:i w:val="0"/>
          <w:color w:val="auto"/>
          <w:kern w:val="2"/>
          <w:sz w:val="32"/>
          <w:szCs w:val="32"/>
          <w:lang w:val="en-US" w:eastAsia="zh-CN" w:bidi="ar"/>
        </w:rPr>
        <w:t xml:space="preserve">  负责知识产权保护的主管部门和相关部门及其工作人员滥用职权、玩忽职守、徇私舞弊的，对直接负责的主管人员和其他直接责任人员依法给予处分；构成犯罪的，依法追究刑事责任。</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40"/>
        <w:jc w:val="both"/>
        <w:rPr>
          <w:rFonts w:hint="eastAsia" w:ascii="宋体" w:hAnsi="宋体" w:eastAsia="仿宋_GB2312" w:cs="仿宋_GB2312"/>
          <w:b w:val="0"/>
          <w:i w:val="0"/>
          <w:color w:val="auto"/>
          <w:kern w:val="2"/>
          <w:sz w:val="32"/>
          <w:szCs w:val="32"/>
        </w:rPr>
      </w:pPr>
      <w:r>
        <w:rPr>
          <w:rFonts w:hint="eastAsia" w:ascii="宋体" w:hAnsi="宋体" w:eastAsia="黑体" w:cs="黑体"/>
          <w:b w:val="0"/>
          <w:i w:val="0"/>
          <w:color w:val="auto"/>
          <w:kern w:val="2"/>
          <w:sz w:val="32"/>
          <w:szCs w:val="32"/>
          <w:lang w:val="en-US" w:eastAsia="zh-CN" w:bidi="ar"/>
        </w:rPr>
        <w:t>第四十八条</w:t>
      </w:r>
      <w:r>
        <w:rPr>
          <w:rFonts w:hint="eastAsia" w:ascii="宋体" w:hAnsi="宋体" w:eastAsia="仿宋_GB2312" w:cs="仿宋_GB2312"/>
          <w:b w:val="0"/>
          <w:i w:val="0"/>
          <w:color w:val="auto"/>
          <w:kern w:val="2"/>
          <w:sz w:val="32"/>
          <w:szCs w:val="32"/>
          <w:lang w:val="en-US" w:eastAsia="zh-CN" w:bidi="ar"/>
        </w:rPr>
        <w:t xml:space="preserve">  对知识产权侵权行为作出的行政处罚决定或者知识产权侵权纠纷行政裁决、司法判决生效后，自然人、法人和非法人组织以相同行为再次侵犯同一知识产权的，负责知识产权保护的主管部门应当对其从重处罚。</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firstLine="640"/>
        <w:jc w:val="both"/>
        <w:rPr>
          <w:rFonts w:hint="eastAsia" w:ascii="宋体" w:hAnsi="宋体" w:eastAsia="仿宋_GB2312" w:cs="仿宋_GB2312"/>
          <w:b w:val="0"/>
          <w:i w:val="0"/>
          <w:color w:val="auto"/>
          <w:kern w:val="2"/>
          <w:sz w:val="32"/>
          <w:szCs w:val="32"/>
        </w:rPr>
      </w:pPr>
      <w:r>
        <w:rPr>
          <w:rFonts w:hint="eastAsia" w:ascii="宋体" w:hAnsi="宋体" w:eastAsia="仿宋_GB2312" w:cs="仿宋_GB2312"/>
          <w:b w:val="0"/>
          <w:i w:val="0"/>
          <w:color w:val="auto"/>
          <w:kern w:val="2"/>
          <w:sz w:val="32"/>
          <w:szCs w:val="32"/>
          <w:lang w:val="en-US" w:eastAsia="zh-CN" w:bidi="ar"/>
        </w:rPr>
        <w:t>负责知识产权保护的主管部门在查处知识产权违法行为过程中，要求当事人提供相关证据材料，当事人无正当理由拒不提供或者伪造、销毁、隐匿有关证据材料的，负责知识产权保护的主管部门根据查明的违法事实实施行政处罚时，可以对其从重处罚。</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i w:val="0"/>
          <w:color w:val="auto"/>
          <w:kern w:val="2"/>
          <w:sz w:val="32"/>
          <w:szCs w:val="32"/>
        </w:rPr>
      </w:pPr>
      <w:r>
        <w:rPr>
          <w:rFonts w:hint="eastAsia" w:ascii="宋体" w:hAnsi="宋体" w:eastAsia="黑体" w:cs="黑体"/>
          <w:b w:val="0"/>
          <w:i w:val="0"/>
          <w:color w:val="auto"/>
          <w:kern w:val="2"/>
          <w:sz w:val="32"/>
          <w:szCs w:val="32"/>
        </w:rPr>
        <w:t>第四十九条</w:t>
      </w:r>
      <w:r>
        <w:rPr>
          <w:rFonts w:hint="eastAsia" w:ascii="宋体" w:hAnsi="宋体" w:eastAsia="仿宋_GB2312" w:cs="仿宋_GB2312"/>
          <w:b w:val="0"/>
          <w:i w:val="0"/>
          <w:color w:val="auto"/>
          <w:kern w:val="2"/>
          <w:sz w:val="32"/>
          <w:szCs w:val="32"/>
        </w:rPr>
        <w:t xml:space="preserve">  自然人、法人和非法人组织有下列情形之一的，三年内不得申请政府财政性资金项目及参与表彰奖励等活动：</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i w:val="0"/>
          <w:color w:val="auto"/>
          <w:kern w:val="2"/>
          <w:sz w:val="32"/>
          <w:szCs w:val="32"/>
        </w:rPr>
      </w:pPr>
      <w:r>
        <w:rPr>
          <w:rFonts w:hint="eastAsia" w:ascii="宋体" w:hAnsi="宋体" w:eastAsia="仿宋_GB2312" w:cs="仿宋_GB2312"/>
          <w:b w:val="0"/>
          <w:i w:val="0"/>
          <w:color w:val="auto"/>
          <w:kern w:val="2"/>
          <w:sz w:val="32"/>
          <w:szCs w:val="32"/>
        </w:rPr>
        <w:t>（一）故意侵犯知识产权严重破坏市场公平竞争秩序的；</w:t>
      </w:r>
      <w:r>
        <w:rPr>
          <w:rFonts w:hint="eastAsia" w:ascii="宋体" w:hAnsi="宋体" w:eastAsia="仿宋_GB2312" w:cs="仿宋_GB2312"/>
          <w:b w:val="0"/>
          <w:i w:val="0"/>
          <w:color w:val="auto"/>
          <w:kern w:val="2"/>
          <w:sz w:val="32"/>
          <w:szCs w:val="32"/>
        </w:rPr>
        <w:br w:type="textWrapping"/>
      </w:r>
      <w:r>
        <w:rPr>
          <w:rFonts w:hint="eastAsia" w:ascii="宋体" w:hAnsi="宋体" w:eastAsia="仿宋_GB2312" w:cs="仿宋_GB2312"/>
          <w:b w:val="0"/>
          <w:i w:val="0"/>
          <w:color w:val="auto"/>
          <w:kern w:val="2"/>
          <w:sz w:val="32"/>
          <w:szCs w:val="32"/>
        </w:rPr>
        <w:t xml:space="preserve">    （二）有能力履行但拒不执行生效的知识产权法律文书的；</w:t>
      </w:r>
      <w:r>
        <w:rPr>
          <w:rFonts w:hint="eastAsia" w:ascii="宋体" w:hAnsi="宋体" w:eastAsia="仿宋_GB2312" w:cs="仿宋_GB2312"/>
          <w:b w:val="0"/>
          <w:i w:val="0"/>
          <w:color w:val="auto"/>
          <w:kern w:val="2"/>
          <w:sz w:val="32"/>
          <w:szCs w:val="32"/>
        </w:rPr>
        <w:br w:type="textWrapping"/>
      </w:r>
      <w:r>
        <w:rPr>
          <w:rFonts w:hint="eastAsia" w:ascii="宋体" w:hAnsi="宋体" w:eastAsia="仿宋_GB2312" w:cs="仿宋_GB2312"/>
          <w:b w:val="0"/>
          <w:i w:val="0"/>
          <w:color w:val="auto"/>
          <w:kern w:val="2"/>
          <w:sz w:val="32"/>
          <w:szCs w:val="32"/>
        </w:rPr>
        <w:t xml:space="preserve">    （三）侵犯知识产权构成犯罪的；</w:t>
      </w:r>
      <w:r>
        <w:rPr>
          <w:rFonts w:hint="eastAsia" w:ascii="宋体" w:hAnsi="宋体" w:eastAsia="仿宋_GB2312" w:cs="仿宋_GB2312"/>
          <w:b w:val="0"/>
          <w:i w:val="0"/>
          <w:color w:val="auto"/>
          <w:kern w:val="2"/>
          <w:sz w:val="32"/>
          <w:szCs w:val="32"/>
        </w:rPr>
        <w:br w:type="textWrapping"/>
      </w:r>
      <w:r>
        <w:rPr>
          <w:rFonts w:hint="eastAsia" w:ascii="宋体" w:hAnsi="宋体" w:eastAsia="仿宋_GB2312" w:cs="仿宋_GB2312"/>
          <w:b w:val="0"/>
          <w:i w:val="0"/>
          <w:color w:val="auto"/>
          <w:kern w:val="2"/>
          <w:sz w:val="32"/>
          <w:szCs w:val="32"/>
        </w:rPr>
        <w:t xml:space="preserve">    （四）有其他侵犯知识产权严重失信行为的。</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b w:val="0"/>
          <w:i w:val="0"/>
          <w:color w:val="auto"/>
          <w:kern w:val="2"/>
          <w:sz w:val="32"/>
          <w:szCs w:val="32"/>
        </w:rPr>
      </w:pPr>
      <w:r>
        <w:rPr>
          <w:rFonts w:hint="eastAsia" w:ascii="宋体" w:hAnsi="宋体" w:eastAsia="黑体" w:cs="黑体"/>
          <w:b w:val="0"/>
          <w:i w:val="0"/>
          <w:color w:val="auto"/>
          <w:kern w:val="2"/>
          <w:sz w:val="32"/>
          <w:szCs w:val="32"/>
        </w:rPr>
        <w:t>第五十条</w:t>
      </w:r>
      <w:r>
        <w:rPr>
          <w:rFonts w:hint="eastAsia" w:ascii="宋体" w:hAnsi="宋体" w:eastAsia="仿宋_GB2312" w:cs="仿宋_GB2312"/>
          <w:b w:val="0"/>
          <w:i w:val="0"/>
          <w:color w:val="auto"/>
          <w:kern w:val="2"/>
          <w:sz w:val="32"/>
          <w:szCs w:val="32"/>
        </w:rPr>
        <w:t xml:space="preserve">  企事业单位滥用知识产权实施垄断或者不正当竞争行为，应当追究法律责任的，依照《中华人民共和国反垄断法》《中华人民共和国反不正当竞争法》及相关法律法规进行处理。</w:t>
      </w:r>
    </w:p>
    <w:p>
      <w:pPr>
        <w:pStyle w:val="1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420"/>
        <w:jc w:val="center"/>
        <w:textAlignment w:val="baseline"/>
        <w:rPr>
          <w:rFonts w:hint="eastAsia" w:ascii="宋体" w:hAnsi="宋体" w:eastAsia="仿宋_GB2312" w:cs="仿宋_GB2312"/>
          <w:b w:val="0"/>
          <w:color w:val="auto"/>
          <w:kern w:val="0"/>
          <w:sz w:val="32"/>
          <w:szCs w:val="32"/>
          <w:vertAlign w:val="baseline"/>
        </w:rPr>
      </w:pPr>
      <w:r>
        <w:rPr>
          <w:rFonts w:hint="eastAsia" w:ascii="宋体" w:hAnsi="宋体" w:eastAsia="仿宋_GB2312" w:cs="仿宋_GB2312"/>
          <w:b w:val="0"/>
          <w:color w:val="auto"/>
          <w:kern w:val="0"/>
          <w:sz w:val="32"/>
          <w:szCs w:val="32"/>
          <w:vertAlign w:val="baseline"/>
          <w:lang w:val="en-US" w:eastAsia="zh-CN" w:bidi="ar"/>
        </w:rPr>
        <w:t xml:space="preserve"> </w:t>
      </w:r>
    </w:p>
    <w:p>
      <w:pPr>
        <w:pStyle w:val="3"/>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jc w:val="center"/>
        <w:outlineLvl w:val="0"/>
        <w:rPr>
          <w:rFonts w:hint="eastAsia" w:ascii="宋体" w:hAnsi="宋体" w:eastAsia="黑体" w:cs="黑体"/>
          <w:b w:val="0"/>
          <w:color w:val="auto"/>
          <w:kern w:val="2"/>
          <w:sz w:val="32"/>
          <w:szCs w:val="32"/>
        </w:rPr>
      </w:pPr>
      <w:r>
        <w:rPr>
          <w:rFonts w:hint="eastAsia" w:ascii="宋体" w:hAnsi="宋体" w:eastAsia="黑体" w:cs="黑体"/>
          <w:b w:val="0"/>
          <w:color w:val="auto"/>
          <w:kern w:val="2"/>
          <w:sz w:val="32"/>
          <w:szCs w:val="32"/>
        </w:rPr>
        <w:t>第七章  附</w:t>
      </w:r>
      <w:r>
        <w:rPr>
          <w:rFonts w:hint="eastAsia" w:ascii="宋体" w:hAnsi="宋体" w:eastAsia="黑体" w:cs="黑体"/>
          <w:b w:val="0"/>
          <w:color w:val="auto"/>
          <w:kern w:val="2"/>
          <w:sz w:val="32"/>
          <w:szCs w:val="32"/>
          <w:lang w:eastAsia="zh-CN"/>
        </w:rPr>
        <w:t>　</w:t>
      </w:r>
      <w:r>
        <w:rPr>
          <w:rFonts w:hint="eastAsia" w:ascii="宋体" w:hAnsi="宋体" w:eastAsia="黑体" w:cs="黑体"/>
          <w:b w:val="0"/>
          <w:color w:val="auto"/>
          <w:kern w:val="2"/>
          <w:sz w:val="32"/>
          <w:szCs w:val="32"/>
        </w:rPr>
        <w:t>则</w:t>
      </w:r>
    </w:p>
    <w:p>
      <w:pPr>
        <w:keepNext w:val="0"/>
        <w:keepLines w:val="0"/>
        <w:pageBreakBefore w:val="0"/>
        <w:widowControl w:val="0"/>
        <w:suppressLineNumbers w:val="0"/>
        <w:kinsoku/>
        <w:wordWrap/>
        <w:overflowPunct/>
        <w:topLinePunct w:val="0"/>
        <w:autoSpaceDE w:val="0"/>
        <w:autoSpaceDN/>
        <w:bidi w:val="0"/>
        <w:adjustRightInd w:val="0"/>
        <w:spacing w:beforeLines="0" w:beforeAutospacing="0" w:afterLines="0" w:afterAutospacing="0" w:line="590" w:lineRule="exact"/>
        <w:ind w:left="0" w:leftChars="0" w:right="0" w:rightChars="0"/>
        <w:jc w:val="both"/>
        <w:rPr>
          <w:rFonts w:hint="eastAsia" w:ascii="宋体" w:hAnsi="宋体" w:eastAsia="仿宋_GB2312" w:cs="仿宋_GB2312"/>
          <w:color w:val="auto"/>
          <w:kern w:val="2"/>
          <w:sz w:val="32"/>
          <w:szCs w:val="32"/>
        </w:rPr>
      </w:pPr>
      <w:r>
        <w:rPr>
          <w:rFonts w:hint="eastAsia" w:ascii="宋体" w:hAnsi="宋体" w:eastAsia="仿宋_GB2312" w:cs="仿宋_GB2312"/>
          <w:color w:val="auto"/>
          <w:kern w:val="2"/>
          <w:sz w:val="32"/>
          <w:szCs w:val="32"/>
          <w:lang w:val="en-US" w:eastAsia="zh-CN" w:bidi="ar"/>
        </w:rPr>
        <w:t xml:space="preserve"> </w:t>
      </w:r>
    </w:p>
    <w:p>
      <w:pPr>
        <w:pStyle w:val="4"/>
        <w:keepNext w:val="0"/>
        <w:keepLines w:val="0"/>
        <w:pageBreakBefore w:val="0"/>
        <w:widowControl w:val="0"/>
        <w:suppressLineNumbers w:val="0"/>
        <w:kinsoku/>
        <w:wordWrap/>
        <w:overflowPunct/>
        <w:topLinePunct w:val="0"/>
        <w:autoSpaceDE w:val="0"/>
        <w:autoSpaceDN/>
        <w:bidi w:val="0"/>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color w:val="auto"/>
          <w:lang w:val="en-US" w:eastAsia="zh-CN"/>
        </w:rPr>
      </w:pPr>
      <w:r>
        <w:rPr>
          <w:rFonts w:hint="eastAsia" w:ascii="宋体" w:hAnsi="宋体" w:eastAsia="黑体" w:cs="黑体"/>
          <w:b w:val="0"/>
          <w:i w:val="0"/>
          <w:color w:val="auto"/>
          <w:kern w:val="2"/>
          <w:sz w:val="32"/>
          <w:szCs w:val="32"/>
        </w:rPr>
        <w:t>第五十一条</w:t>
      </w:r>
      <w:r>
        <w:rPr>
          <w:rFonts w:hint="eastAsia" w:ascii="宋体" w:hAnsi="宋体" w:eastAsia="仿宋_GB2312" w:cs="仿宋_GB2312"/>
          <w:b w:val="0"/>
          <w:i w:val="0"/>
          <w:color w:val="auto"/>
          <w:kern w:val="2"/>
          <w:sz w:val="32"/>
          <w:szCs w:val="32"/>
        </w:rPr>
        <w:t xml:space="preserve">  本条例自</w:t>
      </w:r>
      <w:r>
        <w:rPr>
          <w:rFonts w:hint="eastAsia" w:ascii="宋体" w:hAnsi="宋体" w:eastAsia="仿宋_GB2312" w:cs="仿宋_GB2312"/>
          <w:b w:val="0"/>
          <w:i w:val="0"/>
          <w:color w:val="auto"/>
          <w:kern w:val="2"/>
          <w:sz w:val="32"/>
          <w:szCs w:val="32"/>
          <w:lang w:val="en-US" w:eastAsia="zh-CN"/>
        </w:rPr>
        <w:t>2022</w:t>
      </w:r>
      <w:r>
        <w:rPr>
          <w:rFonts w:hint="eastAsia" w:ascii="宋体" w:hAnsi="宋体" w:eastAsia="仿宋_GB2312" w:cs="仿宋_GB2312"/>
          <w:b w:val="0"/>
          <w:i w:val="0"/>
          <w:color w:val="auto"/>
          <w:kern w:val="2"/>
          <w:sz w:val="32"/>
          <w:szCs w:val="32"/>
        </w:rPr>
        <w:t>年</w:t>
      </w:r>
      <w:r>
        <w:rPr>
          <w:rFonts w:hint="eastAsia" w:ascii="宋体" w:hAnsi="宋体" w:eastAsia="仿宋_GB2312" w:cs="仿宋_GB2312"/>
          <w:b w:val="0"/>
          <w:i w:val="0"/>
          <w:color w:val="auto"/>
          <w:kern w:val="2"/>
          <w:sz w:val="32"/>
          <w:szCs w:val="32"/>
          <w:lang w:val="en-US" w:eastAsia="zh-CN"/>
        </w:rPr>
        <w:t>5</w:t>
      </w:r>
      <w:r>
        <w:rPr>
          <w:rFonts w:hint="eastAsia" w:ascii="宋体" w:hAnsi="宋体" w:eastAsia="仿宋_GB2312" w:cs="仿宋_GB2312"/>
          <w:b w:val="0"/>
          <w:i w:val="0"/>
          <w:color w:val="auto"/>
          <w:kern w:val="2"/>
          <w:sz w:val="32"/>
          <w:szCs w:val="32"/>
        </w:rPr>
        <w:t>月</w:t>
      </w:r>
      <w:r>
        <w:rPr>
          <w:rFonts w:hint="eastAsia" w:ascii="宋体" w:hAnsi="宋体" w:eastAsia="仿宋_GB2312" w:cs="仿宋_GB2312"/>
          <w:b w:val="0"/>
          <w:i w:val="0"/>
          <w:color w:val="auto"/>
          <w:kern w:val="2"/>
          <w:sz w:val="32"/>
          <w:szCs w:val="32"/>
          <w:lang w:val="en-US" w:eastAsia="zh-CN"/>
        </w:rPr>
        <w:t>1</w:t>
      </w:r>
      <w:r>
        <w:rPr>
          <w:rFonts w:hint="eastAsia" w:ascii="宋体" w:hAnsi="宋体" w:eastAsia="仿宋_GB2312" w:cs="仿宋_GB2312"/>
          <w:b w:val="0"/>
          <w:i w:val="0"/>
          <w:color w:val="auto"/>
          <w:kern w:val="2"/>
          <w:sz w:val="32"/>
          <w:szCs w:val="32"/>
        </w:rPr>
        <w:t>日起施行。</w:t>
      </w:r>
    </w:p>
    <w:p>
      <w:pPr>
        <w:keepNext w:val="0"/>
        <w:keepLines w:val="0"/>
        <w:pageBreakBefore w:val="0"/>
        <w:widowControl w:val="0"/>
        <w:kinsoku/>
        <w:wordWrap/>
        <w:overflowPunct/>
        <w:topLinePunct w:val="0"/>
        <w:autoSpaceDN/>
        <w:bidi w:val="0"/>
        <w:adjustRightInd w:val="0"/>
        <w:spacing w:beforeLines="0" w:afterLines="0" w:line="590" w:lineRule="exact"/>
        <w:ind w:left="1908" w:leftChars="304" w:hanging="948" w:hangingChars="300"/>
        <w:outlineLvl w:val="9"/>
        <w:rPr>
          <w:rFonts w:hint="eastAsia" w:ascii="宋体" w:hAnsi="宋体" w:eastAsia="仿宋_GB2312" w:cs="仿宋_GB2312"/>
          <w:color w:val="auto"/>
          <w:sz w:val="32"/>
          <w:szCs w:val="32"/>
        </w:rPr>
      </w:pPr>
    </w:p>
    <w:p>
      <w:pPr>
        <w:pStyle w:val="2"/>
        <w:spacing w:beforeLines="0" w:afterLines="0" w:line="590" w:lineRule="exact"/>
        <w:rPr>
          <w:rFonts w:hint="eastAsia" w:ascii="宋体" w:hAnsi="宋体" w:eastAsia="仿宋_GB2312" w:cs="仿宋_GB2312"/>
          <w:color w:val="auto"/>
          <w:sz w:val="32"/>
          <w:szCs w:val="32"/>
        </w:rPr>
      </w:pPr>
    </w:p>
    <w:p>
      <w:pPr>
        <w:spacing w:beforeLines="0" w:afterLines="0" w:line="590" w:lineRule="exact"/>
        <w:rPr>
          <w:rFonts w:hint="eastAsia" w:ascii="宋体" w:hAnsi="宋体" w:eastAsia="仿宋_GB2312" w:cs="仿宋_GB2312"/>
          <w:color w:val="auto"/>
          <w:sz w:val="32"/>
          <w:szCs w:val="32"/>
        </w:rPr>
      </w:pPr>
    </w:p>
    <w:p>
      <w:pPr>
        <w:pStyle w:val="2"/>
        <w:spacing w:beforeLines="0" w:afterLines="0" w:line="590" w:lineRule="exact"/>
        <w:rPr>
          <w:rFonts w:hint="eastAsia" w:ascii="宋体" w:hAnsi="宋体" w:eastAsia="仿宋_GB2312" w:cs="仿宋_GB2312"/>
          <w:color w:val="auto"/>
          <w:sz w:val="32"/>
          <w:szCs w:val="32"/>
        </w:rPr>
      </w:pPr>
    </w:p>
    <w:p>
      <w:pPr>
        <w:spacing w:beforeLines="0" w:afterLines="0" w:line="590" w:lineRule="exact"/>
        <w:rPr>
          <w:rFonts w:hint="eastAsia" w:ascii="宋体" w:hAnsi="宋体" w:eastAsia="仿宋_GB2312" w:cs="仿宋_GB2312"/>
          <w:color w:val="auto"/>
          <w:sz w:val="32"/>
          <w:szCs w:val="32"/>
        </w:rPr>
      </w:pPr>
    </w:p>
    <w:p>
      <w:pPr>
        <w:pStyle w:val="2"/>
        <w:spacing w:beforeLines="0" w:afterLines="0" w:line="590" w:lineRule="exact"/>
        <w:rPr>
          <w:rFonts w:hint="eastAsia" w:ascii="宋体" w:hAnsi="宋体" w:eastAsia="仿宋_GB2312" w:cs="仿宋_GB2312"/>
          <w:color w:val="auto"/>
          <w:sz w:val="32"/>
          <w:szCs w:val="32"/>
        </w:rPr>
      </w:pPr>
    </w:p>
    <w:p>
      <w:pPr>
        <w:spacing w:beforeLines="0" w:afterLines="0" w:line="590" w:lineRule="exact"/>
        <w:rPr>
          <w:rFonts w:hint="eastAsia" w:ascii="宋体" w:hAnsi="宋体" w:eastAsia="仿宋_GB2312" w:cs="仿宋_GB2312"/>
          <w:color w:val="auto"/>
          <w:sz w:val="32"/>
          <w:szCs w:val="32"/>
        </w:rPr>
      </w:pPr>
    </w:p>
    <w:p>
      <w:pPr>
        <w:pStyle w:val="2"/>
        <w:spacing w:beforeLines="0" w:afterLines="0" w:line="590" w:lineRule="exact"/>
        <w:rPr>
          <w:rFonts w:hint="eastAsia" w:ascii="宋体" w:hAnsi="宋体" w:eastAsia="仿宋_GB2312" w:cs="仿宋_GB2312"/>
          <w:color w:val="auto"/>
          <w:sz w:val="32"/>
          <w:szCs w:val="32"/>
        </w:rPr>
      </w:pPr>
    </w:p>
    <w:p>
      <w:pPr>
        <w:spacing w:beforeLines="0" w:afterLines="0" w:line="590" w:lineRule="exact"/>
        <w:rPr>
          <w:rFonts w:hint="eastAsia" w:ascii="宋体" w:hAnsi="宋体" w:eastAsia="仿宋_GB2312" w:cs="仿宋_GB2312"/>
          <w:color w:val="auto"/>
          <w:sz w:val="32"/>
          <w:szCs w:val="32"/>
        </w:rPr>
      </w:pPr>
    </w:p>
    <w:p>
      <w:pPr>
        <w:pStyle w:val="2"/>
        <w:spacing w:beforeLines="0" w:afterLines="0" w:line="590" w:lineRule="exact"/>
        <w:rPr>
          <w:rFonts w:hint="eastAsia" w:ascii="宋体" w:hAnsi="宋体"/>
        </w:rPr>
      </w:pPr>
    </w:p>
    <w:p>
      <w:pPr>
        <w:pStyle w:val="25"/>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jc w:val="both"/>
        <w:textAlignment w:val="auto"/>
        <w:outlineLvl w:val="9"/>
        <w:rPr>
          <w:rFonts w:hint="eastAsia" w:ascii="宋体" w:hAnsi="宋体" w:cs="仿宋_GB2312"/>
          <w:bCs/>
          <w:color w:val="auto"/>
          <w:sz w:val="32"/>
          <w:szCs w:val="32"/>
          <w:u w:val="none"/>
          <w:lang w:val="en-US" w:eastAsia="zh-CN"/>
        </w:rPr>
      </w:pPr>
    </w:p>
    <w:p>
      <w:pPr>
        <w:pStyle w:val="2"/>
        <w:spacing w:beforeLines="0" w:afterLines="0" w:line="590" w:lineRule="exact"/>
        <w:rPr>
          <w:rFonts w:hint="default" w:ascii="宋体" w:hAnsi="宋体"/>
        </w:rPr>
      </w:pPr>
    </w:p>
    <w:p>
      <w:pPr>
        <w:spacing w:beforeLines="0" w:afterLines="0" w:line="590" w:lineRule="exact"/>
        <w:rPr>
          <w:rFonts w:hint="default" w:ascii="宋体" w:hAnsi="宋体"/>
        </w:rPr>
      </w:pPr>
    </w:p>
    <w:p>
      <w:pPr>
        <w:pStyle w:val="2"/>
        <w:spacing w:beforeLines="0" w:afterLines="0" w:line="590" w:lineRule="exact"/>
        <w:rPr>
          <w:rFonts w:hint="default" w:ascii="宋体" w:hAnsi="宋体"/>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rFonts w:hint="eastAsia" w:ascii="宋体" w:hAnsi="宋体" w:eastAsia="宋体" w:cs="宋体"/>
          <w:color w:val="auto"/>
          <w:spacing w:val="0"/>
          <w:sz w:val="32"/>
          <w:szCs w:val="32"/>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CC"/>
    <w:family w:val="auto"/>
    <w:pitch w:val="default"/>
    <w:sig w:usb0="00000000" w:usb1="00000000" w:usb2="00000008"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Tahoma">
    <w:altName w:val="DejaVu Sans"/>
    <w:panose1 w:val="020B0604030504040204"/>
    <w:charset w:val="00"/>
    <w:family w:val="auto"/>
    <w:pitch w:val="default"/>
    <w:sig w:usb0="00000000" w:usb1="00000000" w:usb2="00000008" w:usb3="00000000" w:csb0="200101FF" w:csb1="20280000"/>
  </w:font>
  <w:font w:name="方正小标宋简体">
    <w:panose1 w:val="02000000000000000000"/>
    <w:charset w:val="86"/>
    <w:family w:val="auto"/>
    <w:pitch w:val="default"/>
    <w:sig w:usb0="A00002BF" w:usb1="184F6CFA" w:usb2="00000012" w:usb3="00000000" w:csb0="00040001" w:csb1="00000000"/>
  </w:font>
  <w:font w:name="Cambria">
    <w:altName w:val="Noto Sans Syriac Eastern"/>
    <w:panose1 w:val="02040503050406030204"/>
    <w:charset w:val="00"/>
    <w:family w:val="roman"/>
    <w:pitch w:val="default"/>
    <w:sig w:usb0="00000000" w:usb1="00000000" w:usb2="00000000" w:usb3="00000000" w:csb0="2000009F" w:csb1="00000000"/>
  </w:font>
  <w:font w:name="Calibri Light">
    <w:altName w:val="DejaVu Sans"/>
    <w:panose1 w:val="020F0302020204030204"/>
    <w:charset w:val="00"/>
    <w:family w:val="auto"/>
    <w:pitch w:val="default"/>
    <w:sig w:usb0="00000000" w:usb1="00000000" w:usb2="00000000" w:usb3="00000000" w:csb0="2000019F" w:csb1="00000000"/>
  </w:font>
  <w:font w:name=".PingFang SC">
    <w:altName w:val="宋体"/>
    <w:panose1 w:val="00000000000000000000"/>
    <w:charset w:val="86"/>
    <w:family w:val="swiss"/>
    <w:pitch w:val="default"/>
    <w:sig w:usb0="00000000" w:usb1="00000000" w:usb2="00000010" w:usb3="00000000" w:csb0="00040000" w:csb1="00000000"/>
  </w:font>
  <w:font w:name="Arial Unicode MS">
    <w:altName w:val="DejaVu Sans"/>
    <w:panose1 w:val="020B0604020202020204"/>
    <w:charset w:val="86"/>
    <w:family w:val="modern"/>
    <w:pitch w:val="default"/>
    <w:sig w:usb0="00000000" w:usb1="00000000" w:usb2="0000003F" w:usb3="00000000" w:csb0="603F01FF" w:csb1="FFFF0000"/>
  </w:font>
  <w:font w:name="方正仿宋_GBK">
    <w:panose1 w:val="02000000000000000000"/>
    <w:charset w:val="86"/>
    <w:family w:val="auto"/>
    <w:pitch w:val="default"/>
    <w:sig w:usb0="00000001" w:usb1="08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keepNext w:val="0"/>
      <w:keepLines w:val="0"/>
      <w:pageBreakBefore w:val="0"/>
      <w:widowControl w:val="0"/>
      <w:kinsoku/>
      <w:wordWrap w:val="0"/>
      <w:overflowPunct/>
      <w:topLinePunct w:val="0"/>
      <w:autoSpaceDE/>
      <w:autoSpaceDN/>
      <w:bidi w:val="0"/>
      <w:adjustRightInd/>
      <w:snapToGrid w:val="0"/>
      <w:spacing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280" w:firstLineChars="100"/>
      <w:jc w:val="both"/>
      <w:textAlignment w:val="auto"/>
      <w:outlineLvl w:val="9"/>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revisionView w:markup="0"/>
  <w:documentProtection w:enforcement="0"/>
  <w:defaultTabStop w:val="420"/>
  <w:hyphenationZone w:val="36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7BE2"/>
    <w:rsid w:val="036674C5"/>
    <w:rsid w:val="03884874"/>
    <w:rsid w:val="05D13273"/>
    <w:rsid w:val="06866278"/>
    <w:rsid w:val="086F19DD"/>
    <w:rsid w:val="0A1707EC"/>
    <w:rsid w:val="0D5A220C"/>
    <w:rsid w:val="0DC10F3C"/>
    <w:rsid w:val="0F0C1338"/>
    <w:rsid w:val="0F3C7199"/>
    <w:rsid w:val="0F9E114E"/>
    <w:rsid w:val="103C00B6"/>
    <w:rsid w:val="11361CF6"/>
    <w:rsid w:val="12272E15"/>
    <w:rsid w:val="12833C7B"/>
    <w:rsid w:val="128D47BB"/>
    <w:rsid w:val="131C3A9F"/>
    <w:rsid w:val="13371800"/>
    <w:rsid w:val="15572784"/>
    <w:rsid w:val="15626C01"/>
    <w:rsid w:val="170D64D1"/>
    <w:rsid w:val="17402747"/>
    <w:rsid w:val="176B60F3"/>
    <w:rsid w:val="17A56954"/>
    <w:rsid w:val="18394C82"/>
    <w:rsid w:val="18644411"/>
    <w:rsid w:val="19EE1972"/>
    <w:rsid w:val="1AF759E2"/>
    <w:rsid w:val="1BD6126C"/>
    <w:rsid w:val="1C3A4D59"/>
    <w:rsid w:val="1E5478C0"/>
    <w:rsid w:val="200A5205"/>
    <w:rsid w:val="20E36EDD"/>
    <w:rsid w:val="21E7264F"/>
    <w:rsid w:val="23B64D16"/>
    <w:rsid w:val="23BE221E"/>
    <w:rsid w:val="24E30D8C"/>
    <w:rsid w:val="2501793B"/>
    <w:rsid w:val="25087144"/>
    <w:rsid w:val="29EC497A"/>
    <w:rsid w:val="2A3530D2"/>
    <w:rsid w:val="2AE1624B"/>
    <w:rsid w:val="2AE3372E"/>
    <w:rsid w:val="2B217D0A"/>
    <w:rsid w:val="2BFF538A"/>
    <w:rsid w:val="2F6418ED"/>
    <w:rsid w:val="31DB5B14"/>
    <w:rsid w:val="34152DC2"/>
    <w:rsid w:val="341E6D68"/>
    <w:rsid w:val="363F4357"/>
    <w:rsid w:val="375D349B"/>
    <w:rsid w:val="37C707A3"/>
    <w:rsid w:val="381406BD"/>
    <w:rsid w:val="38882FCA"/>
    <w:rsid w:val="388C40E8"/>
    <w:rsid w:val="38AB7D8C"/>
    <w:rsid w:val="390C3D84"/>
    <w:rsid w:val="39130050"/>
    <w:rsid w:val="3AA21EE6"/>
    <w:rsid w:val="3EC77AA3"/>
    <w:rsid w:val="3F9DE1FC"/>
    <w:rsid w:val="3FE76FE9"/>
    <w:rsid w:val="3FFEE01F"/>
    <w:rsid w:val="40673A31"/>
    <w:rsid w:val="41443C70"/>
    <w:rsid w:val="42E04658"/>
    <w:rsid w:val="44CF252C"/>
    <w:rsid w:val="450B3F06"/>
    <w:rsid w:val="47F60ED7"/>
    <w:rsid w:val="4862267E"/>
    <w:rsid w:val="4AF01A75"/>
    <w:rsid w:val="4B1D40BD"/>
    <w:rsid w:val="4B1D5138"/>
    <w:rsid w:val="4BF05C55"/>
    <w:rsid w:val="4D2D6729"/>
    <w:rsid w:val="4D5060CE"/>
    <w:rsid w:val="4DA05958"/>
    <w:rsid w:val="511D4D5B"/>
    <w:rsid w:val="511F1590"/>
    <w:rsid w:val="51533045"/>
    <w:rsid w:val="515A66AF"/>
    <w:rsid w:val="51FB77F1"/>
    <w:rsid w:val="52701C74"/>
    <w:rsid w:val="57B5326F"/>
    <w:rsid w:val="57F7A64D"/>
    <w:rsid w:val="5891480F"/>
    <w:rsid w:val="59055572"/>
    <w:rsid w:val="5C216CEF"/>
    <w:rsid w:val="5C334EFE"/>
    <w:rsid w:val="5E617566"/>
    <w:rsid w:val="5ED165AF"/>
    <w:rsid w:val="5EEF1A0C"/>
    <w:rsid w:val="5F1F3699"/>
    <w:rsid w:val="5F484E2D"/>
    <w:rsid w:val="5FF6A63D"/>
    <w:rsid w:val="603B07CD"/>
    <w:rsid w:val="61FCA896"/>
    <w:rsid w:val="638156B1"/>
    <w:rsid w:val="64401FFB"/>
    <w:rsid w:val="64711DC6"/>
    <w:rsid w:val="65DA60DB"/>
    <w:rsid w:val="66ED1FE1"/>
    <w:rsid w:val="67B65FF8"/>
    <w:rsid w:val="68E136BE"/>
    <w:rsid w:val="690337E2"/>
    <w:rsid w:val="6BDF368B"/>
    <w:rsid w:val="6C544E08"/>
    <w:rsid w:val="6D336076"/>
    <w:rsid w:val="6D7E2528"/>
    <w:rsid w:val="6FCDBDC8"/>
    <w:rsid w:val="6FF3D49C"/>
    <w:rsid w:val="70AD1945"/>
    <w:rsid w:val="70B90714"/>
    <w:rsid w:val="70F80C9B"/>
    <w:rsid w:val="70FA6FEE"/>
    <w:rsid w:val="71A74628"/>
    <w:rsid w:val="722217A9"/>
    <w:rsid w:val="72247A70"/>
    <w:rsid w:val="726D0825"/>
    <w:rsid w:val="73C2091D"/>
    <w:rsid w:val="74C5727F"/>
    <w:rsid w:val="769D666E"/>
    <w:rsid w:val="76DA649D"/>
    <w:rsid w:val="76E01EB3"/>
    <w:rsid w:val="77FFC2FC"/>
    <w:rsid w:val="79025A8E"/>
    <w:rsid w:val="7A631492"/>
    <w:rsid w:val="7B6A830C"/>
    <w:rsid w:val="7C3F4965"/>
    <w:rsid w:val="7C8A566B"/>
    <w:rsid w:val="7C996E3F"/>
    <w:rsid w:val="7CFF15B7"/>
    <w:rsid w:val="7E9F2D1C"/>
    <w:rsid w:val="7F6C6ACC"/>
    <w:rsid w:val="7F6FBE12"/>
    <w:rsid w:val="7FB82C5D"/>
    <w:rsid w:val="7FDE1D68"/>
    <w:rsid w:val="7FFEB430"/>
    <w:rsid w:val="B16D91BD"/>
    <w:rsid w:val="BEDEA93D"/>
    <w:rsid w:val="BFBD9734"/>
    <w:rsid w:val="D3D4CDD2"/>
    <w:rsid w:val="D777838B"/>
    <w:rsid w:val="DEDF1718"/>
    <w:rsid w:val="DFDB630B"/>
    <w:rsid w:val="E967B0B6"/>
    <w:rsid w:val="F6FD3696"/>
    <w:rsid w:val="F7FDDBA8"/>
    <w:rsid w:val="FAB696E7"/>
    <w:rsid w:val="FAEBECC8"/>
    <w:rsid w:val="FB7A6A38"/>
    <w:rsid w:val="FBE77DAF"/>
    <w:rsid w:val="FC3EA6A9"/>
    <w:rsid w:val="FCBE23F8"/>
    <w:rsid w:val="FDFACD1F"/>
    <w:rsid w:val="FFB74E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9">
    <w:name w:val="Default Paragraph Font"/>
    <w:link w:val="20"/>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Body Text"/>
    <w:basedOn w:val="1"/>
    <w:qFormat/>
    <w:uiPriority w:val="0"/>
    <w:rPr>
      <w:rFonts w:eastAsia="宋体"/>
      <w:sz w:val="44"/>
      <w:szCs w:val="24"/>
    </w:rPr>
  </w:style>
  <w:style w:type="paragraph" w:styleId="7">
    <w:name w:val="Body Text Indent"/>
    <w:basedOn w:val="1"/>
    <w:next w:val="1"/>
    <w:qFormat/>
    <w:uiPriority w:val="0"/>
    <w:pPr>
      <w:widowControl w:val="0"/>
      <w:ind w:firstLine="640" w:firstLineChars="200"/>
      <w:jc w:val="both"/>
    </w:pPr>
    <w:rPr>
      <w:rFonts w:ascii="黑体" w:hAnsi="Times New Roman" w:eastAsia="黑体" w:cs="Times New Roman"/>
      <w:kern w:val="2"/>
      <w:sz w:val="32"/>
      <w:szCs w:val="30"/>
      <w:lang w:val="en-US" w:eastAsia="zh-CN" w:bidi="ar-SA"/>
    </w:rPr>
  </w:style>
  <w:style w:type="paragraph" w:styleId="8">
    <w:name w:val="toc 3"/>
    <w:basedOn w:val="1"/>
    <w:next w:val="1"/>
    <w:qFormat/>
    <w:uiPriority w:val="0"/>
    <w:pPr>
      <w:ind w:left="840" w:leftChars="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2">
    <w:name w:val="toc 2"/>
    <w:basedOn w:val="1"/>
    <w:next w:val="1"/>
    <w:qFormat/>
    <w:uiPriority w:val="0"/>
    <w:pPr>
      <w:keepNext w:val="0"/>
      <w:keepLines w:val="0"/>
      <w:widowControl w:val="0"/>
      <w:suppressLineNumbers w:val="0"/>
      <w:spacing w:before="100" w:beforeAutospacing="1" w:after="100" w:afterAutospacing="1"/>
      <w:ind w:left="200" w:leftChars="200"/>
      <w:jc w:val="both"/>
    </w:pPr>
    <w:rPr>
      <w:rFonts w:hint="default" w:ascii="Times New Roman" w:hAnsi="Times New Roman" w:eastAsia="宋体" w:cs="Times New Roman"/>
      <w:kern w:val="2"/>
      <w:sz w:val="32"/>
      <w:szCs w:val="32"/>
      <w:lang w:val="en-US" w:eastAsia="zh-CN" w:bidi="ar"/>
    </w:rPr>
  </w:style>
  <w:style w:type="paragraph" w:styleId="13">
    <w:name w:val="HTML Preformatted"/>
    <w:basedOn w:val="1"/>
    <w:qFormat/>
    <w:uiPriority w:val="0"/>
    <w:pPr>
      <w:widowControl/>
      <w:jc w:val="left"/>
    </w:pPr>
    <w:rPr>
      <w:rFonts w:hint="eastAsia" w:ascii="宋体" w:hAnsi="宋体"/>
      <w:kern w:val="0"/>
      <w:sz w:val="24"/>
    </w:rPr>
  </w:style>
  <w:style w:type="paragraph" w:styleId="14">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5">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styleId="16">
    <w:name w:val="Body Text First Indent"/>
    <w:basedOn w:val="6"/>
    <w:qFormat/>
    <w:uiPriority w:val="0"/>
    <w:pPr>
      <w:ind w:firstLine="420" w:firstLineChars="100"/>
    </w:pPr>
  </w:style>
  <w:style w:type="paragraph" w:styleId="17">
    <w:name w:val="Body Text First Indent 2"/>
    <w:basedOn w:val="7"/>
    <w:qFormat/>
    <w:uiPriority w:val="0"/>
    <w:pPr>
      <w:ind w:firstLine="420" w:firstLineChars="200"/>
    </w:pPr>
  </w:style>
  <w:style w:type="paragraph" w:customStyle="1" w:styleId="20">
    <w:name w:val=" Char"/>
    <w:basedOn w:val="1"/>
    <w:link w:val="19"/>
    <w:qFormat/>
    <w:uiPriority w:val="0"/>
  </w:style>
  <w:style w:type="character" w:styleId="21">
    <w:name w:val="Strong"/>
    <w:basedOn w:val="19"/>
    <w:qFormat/>
    <w:uiPriority w:val="0"/>
    <w:rPr>
      <w:b/>
      <w:bCs/>
    </w:rPr>
  </w:style>
  <w:style w:type="character" w:styleId="22">
    <w:name w:val="page number"/>
    <w:basedOn w:val="19"/>
    <w:qFormat/>
    <w:uiPriority w:val="0"/>
  </w:style>
  <w:style w:type="character" w:styleId="23">
    <w:name w:val="Hyperlink"/>
    <w:basedOn w:val="19"/>
    <w:qFormat/>
    <w:uiPriority w:val="0"/>
    <w:rPr>
      <w:color w:val="0000FF"/>
      <w:u w:val="single"/>
    </w:rPr>
  </w:style>
  <w:style w:type="paragraph" w:customStyle="1" w:styleId="24">
    <w:name w:val=" Char Char Char Char Char Char Char Char Char1 Char Char Char Char"/>
    <w:basedOn w:val="25"/>
    <w:link w:val="19"/>
    <w:qFormat/>
    <w:uiPriority w:val="0"/>
  </w:style>
  <w:style w:type="paragraph" w:customStyle="1" w:styleId="25">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6">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7">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28">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29">
    <w:name w:val="p0"/>
    <w:basedOn w:val="1"/>
    <w:qFormat/>
    <w:uiPriority w:val="0"/>
    <w:pPr>
      <w:widowControl/>
    </w:pPr>
    <w:rPr>
      <w:rFonts w:hint="eastAsia" w:ascii="宋体" w:hAnsi="宋体"/>
      <w:sz w:val="32"/>
    </w:rPr>
  </w:style>
  <w:style w:type="paragraph" w:customStyle="1" w:styleId="30">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1">
    <w:name w:val="p1"/>
    <w:basedOn w:val="1"/>
    <w:qFormat/>
    <w:uiPriority w:val="99"/>
    <w:pPr>
      <w:widowControl/>
      <w:jc w:val="center"/>
    </w:pPr>
    <w:rPr>
      <w:rFonts w:ascii=".PingFang SC" w:hAnsi=".PingFang SC" w:eastAsia=".PingFang SC"/>
      <w:color w:val="454545"/>
      <w:kern w:val="0"/>
      <w:sz w:val="18"/>
      <w:szCs w:val="18"/>
    </w:rPr>
  </w:style>
  <w:style w:type="paragraph" w:customStyle="1" w:styleId="32">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33">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4">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5">
    <w:name w:val="正文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36">
    <w:name w:val="15"/>
    <w:basedOn w:val="19"/>
    <w:qFormat/>
    <w:uiPriority w:val="0"/>
    <w:rPr>
      <w:rFonts w:hint="default" w:ascii="Times New Roman" w:hAnsi="Times New Roman" w:cs="Times New Roman"/>
      <w:b/>
      <w:bCs/>
      <w:sz w:val="20"/>
      <w:szCs w:val="20"/>
    </w:rPr>
  </w:style>
  <w:style w:type="character" w:customStyle="1" w:styleId="37">
    <w:name w:val="form-textarea-print1"/>
    <w:basedOn w:val="19"/>
    <w:qFormat/>
    <w:uiPriority w:val="0"/>
    <w:rPr>
      <w:sz w:val="14"/>
      <w:szCs w:val="14"/>
    </w:rPr>
  </w:style>
  <w:style w:type="paragraph" w:customStyle="1" w:styleId="38">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39">
    <w:name w:val="p15"/>
    <w:basedOn w:val="40"/>
    <w:qFormat/>
    <w:uiPriority w:val="3"/>
    <w:pPr>
      <w:widowControl/>
      <w:ind w:firstLine="420"/>
    </w:pPr>
    <w:rPr>
      <w:rFonts w:ascii="仿宋_GB2312" w:hAnsi="仿宋_GB2312" w:eastAsia="仿宋_GB2312" w:cs="仿宋_GB2312"/>
      <w:kern w:val="0"/>
      <w:sz w:val="32"/>
      <w:szCs w:val="32"/>
    </w:rPr>
  </w:style>
  <w:style w:type="paragraph" w:customStyle="1" w:styleId="40">
    <w:name w:val="正文 New New New New New New New New New New New New New New New New New New New New New New New New New New New New New New New New"/>
    <w:qFormat/>
    <w:uiPriority w:val="2"/>
    <w:pPr>
      <w:widowControl w:val="0"/>
      <w:jc w:val="both"/>
    </w:pPr>
    <w:rPr>
      <w:rFonts w:ascii="Calibri" w:hAnsi="Calibri" w:eastAsia="宋体" w:cs="Times New Roman"/>
      <w:color w:val="000000"/>
      <w:kern w:val="1"/>
      <w:sz w:val="21"/>
      <w:szCs w:val="22"/>
      <w:lang w:val="en-US" w:eastAsia="zh-CN" w:bidi="ar-SA"/>
    </w:rPr>
  </w:style>
  <w:style w:type="character" w:customStyle="1" w:styleId="41">
    <w:name w:val="bjh-p"/>
    <w:unhideWhenUsed/>
    <w:qFormat/>
    <w:uiPriority w:val="0"/>
    <w:rPr>
      <w:rFonts w:hint="default"/>
      <w:sz w:val="24"/>
    </w:rPr>
  </w:style>
  <w:style w:type="paragraph" w:customStyle="1" w:styleId="42">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3">
    <w:name w:val="p17"/>
    <w:basedOn w:val="1"/>
    <w:qFormat/>
    <w:uiPriority w:val="0"/>
    <w:pPr>
      <w:widowControl/>
      <w:ind w:firstLine="420"/>
    </w:pPr>
    <w:rPr>
      <w:rFonts w:ascii="仿宋_GB2312" w:hAnsi="宋体" w:eastAsia="仿宋_GB2312" w:cs="宋体"/>
      <w:kern w:val="0"/>
      <w:sz w:val="32"/>
      <w:szCs w:val="32"/>
    </w:rPr>
  </w:style>
  <w:style w:type="paragraph" w:customStyle="1" w:styleId="44">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 w:type="paragraph" w:customStyle="1" w:styleId="45">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6">
    <w:name w:val="Body Text Indent"/>
    <w:basedOn w:val="1"/>
    <w:qFormat/>
    <w:uiPriority w:val="0"/>
    <w:pPr>
      <w:ind w:firstLine="645"/>
    </w:pPr>
    <w:rPr>
      <w:rFonts w:ascii="黑体" w:eastAsia="黑体"/>
      <w:sz w:val="32"/>
    </w:rPr>
  </w:style>
  <w:style w:type="paragraph" w:customStyle="1" w:styleId="47">
    <w:name w:val="Normal Indent"/>
    <w:qFormat/>
    <w:uiPriority w:val="0"/>
    <w:pPr>
      <w:widowControl w:val="0"/>
      <w:adjustRightInd w:val="0"/>
      <w:spacing w:line="360" w:lineRule="auto"/>
      <w:ind w:firstLine="420"/>
      <w:jc w:val="both"/>
      <w:textAlignment w:val="baseline"/>
    </w:pPr>
    <w:rPr>
      <w:rFonts w:ascii="Calibri" w:hAnsi="Calibri" w:eastAsia="宋体" w:cs="Times New Roman"/>
      <w:kern w:val="0"/>
      <w:sz w:val="24"/>
      <w:lang w:val="en-US" w:eastAsia="zh-CN"/>
    </w:rPr>
  </w:style>
  <w:style w:type="paragraph" w:customStyle="1" w:styleId="48">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 w:type="paragraph" w:customStyle="1" w:styleId="49">
    <w:name w:val="0"/>
    <w:basedOn w:val="1"/>
    <w:qFormat/>
    <w:uiPriority w:val="0"/>
    <w:pPr>
      <w:widowControl/>
      <w:snapToGrid w:val="0"/>
      <w:spacing w:line="240" w:lineRule="atLeast"/>
    </w:pPr>
    <w:rPr>
      <w:rFonts w:ascii="Times New Roman" w:hAnsi="Times New Roman" w:cs="Times New Roman"/>
      <w:spacing w:val="-6"/>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7</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2019-04-17T07:40:00Z</dcterms:created>
  <dc:creator>谢浩然</dc:creator>
  <cp:lastModifiedBy>@liyaolan</cp:lastModifiedBy>
  <cp:lastPrinted>2022-04-14T00:39:00Z</cp:lastPrinted>
  <dcterms:modified xsi:type="dcterms:W3CDTF">2022-04-18T16:52:05Z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